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AE" w:rsidRDefault="00FC2B8F" w:rsidP="00DB764A">
      <w:pPr>
        <w:spacing w:line="300" w:lineRule="atLeast"/>
        <w:rPr>
          <w:rFonts w:ascii="Verdana" w:hAnsi="Verdana"/>
          <w:b/>
          <w:sz w:val="24"/>
          <w:szCs w:val="24"/>
        </w:rPr>
      </w:pPr>
      <w:bookmarkStart w:id="0" w:name="_GoBack"/>
      <w:bookmarkEnd w:id="0"/>
      <w:r>
        <w:rPr>
          <w:rFonts w:ascii="Verdana" w:hAnsi="Verdana"/>
          <w:b/>
          <w:sz w:val="24"/>
          <w:szCs w:val="24"/>
        </w:rPr>
        <w:t xml:space="preserve"> </w:t>
      </w:r>
      <w:r w:rsidR="00BB2986" w:rsidRPr="00FB5C77">
        <w:rPr>
          <w:rFonts w:ascii="Verdana" w:hAnsi="Verdana"/>
          <w:b/>
          <w:sz w:val="24"/>
          <w:szCs w:val="24"/>
        </w:rPr>
        <w:t>Returns to</w:t>
      </w:r>
      <w:r w:rsidR="002A410D" w:rsidRPr="00FB5C77">
        <w:rPr>
          <w:rFonts w:ascii="Verdana" w:hAnsi="Verdana"/>
          <w:b/>
          <w:sz w:val="24"/>
          <w:szCs w:val="24"/>
        </w:rPr>
        <w:t xml:space="preserve"> higher education</w:t>
      </w:r>
      <w:r w:rsidR="00BB2986" w:rsidRPr="00FB5C77">
        <w:rPr>
          <w:rFonts w:ascii="Verdana" w:hAnsi="Verdana"/>
          <w:b/>
          <w:sz w:val="24"/>
          <w:szCs w:val="24"/>
        </w:rPr>
        <w:t xml:space="preserve"> – some doubts and alternative views</w:t>
      </w:r>
      <w:r w:rsidR="00D95C4A" w:rsidRPr="00FB5C77">
        <w:rPr>
          <w:rFonts w:ascii="Verdana" w:hAnsi="Verdana"/>
          <w:b/>
          <w:sz w:val="24"/>
          <w:szCs w:val="24"/>
        </w:rPr>
        <w:t xml:space="preserve"> </w:t>
      </w:r>
    </w:p>
    <w:p w:rsidR="003033AE" w:rsidRDefault="003033AE" w:rsidP="00DB764A">
      <w:pPr>
        <w:spacing w:line="300" w:lineRule="atLeast"/>
        <w:rPr>
          <w:rFonts w:ascii="Verdana" w:hAnsi="Verdana"/>
          <w:sz w:val="18"/>
          <w:szCs w:val="18"/>
        </w:rPr>
      </w:pPr>
      <w:r w:rsidRPr="003033AE">
        <w:rPr>
          <w:rFonts w:ascii="Verdana" w:hAnsi="Verdana"/>
          <w:sz w:val="18"/>
          <w:szCs w:val="18"/>
        </w:rPr>
        <w:t xml:space="preserve">This is </w:t>
      </w:r>
      <w:r w:rsidR="00DD30B3">
        <w:rPr>
          <w:rFonts w:ascii="Verdana" w:hAnsi="Verdana"/>
          <w:sz w:val="18"/>
          <w:szCs w:val="18"/>
        </w:rPr>
        <w:t xml:space="preserve">the text of a </w:t>
      </w:r>
      <w:r w:rsidRPr="003033AE">
        <w:rPr>
          <w:rFonts w:ascii="Verdana" w:hAnsi="Verdana"/>
          <w:sz w:val="18"/>
          <w:szCs w:val="18"/>
        </w:rPr>
        <w:t xml:space="preserve">presentation from the HEPI seminar on higher education returns, 20 June 2012. </w:t>
      </w:r>
      <w:r>
        <w:rPr>
          <w:rFonts w:ascii="Verdana" w:hAnsi="Verdana"/>
          <w:sz w:val="18"/>
          <w:szCs w:val="18"/>
        </w:rPr>
        <w:t>Supporting evidence for the views expressed is provided with endnote and reference sections</w:t>
      </w:r>
      <w:r w:rsidR="004A2CA4">
        <w:rPr>
          <w:rFonts w:ascii="Verdana" w:hAnsi="Verdana"/>
          <w:sz w:val="18"/>
          <w:szCs w:val="18"/>
        </w:rPr>
        <w:t xml:space="preserve">. </w:t>
      </w:r>
    </w:p>
    <w:p w:rsidR="00A946D7" w:rsidRPr="00A946D7" w:rsidRDefault="00A946D7" w:rsidP="00A946D7">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A946D7">
        <w:rPr>
          <w:rFonts w:ascii="Verdana" w:hAnsi="Verdana"/>
        </w:rPr>
        <w:t xml:space="preserve">The difficulties in calculating the returns to higher education are well documented, </w:t>
      </w:r>
      <w:r w:rsidR="00D27E48">
        <w:rPr>
          <w:rFonts w:ascii="Verdana" w:hAnsi="Verdana"/>
        </w:rPr>
        <w:t xml:space="preserve">and will be familiar to most of us, </w:t>
      </w:r>
      <w:r w:rsidRPr="00A946D7">
        <w:rPr>
          <w:rFonts w:ascii="Verdana" w:hAnsi="Verdana"/>
        </w:rPr>
        <w:t xml:space="preserve">yet, it seems to me, the resulting uncertainties are not always given due prominence, even in academic papers, and in wider discussions the figures tend to be taken as a given with no questions asked.  Do these difficulties materially affect the estimates of the returns to higher education? Many researchers think not, though, it seems to me, this comforting consensus comes more from the imperative to carry on calculating, </w:t>
      </w:r>
      <w:r w:rsidR="0084238C">
        <w:rPr>
          <w:rFonts w:ascii="Verdana" w:hAnsi="Verdana"/>
        </w:rPr>
        <w:t xml:space="preserve">rather </w:t>
      </w:r>
      <w:r w:rsidRPr="00A946D7">
        <w:rPr>
          <w:rFonts w:ascii="Verdana" w:hAnsi="Verdana"/>
        </w:rPr>
        <w:t xml:space="preserve">than </w:t>
      </w:r>
      <w:r w:rsidR="0084238C">
        <w:rPr>
          <w:rFonts w:ascii="Verdana" w:hAnsi="Verdana"/>
        </w:rPr>
        <w:t xml:space="preserve">from </w:t>
      </w:r>
      <w:r w:rsidRPr="00A946D7">
        <w:rPr>
          <w:rFonts w:ascii="Verdana" w:hAnsi="Verdana"/>
        </w:rPr>
        <w:t xml:space="preserve">any really convincing evidence.  </w:t>
      </w:r>
    </w:p>
    <w:p w:rsidR="00DD30B3" w:rsidRDefault="00B7145D"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D30B3">
        <w:rPr>
          <w:rFonts w:ascii="Verdana" w:hAnsi="Verdana"/>
        </w:rPr>
        <w:t>Different questions need different estimates</w:t>
      </w:r>
      <w:r w:rsidR="00E92BE9" w:rsidRPr="00DD30B3">
        <w:rPr>
          <w:rFonts w:ascii="Verdana" w:hAnsi="Verdana"/>
        </w:rPr>
        <w:t xml:space="preserve">, and while some statistics look </w:t>
      </w:r>
      <w:r w:rsidR="00950D5E" w:rsidRPr="00DD30B3">
        <w:rPr>
          <w:rFonts w:ascii="Verdana" w:hAnsi="Verdana"/>
        </w:rPr>
        <w:t xml:space="preserve">very </w:t>
      </w:r>
      <w:r w:rsidR="00E92BE9" w:rsidRPr="00DD30B3">
        <w:rPr>
          <w:rFonts w:ascii="Verdana" w:hAnsi="Verdana"/>
        </w:rPr>
        <w:t xml:space="preserve">difficult </w:t>
      </w:r>
      <w:r w:rsidR="00950D5E" w:rsidRPr="00DD30B3">
        <w:rPr>
          <w:rFonts w:ascii="Verdana" w:hAnsi="Verdana"/>
        </w:rPr>
        <w:t xml:space="preserve">to derive, some </w:t>
      </w:r>
      <w:r w:rsidR="00A142F3" w:rsidRPr="00DD30B3">
        <w:rPr>
          <w:rFonts w:ascii="Verdana" w:hAnsi="Verdana"/>
        </w:rPr>
        <w:t>look impossible – the</w:t>
      </w:r>
      <w:r w:rsidR="00EA44C6" w:rsidRPr="00DD30B3">
        <w:rPr>
          <w:rFonts w:ascii="Verdana" w:hAnsi="Verdana"/>
        </w:rPr>
        <w:t>y</w:t>
      </w:r>
      <w:r w:rsidR="00A142F3" w:rsidRPr="00DD30B3">
        <w:rPr>
          <w:rFonts w:ascii="Verdana" w:hAnsi="Verdana"/>
        </w:rPr>
        <w:t xml:space="preserve"> can b</w:t>
      </w:r>
      <w:r w:rsidRPr="00DD30B3">
        <w:rPr>
          <w:rFonts w:ascii="Verdana" w:hAnsi="Verdana"/>
        </w:rPr>
        <w:t>e</w:t>
      </w:r>
      <w:r w:rsidR="00950D5E" w:rsidRPr="00DD30B3">
        <w:rPr>
          <w:rFonts w:ascii="Verdana" w:hAnsi="Verdana"/>
        </w:rPr>
        <w:t xml:space="preserve"> no more than guesswork. </w:t>
      </w:r>
      <w:r w:rsidR="00596ADF" w:rsidRPr="00DD30B3">
        <w:rPr>
          <w:rFonts w:ascii="Verdana" w:hAnsi="Verdana"/>
        </w:rPr>
        <w:t xml:space="preserve">I will start with the merely </w:t>
      </w:r>
      <w:r w:rsidRPr="00DD30B3">
        <w:rPr>
          <w:rFonts w:ascii="Verdana" w:hAnsi="Verdana"/>
        </w:rPr>
        <w:t xml:space="preserve">very </w:t>
      </w:r>
      <w:r w:rsidR="00596ADF" w:rsidRPr="00DD30B3">
        <w:rPr>
          <w:rFonts w:ascii="Verdana" w:hAnsi="Verdana"/>
        </w:rPr>
        <w:t xml:space="preserve">difficult, related to student choice, before throwing in some of the extra problems we </w:t>
      </w:r>
      <w:r w:rsidR="00A142F3" w:rsidRPr="00DD30B3">
        <w:rPr>
          <w:rFonts w:ascii="Verdana" w:hAnsi="Verdana"/>
        </w:rPr>
        <w:t>face with</w:t>
      </w:r>
      <w:r w:rsidR="00950D5E" w:rsidRPr="00DD30B3">
        <w:rPr>
          <w:rFonts w:ascii="Verdana" w:hAnsi="Verdana"/>
        </w:rPr>
        <w:t xml:space="preserve"> </w:t>
      </w:r>
      <w:r w:rsidR="00596ADF" w:rsidRPr="00DD30B3">
        <w:rPr>
          <w:rFonts w:ascii="Verdana" w:hAnsi="Verdana"/>
        </w:rPr>
        <w:t xml:space="preserve">policy assessment. Finally </w:t>
      </w:r>
      <w:r w:rsidRPr="00DD30B3">
        <w:rPr>
          <w:rFonts w:ascii="Verdana" w:hAnsi="Verdana"/>
        </w:rPr>
        <w:t xml:space="preserve">I’ll make </w:t>
      </w:r>
      <w:r w:rsidR="00596ADF" w:rsidRPr="00DD30B3">
        <w:rPr>
          <w:rFonts w:ascii="Verdana" w:hAnsi="Verdana"/>
        </w:rPr>
        <w:t xml:space="preserve">some suggestions as to </w:t>
      </w:r>
      <w:r w:rsidRPr="00DD30B3">
        <w:rPr>
          <w:rFonts w:ascii="Verdana" w:hAnsi="Verdana"/>
        </w:rPr>
        <w:t xml:space="preserve">what should be done if these somewhat sceptical </w:t>
      </w:r>
      <w:r w:rsidR="0022203A" w:rsidRPr="00DD30B3">
        <w:rPr>
          <w:rFonts w:ascii="Verdana" w:hAnsi="Verdana"/>
        </w:rPr>
        <w:t>views</w:t>
      </w:r>
      <w:r w:rsidRPr="00DD30B3">
        <w:rPr>
          <w:rFonts w:ascii="Verdana" w:hAnsi="Verdana"/>
        </w:rPr>
        <w:t xml:space="preserve"> are accepted</w:t>
      </w:r>
      <w:r w:rsidR="00596ADF" w:rsidRPr="00DD30B3">
        <w:rPr>
          <w:rFonts w:ascii="Verdana" w:hAnsi="Verdana"/>
        </w:rPr>
        <w:t xml:space="preserve">. </w:t>
      </w:r>
    </w:p>
    <w:p w:rsidR="00DD30B3" w:rsidRPr="00DD30B3" w:rsidRDefault="00DD30B3" w:rsidP="00DD30B3">
      <w:pPr>
        <w:spacing w:line="300" w:lineRule="atLeast"/>
        <w:rPr>
          <w:rFonts w:ascii="Verdana" w:hAnsi="Verdana"/>
          <w:b/>
          <w:sz w:val="24"/>
          <w:szCs w:val="24"/>
        </w:rPr>
      </w:pPr>
      <w:r w:rsidRPr="00DD30B3">
        <w:rPr>
          <w:rFonts w:ascii="Verdana" w:hAnsi="Verdana"/>
          <w:b/>
          <w:sz w:val="24"/>
          <w:szCs w:val="24"/>
        </w:rPr>
        <w:t xml:space="preserve">Student choice </w:t>
      </w:r>
    </w:p>
    <w:p w:rsidR="00DD30B3" w:rsidRPr="00DD30B3" w:rsidRDefault="00DD30B3" w:rsidP="00DD30B3">
      <w:pPr>
        <w:spacing w:line="300" w:lineRule="atLeast"/>
        <w:rPr>
          <w:rFonts w:ascii="Verdana" w:hAnsi="Verdana"/>
          <w:u w:val="single"/>
        </w:rPr>
      </w:pPr>
      <w:r w:rsidRPr="00DD30B3">
        <w:rPr>
          <w:rFonts w:ascii="Verdana" w:hAnsi="Verdana"/>
          <w:u w:val="single"/>
        </w:rPr>
        <w:t>Whether to study</w:t>
      </w:r>
      <w:r w:rsidR="00FA6940">
        <w:rPr>
          <w:rFonts w:ascii="Verdana" w:hAnsi="Verdana"/>
          <w:u w:val="single"/>
        </w:rPr>
        <w:t xml:space="preserve"> </w:t>
      </w:r>
      <w:r w:rsidR="00FA6940" w:rsidRPr="00FA6940">
        <w:rPr>
          <w:rFonts w:ascii="Verdana" w:hAnsi="Verdana"/>
          <w:vertAlign w:val="superscript"/>
        </w:rPr>
        <w:t>1</w:t>
      </w:r>
    </w:p>
    <w:p w:rsidR="00C93108" w:rsidRDefault="00EC7168" w:rsidP="00671DF2">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D30B3">
        <w:rPr>
          <w:rFonts w:ascii="Verdana" w:hAnsi="Verdana"/>
        </w:rPr>
        <w:t>F</w:t>
      </w:r>
      <w:r w:rsidR="008807AB" w:rsidRPr="00DD30B3">
        <w:rPr>
          <w:rFonts w:ascii="Verdana" w:hAnsi="Verdana"/>
        </w:rPr>
        <w:t>rom the prospective</w:t>
      </w:r>
      <w:r w:rsidR="00EA7753" w:rsidRPr="00DD30B3">
        <w:rPr>
          <w:rFonts w:ascii="Verdana" w:hAnsi="Verdana"/>
        </w:rPr>
        <w:t>-</w:t>
      </w:r>
      <w:r w:rsidR="008807AB" w:rsidRPr="00DD30B3">
        <w:rPr>
          <w:rFonts w:ascii="Verdana" w:hAnsi="Verdana"/>
        </w:rPr>
        <w:t xml:space="preserve">student’s point of </w:t>
      </w:r>
      <w:r w:rsidR="00985964" w:rsidRPr="00DD30B3">
        <w:rPr>
          <w:rFonts w:ascii="Verdana" w:hAnsi="Verdana"/>
        </w:rPr>
        <w:t xml:space="preserve">view, </w:t>
      </w:r>
      <w:r w:rsidRPr="00DD30B3">
        <w:rPr>
          <w:rFonts w:ascii="Verdana" w:hAnsi="Verdana"/>
        </w:rPr>
        <w:t xml:space="preserve">is </w:t>
      </w:r>
      <w:r w:rsidR="00985964" w:rsidRPr="00DD30B3">
        <w:rPr>
          <w:rFonts w:ascii="Verdana" w:hAnsi="Verdana"/>
        </w:rPr>
        <w:t xml:space="preserve">going to university a good </w:t>
      </w:r>
      <w:r w:rsidR="00554B65" w:rsidRPr="00DD30B3">
        <w:rPr>
          <w:rFonts w:ascii="Verdana" w:hAnsi="Verdana"/>
        </w:rPr>
        <w:t xml:space="preserve">financial </w:t>
      </w:r>
      <w:r w:rsidR="00985964" w:rsidRPr="00DD30B3">
        <w:rPr>
          <w:rFonts w:ascii="Verdana" w:hAnsi="Verdana"/>
        </w:rPr>
        <w:t>investment</w:t>
      </w:r>
      <w:r w:rsidRPr="00DD30B3">
        <w:rPr>
          <w:rFonts w:ascii="Verdana" w:hAnsi="Verdana"/>
        </w:rPr>
        <w:t>?</w:t>
      </w:r>
      <w:r w:rsidR="00985964" w:rsidRPr="00DD30B3">
        <w:rPr>
          <w:rFonts w:ascii="Verdana" w:hAnsi="Verdana"/>
        </w:rPr>
        <w:t xml:space="preserve"> </w:t>
      </w:r>
      <w:r w:rsidR="006E7ED1">
        <w:rPr>
          <w:rFonts w:ascii="Verdana" w:hAnsi="Verdana"/>
        </w:rPr>
        <w:t xml:space="preserve"> Advice from Government is reassuring. </w:t>
      </w:r>
    </w:p>
    <w:p w:rsidR="00C93108" w:rsidRPr="00C93108" w:rsidRDefault="00C93108" w:rsidP="00C93108">
      <w:pPr>
        <w:pStyle w:val="ListParagraph"/>
        <w:autoSpaceDE w:val="0"/>
        <w:autoSpaceDN w:val="0"/>
        <w:adjustRightInd w:val="0"/>
        <w:spacing w:after="240" w:line="300" w:lineRule="atLeast"/>
        <w:ind w:left="567"/>
        <w:contextualSpacing w:val="0"/>
        <w:rPr>
          <w:rFonts w:ascii="Verdana" w:hAnsi="Verdana"/>
          <w:i/>
        </w:rPr>
      </w:pPr>
      <w:r w:rsidRPr="00C93108">
        <w:rPr>
          <w:rFonts w:ascii="Verdana" w:hAnsi="Verdana"/>
          <w:i/>
        </w:rPr>
        <w:t>Why go to university?</w:t>
      </w:r>
    </w:p>
    <w:p w:rsidR="00C93108" w:rsidRDefault="00C93108" w:rsidP="00C93108">
      <w:pPr>
        <w:autoSpaceDE w:val="0"/>
        <w:autoSpaceDN w:val="0"/>
        <w:adjustRightInd w:val="0"/>
        <w:spacing w:after="240" w:line="300" w:lineRule="atLeast"/>
        <w:ind w:left="567"/>
        <w:rPr>
          <w:rFonts w:ascii="Verdana" w:hAnsi="Verdana"/>
        </w:rPr>
      </w:pPr>
      <w:r>
        <w:rPr>
          <w:rFonts w:ascii="Verdana" w:hAnsi="Verdana"/>
        </w:rPr>
        <w:t>“</w:t>
      </w:r>
      <w:r w:rsidRPr="00C93108">
        <w:rPr>
          <w:rFonts w:ascii="Verdana" w:hAnsi="Verdana"/>
        </w:rPr>
        <w:t xml:space="preserve">Universities transform lives - the typical graduate earns £31,000 a year as against £19,000 a year for a non-graduate. “  David </w:t>
      </w:r>
      <w:proofErr w:type="spellStart"/>
      <w:r w:rsidRPr="00C93108">
        <w:rPr>
          <w:rFonts w:ascii="Verdana" w:hAnsi="Verdana"/>
        </w:rPr>
        <w:t>Willetts</w:t>
      </w:r>
      <w:proofErr w:type="spellEnd"/>
      <w:r w:rsidRPr="00C93108">
        <w:rPr>
          <w:rFonts w:ascii="Verdana" w:hAnsi="Verdana"/>
        </w:rPr>
        <w:t xml:space="preserve"> </w:t>
      </w:r>
    </w:p>
    <w:p w:rsidR="00C93108" w:rsidRPr="00C93108" w:rsidRDefault="00C93108" w:rsidP="00C93108">
      <w:pPr>
        <w:autoSpaceDE w:val="0"/>
        <w:autoSpaceDN w:val="0"/>
        <w:adjustRightInd w:val="0"/>
        <w:spacing w:after="240" w:line="300" w:lineRule="atLeast"/>
        <w:ind w:left="567"/>
        <w:rPr>
          <w:rFonts w:ascii="Verdana" w:hAnsi="Verdana"/>
        </w:rPr>
      </w:pPr>
      <w:r w:rsidRPr="00C93108">
        <w:rPr>
          <w:rFonts w:ascii="Verdana" w:hAnsi="Verdana"/>
        </w:rPr>
        <w:t>“</w:t>
      </w:r>
      <w:proofErr w:type="gramStart"/>
      <w:r w:rsidRPr="00C93108">
        <w:rPr>
          <w:rFonts w:ascii="Verdana" w:hAnsi="Verdana"/>
        </w:rPr>
        <w:t>on</w:t>
      </w:r>
      <w:proofErr w:type="gramEnd"/>
      <w:r w:rsidRPr="00C93108">
        <w:rPr>
          <w:rFonts w:ascii="Verdana" w:hAnsi="Verdana"/>
        </w:rPr>
        <w:t xml:space="preserve"> average, graduates tend to earn substantially more than people with A-levels who did not go to university. Projected over a working lifetime, the difference is something like £100,000” </w:t>
      </w:r>
      <w:proofErr w:type="gramStart"/>
      <w:r w:rsidRPr="00C93108">
        <w:rPr>
          <w:rFonts w:ascii="Verdana" w:hAnsi="Verdana"/>
        </w:rPr>
        <w:t xml:space="preserve">–  </w:t>
      </w:r>
      <w:proofErr w:type="spellStart"/>
      <w:r w:rsidRPr="00C93108">
        <w:rPr>
          <w:rFonts w:ascii="Verdana" w:hAnsi="Verdana"/>
        </w:rPr>
        <w:t>Directgov</w:t>
      </w:r>
      <w:proofErr w:type="spellEnd"/>
      <w:proofErr w:type="gramEnd"/>
      <w:r w:rsidRPr="00C93108">
        <w:rPr>
          <w:rFonts w:ascii="Verdana" w:hAnsi="Verdana"/>
        </w:rPr>
        <w:t xml:space="preserve"> </w:t>
      </w:r>
    </w:p>
    <w:p w:rsidR="00DD30B3" w:rsidRDefault="00985964" w:rsidP="00671DF2">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D30B3">
        <w:rPr>
          <w:rFonts w:ascii="Verdana" w:hAnsi="Verdana"/>
        </w:rPr>
        <w:t xml:space="preserve"> </w:t>
      </w:r>
      <w:r w:rsidR="006E7ED1">
        <w:rPr>
          <w:rFonts w:ascii="Verdana" w:hAnsi="Verdana"/>
        </w:rPr>
        <w:t>These statistics</w:t>
      </w:r>
      <w:r w:rsidR="001E305C">
        <w:rPr>
          <w:rFonts w:ascii="Verdana" w:hAnsi="Verdana"/>
        </w:rPr>
        <w:t>,</w:t>
      </w:r>
      <w:r w:rsidR="006E7ED1">
        <w:rPr>
          <w:rFonts w:ascii="Verdana" w:hAnsi="Verdana"/>
        </w:rPr>
        <w:t xml:space="preserve"> </w:t>
      </w:r>
      <w:r w:rsidR="001E305C">
        <w:rPr>
          <w:rFonts w:ascii="Verdana" w:hAnsi="Verdana"/>
        </w:rPr>
        <w:t xml:space="preserve">quoted by the Minister and on the Government information web site, </w:t>
      </w:r>
      <w:r w:rsidR="006E7ED1">
        <w:rPr>
          <w:rFonts w:ascii="Verdana" w:hAnsi="Verdana"/>
        </w:rPr>
        <w:t xml:space="preserve">do not tell us what </w:t>
      </w:r>
      <w:r w:rsidR="0027260D" w:rsidRPr="00DD30B3">
        <w:rPr>
          <w:rFonts w:ascii="Verdana" w:hAnsi="Verdana"/>
        </w:rPr>
        <w:t>someone would earn had they d</w:t>
      </w:r>
      <w:r w:rsidR="00EC7168" w:rsidRPr="00DD30B3">
        <w:rPr>
          <w:rFonts w:ascii="Verdana" w:hAnsi="Verdana"/>
        </w:rPr>
        <w:t>ecided</w:t>
      </w:r>
      <w:r w:rsidR="0027260D" w:rsidRPr="00DD30B3">
        <w:rPr>
          <w:rFonts w:ascii="Verdana" w:hAnsi="Verdana"/>
        </w:rPr>
        <w:t xml:space="preserve"> di</w:t>
      </w:r>
      <w:r w:rsidR="00963B98" w:rsidRPr="00DD30B3">
        <w:rPr>
          <w:rFonts w:ascii="Verdana" w:hAnsi="Verdana"/>
        </w:rPr>
        <w:t>f</w:t>
      </w:r>
      <w:r w:rsidR="0027260D" w:rsidRPr="00DD30B3">
        <w:rPr>
          <w:rFonts w:ascii="Verdana" w:hAnsi="Verdana"/>
        </w:rPr>
        <w:t>ferently</w:t>
      </w:r>
      <w:r w:rsidR="00126A35">
        <w:rPr>
          <w:rFonts w:ascii="Verdana" w:hAnsi="Verdana"/>
        </w:rPr>
        <w:t>, which</w:t>
      </w:r>
      <w:r w:rsidR="001E305C">
        <w:rPr>
          <w:rFonts w:ascii="Verdana" w:hAnsi="Verdana"/>
        </w:rPr>
        <w:t xml:space="preserve"> is what the prospective student needs to know. Also, note</w:t>
      </w:r>
      <w:r w:rsidR="00FD2AA8" w:rsidRPr="00DD30B3">
        <w:rPr>
          <w:rFonts w:ascii="Verdana" w:hAnsi="Verdana"/>
        </w:rPr>
        <w:t xml:space="preserve"> that the </w:t>
      </w:r>
      <w:r w:rsidR="00C93108">
        <w:rPr>
          <w:rFonts w:ascii="Verdana" w:hAnsi="Verdana"/>
        </w:rPr>
        <w:t xml:space="preserve">real </w:t>
      </w:r>
      <w:r w:rsidR="00FD2AA8" w:rsidRPr="00DD30B3">
        <w:rPr>
          <w:rFonts w:ascii="Verdana" w:hAnsi="Verdana"/>
        </w:rPr>
        <w:t xml:space="preserve">decision is whether or not to </w:t>
      </w:r>
      <w:r w:rsidR="00FD2AA8" w:rsidRPr="00DD30B3">
        <w:rPr>
          <w:rFonts w:ascii="Verdana" w:hAnsi="Verdana"/>
          <w:b/>
        </w:rPr>
        <w:t>start</w:t>
      </w:r>
      <w:r w:rsidR="00FD2AA8" w:rsidRPr="00DD30B3">
        <w:rPr>
          <w:rFonts w:ascii="Verdana" w:hAnsi="Verdana"/>
        </w:rPr>
        <w:t xml:space="preserve"> a higher education course, which does not necessarily result in gaining a qualification</w:t>
      </w:r>
      <w:r w:rsidR="0084238C">
        <w:rPr>
          <w:rFonts w:ascii="Verdana" w:hAnsi="Verdana"/>
        </w:rPr>
        <w:t>. Most</w:t>
      </w:r>
      <w:r w:rsidR="00FD2AA8" w:rsidRPr="00DD30B3">
        <w:rPr>
          <w:rFonts w:ascii="Verdana" w:hAnsi="Verdana"/>
        </w:rPr>
        <w:t xml:space="preserve"> estimates of the returns to higher education </w:t>
      </w:r>
      <w:r w:rsidR="006C2BB3" w:rsidRPr="00DD30B3">
        <w:rPr>
          <w:rFonts w:ascii="Verdana" w:hAnsi="Verdana"/>
        </w:rPr>
        <w:t>refer to the returns to graduates</w:t>
      </w:r>
      <w:r w:rsidR="0084238C">
        <w:rPr>
          <w:rFonts w:ascii="Verdana" w:hAnsi="Verdana"/>
        </w:rPr>
        <w:t xml:space="preserve">. </w:t>
      </w:r>
      <w:r w:rsidR="006C2BB3" w:rsidRPr="00DD30B3">
        <w:rPr>
          <w:rFonts w:ascii="Verdana" w:hAnsi="Verdana"/>
        </w:rPr>
        <w:t xml:space="preserve">Given that </w:t>
      </w:r>
      <w:r w:rsidR="00D96F2B">
        <w:rPr>
          <w:rFonts w:ascii="Verdana" w:hAnsi="Verdana"/>
        </w:rPr>
        <w:t xml:space="preserve">on average </w:t>
      </w:r>
      <w:r w:rsidR="006C2BB3" w:rsidRPr="00DD30B3">
        <w:rPr>
          <w:rFonts w:ascii="Verdana" w:hAnsi="Verdana"/>
        </w:rPr>
        <w:t xml:space="preserve">the labour market outcomes of those who drop out are poor, in fact probably worse than those who do not enter at all, this necessarily presents a rosy picture of higher education. </w:t>
      </w:r>
    </w:p>
    <w:p w:rsidR="00DD30B3" w:rsidRDefault="00BE4E92" w:rsidP="00AE44E8">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D30B3">
        <w:rPr>
          <w:rFonts w:ascii="Verdana" w:hAnsi="Verdana"/>
        </w:rPr>
        <w:lastRenderedPageBreak/>
        <w:t xml:space="preserve">Many studies try to compare those who could enter HE, but don’t, with those that do. But how similar are theses two groups? </w:t>
      </w:r>
      <w:r w:rsidR="00586462" w:rsidRPr="00DD30B3">
        <w:rPr>
          <w:rFonts w:ascii="Verdana" w:hAnsi="Verdana"/>
        </w:rPr>
        <w:t>With data matching we can get</w:t>
      </w:r>
      <w:r w:rsidR="007E055A" w:rsidRPr="00DD30B3">
        <w:rPr>
          <w:rFonts w:ascii="Verdana" w:hAnsi="Verdana"/>
        </w:rPr>
        <w:t xml:space="preserve"> a fairly accurate picture</w:t>
      </w:r>
      <w:r w:rsidR="00F02551" w:rsidRPr="00DD30B3">
        <w:rPr>
          <w:rFonts w:ascii="Verdana" w:hAnsi="Verdana"/>
          <w:vertAlign w:val="superscript"/>
        </w:rPr>
        <w:t>2</w:t>
      </w:r>
      <w:r w:rsidR="00126A35">
        <w:rPr>
          <w:rFonts w:ascii="Verdana" w:hAnsi="Verdana"/>
        </w:rPr>
        <w:t>. T</w:t>
      </w:r>
      <w:r w:rsidR="00586462" w:rsidRPr="00DD30B3">
        <w:rPr>
          <w:rFonts w:ascii="Verdana" w:hAnsi="Verdana"/>
        </w:rPr>
        <w:t xml:space="preserve">he figures I </w:t>
      </w:r>
      <w:r w:rsidR="007E055A" w:rsidRPr="00DD30B3">
        <w:rPr>
          <w:rFonts w:ascii="Verdana" w:hAnsi="Verdana"/>
        </w:rPr>
        <w:t xml:space="preserve">will </w:t>
      </w:r>
      <w:r w:rsidR="00586462" w:rsidRPr="00DD30B3">
        <w:rPr>
          <w:rFonts w:ascii="Verdana" w:hAnsi="Verdana"/>
        </w:rPr>
        <w:t>show here refer to</w:t>
      </w:r>
      <w:r w:rsidR="000E5446">
        <w:rPr>
          <w:rFonts w:ascii="Verdana" w:hAnsi="Verdana"/>
        </w:rPr>
        <w:t xml:space="preserve"> the following population</w:t>
      </w:r>
      <w:r w:rsidR="00586462" w:rsidRPr="00DD30B3">
        <w:rPr>
          <w:rFonts w:ascii="Verdana" w:hAnsi="Verdana"/>
        </w:rPr>
        <w:t>:</w:t>
      </w:r>
    </w:p>
    <w:p w:rsidR="00DD30B3" w:rsidRPr="00DD30B3" w:rsidRDefault="00DD30B3" w:rsidP="00DD30B3">
      <w:pPr>
        <w:pStyle w:val="ListParagraph"/>
        <w:numPr>
          <w:ilvl w:val="0"/>
          <w:numId w:val="9"/>
        </w:numPr>
        <w:spacing w:line="300" w:lineRule="atLeast"/>
        <w:rPr>
          <w:rFonts w:ascii="Verdana" w:hAnsi="Verdana"/>
        </w:rPr>
      </w:pPr>
      <w:r w:rsidRPr="00DD30B3">
        <w:rPr>
          <w:rFonts w:ascii="Verdana" w:hAnsi="Verdana"/>
        </w:rPr>
        <w:t xml:space="preserve">Students at English state schools and colleges </w:t>
      </w:r>
    </w:p>
    <w:p w:rsidR="00DD30B3" w:rsidRPr="00DD30B3" w:rsidRDefault="00DD30B3" w:rsidP="00DD30B3">
      <w:pPr>
        <w:pStyle w:val="ListParagraph"/>
        <w:numPr>
          <w:ilvl w:val="0"/>
          <w:numId w:val="9"/>
        </w:numPr>
        <w:spacing w:line="300" w:lineRule="atLeast"/>
        <w:rPr>
          <w:rFonts w:ascii="Verdana" w:hAnsi="Verdana"/>
        </w:rPr>
      </w:pPr>
      <w:r w:rsidRPr="00DD30B3">
        <w:rPr>
          <w:rFonts w:ascii="Verdana" w:hAnsi="Verdana"/>
        </w:rPr>
        <w:t xml:space="preserve">At least two A-levels or equivalents </w:t>
      </w:r>
    </w:p>
    <w:p w:rsidR="00DD30B3" w:rsidRPr="00DD30B3" w:rsidRDefault="00DD30B3" w:rsidP="00DD30B3">
      <w:pPr>
        <w:pStyle w:val="ListParagraph"/>
        <w:numPr>
          <w:ilvl w:val="0"/>
          <w:numId w:val="9"/>
        </w:numPr>
        <w:spacing w:line="300" w:lineRule="atLeast"/>
        <w:rPr>
          <w:rFonts w:ascii="Verdana" w:hAnsi="Verdana"/>
        </w:rPr>
      </w:pPr>
      <w:r w:rsidRPr="00DD30B3">
        <w:rPr>
          <w:rFonts w:ascii="Verdana" w:hAnsi="Verdana"/>
        </w:rPr>
        <w:t>At key stage 5 in 2008</w:t>
      </w:r>
    </w:p>
    <w:p w:rsidR="002E13FC" w:rsidRDefault="000E5446">
      <w:pPr>
        <w:spacing w:line="300" w:lineRule="atLeast"/>
        <w:rPr>
          <w:rFonts w:ascii="Verdana" w:hAnsi="Verdana"/>
        </w:rPr>
      </w:pPr>
      <w:r>
        <w:rPr>
          <w:rFonts w:ascii="Verdana" w:hAnsi="Verdana"/>
        </w:rPr>
        <w:t>This population is divided into those who enter a higher education course at a</w:t>
      </w:r>
      <w:r w:rsidR="00DD30B3" w:rsidRPr="000E5446">
        <w:rPr>
          <w:rFonts w:ascii="Verdana" w:hAnsi="Verdana"/>
        </w:rPr>
        <w:t xml:space="preserve"> UK HEI or English FEC within two years</w:t>
      </w:r>
      <w:r w:rsidR="00FF468E">
        <w:rPr>
          <w:rFonts w:ascii="Verdana" w:hAnsi="Verdana"/>
        </w:rPr>
        <w:t>,</w:t>
      </w:r>
      <w:r>
        <w:rPr>
          <w:rFonts w:ascii="Verdana" w:hAnsi="Verdana"/>
        </w:rPr>
        <w:t xml:space="preserve"> and those who don’t.</w:t>
      </w:r>
    </w:p>
    <w:p w:rsidR="00DD30B3" w:rsidRDefault="00D95974" w:rsidP="00DD30B3">
      <w:pPr>
        <w:pStyle w:val="ListParagraph"/>
        <w:autoSpaceDE w:val="0"/>
        <w:autoSpaceDN w:val="0"/>
        <w:adjustRightInd w:val="0"/>
        <w:spacing w:after="240" w:line="300" w:lineRule="atLeast"/>
        <w:ind w:left="0"/>
        <w:contextualSpacing w:val="0"/>
        <w:rPr>
          <w:rFonts w:ascii="Verdana" w:hAnsi="Verdana"/>
        </w:rPr>
      </w:pPr>
      <w:r w:rsidRPr="00DD30B3">
        <w:rPr>
          <w:rFonts w:ascii="Verdana" w:hAnsi="Verdana"/>
        </w:rPr>
        <w:t xml:space="preserve">Note that participation at universities outside the UK is not </w:t>
      </w:r>
      <w:r w:rsidR="00A5544B">
        <w:rPr>
          <w:rFonts w:ascii="Verdana" w:hAnsi="Verdana"/>
        </w:rPr>
        <w:t>recognised</w:t>
      </w:r>
      <w:r w:rsidR="001E305C">
        <w:rPr>
          <w:rFonts w:ascii="Verdana" w:hAnsi="Verdana"/>
        </w:rPr>
        <w:t xml:space="preserve">. </w:t>
      </w:r>
      <w:r w:rsidRPr="00DD30B3">
        <w:rPr>
          <w:rFonts w:ascii="Verdana" w:hAnsi="Verdana"/>
        </w:rPr>
        <w:t>I have excluded independ</w:t>
      </w:r>
      <w:r w:rsidR="007F2FDC" w:rsidRPr="00DD30B3">
        <w:rPr>
          <w:rFonts w:ascii="Verdana" w:hAnsi="Verdana"/>
        </w:rPr>
        <w:t>e</w:t>
      </w:r>
      <w:r w:rsidRPr="00DD30B3">
        <w:rPr>
          <w:rFonts w:ascii="Verdana" w:hAnsi="Verdana"/>
        </w:rPr>
        <w:t>nt school pupils because significant numbers go on to study abroad.</w:t>
      </w:r>
    </w:p>
    <w:p w:rsidR="00C93108" w:rsidRPr="00C93108" w:rsidRDefault="00DD30B3" w:rsidP="00441FF3">
      <w:pPr>
        <w:pStyle w:val="ListParagraph"/>
        <w:numPr>
          <w:ilvl w:val="0"/>
          <w:numId w:val="8"/>
        </w:numPr>
        <w:autoSpaceDE w:val="0"/>
        <w:autoSpaceDN w:val="0"/>
        <w:adjustRightInd w:val="0"/>
        <w:spacing w:after="240" w:line="300" w:lineRule="atLeast"/>
        <w:ind w:left="0" w:firstLine="0"/>
        <w:contextualSpacing w:val="0"/>
        <w:rPr>
          <w:rFonts w:ascii="Verdana" w:hAnsi="Verdana"/>
          <w:b/>
        </w:rPr>
      </w:pPr>
      <w:r w:rsidRPr="00C93108">
        <w:rPr>
          <w:rFonts w:ascii="Verdana" w:hAnsi="Verdana"/>
        </w:rPr>
        <w:t xml:space="preserve"> </w:t>
      </w:r>
      <w:r w:rsidR="00097C23" w:rsidRPr="00C93108">
        <w:rPr>
          <w:rFonts w:ascii="Verdana" w:hAnsi="Verdana"/>
          <w:b/>
        </w:rPr>
        <w:t>Figure 1: Qualification profiles</w:t>
      </w:r>
    </w:p>
    <w:p w:rsidR="00BE4E92" w:rsidRPr="00BE4E92" w:rsidRDefault="00097C23" w:rsidP="00441FF3">
      <w:pPr>
        <w:spacing w:line="300" w:lineRule="atLeast"/>
        <w:rPr>
          <w:rFonts w:ascii="Verdana" w:hAnsi="Verdana"/>
        </w:rPr>
      </w:pPr>
      <w:r w:rsidRPr="00097C23">
        <w:rPr>
          <w:rFonts w:ascii="Verdana" w:hAnsi="Verdana"/>
          <w:noProof/>
          <w:lang w:val="en-US"/>
        </w:rPr>
        <w:drawing>
          <wp:inline distT="0" distB="0" distL="0" distR="0">
            <wp:extent cx="5731510" cy="3742627"/>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3108" w:rsidRPr="00305F89" w:rsidRDefault="001E305C" w:rsidP="00C93108">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Here are the qualification profiles for </w:t>
      </w:r>
      <w:r w:rsidR="00C93108">
        <w:rPr>
          <w:rFonts w:ascii="Verdana" w:hAnsi="Verdana"/>
        </w:rPr>
        <w:t>those who go on to higher education and those who don’t. The blue columns show the distribution of qualifications for those who go into higher education, the red for those who don’t.</w:t>
      </w:r>
      <w:r w:rsidR="00C93108" w:rsidRPr="00305F89">
        <w:rPr>
          <w:rFonts w:ascii="Verdana" w:hAnsi="Verdana"/>
        </w:rPr>
        <w:t xml:space="preserve"> </w:t>
      </w:r>
      <w:r w:rsidR="00094907">
        <w:rPr>
          <w:rFonts w:ascii="Verdana" w:hAnsi="Verdana"/>
        </w:rPr>
        <w:t>Remember we are talking here just about those with at least the equivalent of two A-levels</w:t>
      </w:r>
    </w:p>
    <w:p w:rsidR="00DD30B3" w:rsidRDefault="00747CAD" w:rsidP="00441FF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D30B3">
        <w:rPr>
          <w:rFonts w:ascii="Verdana" w:hAnsi="Verdana"/>
        </w:rPr>
        <w:t>The first thing to notice is that the International Baccal</w:t>
      </w:r>
      <w:r w:rsidR="00097C23" w:rsidRPr="00DD30B3">
        <w:rPr>
          <w:rFonts w:ascii="Verdana" w:hAnsi="Verdana"/>
        </w:rPr>
        <w:t>a</w:t>
      </w:r>
      <w:r w:rsidRPr="00DD30B3">
        <w:rPr>
          <w:rFonts w:ascii="Verdana" w:hAnsi="Verdana"/>
        </w:rPr>
        <w:t xml:space="preserve">ureate is irrelevant. Though much talked about, very few students take it. </w:t>
      </w:r>
      <w:r w:rsidR="00094907">
        <w:rPr>
          <w:rFonts w:ascii="Verdana" w:hAnsi="Verdana"/>
        </w:rPr>
        <w:t>Apart from that, the profiles of the H</w:t>
      </w:r>
      <w:r w:rsidR="00272230">
        <w:rPr>
          <w:rFonts w:ascii="Verdana" w:hAnsi="Verdana"/>
        </w:rPr>
        <w:t>E</w:t>
      </w:r>
      <w:r w:rsidR="00094907">
        <w:rPr>
          <w:rFonts w:ascii="Verdana" w:hAnsi="Verdana"/>
        </w:rPr>
        <w:t xml:space="preserve"> entrants and non-entrants are very different. They are not comparable groups. </w:t>
      </w:r>
    </w:p>
    <w:p w:rsidR="00747CAD" w:rsidRPr="00DD30B3" w:rsidRDefault="00C93108" w:rsidP="00441FF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lastRenderedPageBreak/>
        <w:t xml:space="preserve"> </w:t>
      </w:r>
      <w:r w:rsidR="00097C23" w:rsidRPr="00DD30B3">
        <w:rPr>
          <w:rFonts w:ascii="Verdana" w:hAnsi="Verdana"/>
        </w:rPr>
        <w:t xml:space="preserve">Let’s look in detail at those with </w:t>
      </w:r>
      <w:r w:rsidR="00877718" w:rsidRPr="00DD30B3">
        <w:rPr>
          <w:rFonts w:ascii="Verdana" w:hAnsi="Verdana"/>
        </w:rPr>
        <w:t>three A-levels</w:t>
      </w:r>
      <w:r w:rsidR="00097C23" w:rsidRPr="00DD30B3">
        <w:rPr>
          <w:rFonts w:ascii="Verdana" w:hAnsi="Verdana"/>
        </w:rPr>
        <w:t xml:space="preserve">. </w:t>
      </w:r>
    </w:p>
    <w:p w:rsidR="00195AFB" w:rsidRPr="00195AFB" w:rsidRDefault="00195AFB" w:rsidP="00441FF3">
      <w:pPr>
        <w:spacing w:line="300" w:lineRule="atLeast"/>
        <w:rPr>
          <w:rFonts w:ascii="Verdana" w:hAnsi="Verdana"/>
          <w:b/>
        </w:rPr>
      </w:pPr>
      <w:r w:rsidRPr="00195AFB">
        <w:rPr>
          <w:rFonts w:ascii="Verdana" w:hAnsi="Verdana"/>
          <w:b/>
        </w:rPr>
        <w:t>Figure 2: Profile of tariff points for those with 3 A-levels</w:t>
      </w:r>
    </w:p>
    <w:p w:rsidR="00195AFB" w:rsidRDefault="00195AFB" w:rsidP="00441FF3">
      <w:pPr>
        <w:spacing w:line="300" w:lineRule="atLeast"/>
        <w:rPr>
          <w:rFonts w:ascii="Verdana" w:hAnsi="Verdana"/>
        </w:rPr>
      </w:pPr>
      <w:r w:rsidRPr="00195AFB">
        <w:rPr>
          <w:rFonts w:ascii="Verdana" w:hAnsi="Verdana"/>
          <w:noProof/>
          <w:lang w:val="en-US"/>
        </w:rPr>
        <w:drawing>
          <wp:inline distT="0" distB="0" distL="0" distR="0">
            <wp:extent cx="5731510" cy="3742627"/>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30B3" w:rsidRDefault="00C93108" w:rsidP="00671DF2">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094907">
        <w:rPr>
          <w:rFonts w:ascii="Verdana" w:hAnsi="Verdana"/>
        </w:rPr>
        <w:t xml:space="preserve"> This shows that even for those with at least three A-levels, when we look at the grades, HE entrants and non-entrants are quite different. </w:t>
      </w:r>
    </w:p>
    <w:p w:rsidR="001421C0" w:rsidRDefault="001E1E95" w:rsidP="00963B98">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C93108">
        <w:rPr>
          <w:rFonts w:ascii="Verdana" w:hAnsi="Verdana"/>
        </w:rPr>
        <w:t xml:space="preserve"> </w:t>
      </w:r>
      <w:r w:rsidR="006C2BB3" w:rsidRPr="001421C0">
        <w:rPr>
          <w:rFonts w:ascii="Verdana" w:hAnsi="Verdana"/>
        </w:rPr>
        <w:t xml:space="preserve">As well as differences in qualifications and grades, entrants and non-entrants </w:t>
      </w:r>
      <w:r w:rsidR="00F545C4" w:rsidRPr="001421C0">
        <w:rPr>
          <w:rFonts w:ascii="Verdana" w:hAnsi="Verdana"/>
        </w:rPr>
        <w:t xml:space="preserve">will </w:t>
      </w:r>
      <w:r w:rsidR="006C2BB3" w:rsidRPr="001421C0">
        <w:rPr>
          <w:rFonts w:ascii="Verdana" w:hAnsi="Verdana"/>
        </w:rPr>
        <w:t>also differ in the subjects</w:t>
      </w:r>
      <w:r w:rsidR="009B1580" w:rsidRPr="001421C0">
        <w:rPr>
          <w:rFonts w:ascii="Verdana" w:hAnsi="Verdana"/>
        </w:rPr>
        <w:t xml:space="preserve"> they take</w:t>
      </w:r>
      <w:r w:rsidR="00F545C4" w:rsidRPr="001421C0">
        <w:rPr>
          <w:rFonts w:ascii="Verdana" w:hAnsi="Verdana"/>
        </w:rPr>
        <w:t>.</w:t>
      </w:r>
      <w:r w:rsidR="006C2BB3" w:rsidRPr="001421C0">
        <w:rPr>
          <w:rFonts w:ascii="Verdana" w:hAnsi="Verdana"/>
        </w:rPr>
        <w:t xml:space="preserve"> </w:t>
      </w:r>
      <w:r w:rsidR="00671DF2" w:rsidRPr="001421C0">
        <w:rPr>
          <w:rFonts w:ascii="Verdana" w:hAnsi="Verdana"/>
        </w:rPr>
        <w:t>M</w:t>
      </w:r>
      <w:r w:rsidR="00195AFB" w:rsidRPr="001421C0">
        <w:rPr>
          <w:rFonts w:ascii="Verdana" w:hAnsi="Verdana"/>
        </w:rPr>
        <w:t>any</w:t>
      </w:r>
      <w:r w:rsidR="00671DF2" w:rsidRPr="001421C0">
        <w:rPr>
          <w:rFonts w:ascii="Verdana" w:hAnsi="Verdana"/>
        </w:rPr>
        <w:t xml:space="preserve"> of the estimates do not allow for </w:t>
      </w:r>
      <w:r w:rsidR="006C2BB3" w:rsidRPr="001421C0">
        <w:rPr>
          <w:rFonts w:ascii="Verdana" w:hAnsi="Verdana"/>
        </w:rPr>
        <w:t xml:space="preserve">any of </w:t>
      </w:r>
      <w:r w:rsidR="00671DF2" w:rsidRPr="001421C0">
        <w:rPr>
          <w:rFonts w:ascii="Verdana" w:hAnsi="Verdana"/>
        </w:rPr>
        <w:t>these differences</w:t>
      </w:r>
      <w:r w:rsidR="006C2BB3" w:rsidRPr="001421C0">
        <w:rPr>
          <w:rFonts w:ascii="Verdana" w:hAnsi="Verdana"/>
        </w:rPr>
        <w:t>, and the few that do, do so in a simplified way</w:t>
      </w:r>
      <w:r w:rsidR="009B1580" w:rsidRPr="001421C0">
        <w:rPr>
          <w:rFonts w:ascii="Verdana" w:hAnsi="Verdana"/>
        </w:rPr>
        <w:t>, which does not fully capture the consequences for future earning</w:t>
      </w:r>
      <w:r w:rsidR="00D96F2B">
        <w:rPr>
          <w:rFonts w:ascii="Verdana" w:hAnsi="Verdana"/>
        </w:rPr>
        <w:t>s</w:t>
      </w:r>
      <w:r w:rsidR="00941679" w:rsidRPr="00941679">
        <w:rPr>
          <w:rFonts w:ascii="Verdana" w:hAnsi="Verdana"/>
          <w:vertAlign w:val="superscript"/>
        </w:rPr>
        <w:t>3</w:t>
      </w:r>
      <w:r w:rsidR="00941679">
        <w:rPr>
          <w:rFonts w:ascii="Verdana" w:hAnsi="Verdana"/>
        </w:rPr>
        <w:t>.</w:t>
      </w:r>
    </w:p>
    <w:p w:rsidR="001421C0" w:rsidRPr="001421C0" w:rsidRDefault="00315D18" w:rsidP="00963B98">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1421C0">
        <w:rPr>
          <w:rFonts w:ascii="Verdana" w:hAnsi="Verdana"/>
        </w:rPr>
        <w:t xml:space="preserve"> If y</w:t>
      </w:r>
      <w:r w:rsidR="000B5FD1" w:rsidRPr="001421C0">
        <w:rPr>
          <w:rFonts w:ascii="Verdana" w:hAnsi="Verdana"/>
        </w:rPr>
        <w:t xml:space="preserve">ou want to look at a time series, or even just get an up-to-date estimate, or if you want a large enough sample size to look at sub-groups, you will be unlikely to find a survey with the data to control for A-level grades or many of the other variables known to be important. As a result sources with only basic information, like the Labour Force Survey, are </w:t>
      </w:r>
      <w:r w:rsidR="001421C0" w:rsidRPr="001421C0">
        <w:rPr>
          <w:rFonts w:ascii="Verdana" w:hAnsi="Verdana"/>
        </w:rPr>
        <w:t xml:space="preserve">often </w:t>
      </w:r>
      <w:r w:rsidR="000B5FD1" w:rsidRPr="001421C0">
        <w:rPr>
          <w:rFonts w:ascii="Verdana" w:hAnsi="Verdana"/>
        </w:rPr>
        <w:t xml:space="preserve">used. The justification for this is </w:t>
      </w:r>
      <w:r w:rsidR="005908EC" w:rsidRPr="001421C0">
        <w:rPr>
          <w:rFonts w:ascii="Verdana" w:hAnsi="Verdana"/>
        </w:rPr>
        <w:t xml:space="preserve">that </w:t>
      </w:r>
      <w:r w:rsidR="000B5FD1" w:rsidRPr="001421C0">
        <w:rPr>
          <w:rFonts w:ascii="Verdana" w:hAnsi="Verdana"/>
        </w:rPr>
        <w:t>th</w:t>
      </w:r>
      <w:r w:rsidR="005908EC" w:rsidRPr="001421C0">
        <w:rPr>
          <w:rFonts w:ascii="Verdana" w:hAnsi="Verdana"/>
        </w:rPr>
        <w:t>e basic data leads to</w:t>
      </w:r>
      <w:r w:rsidR="000B5FD1" w:rsidRPr="001421C0">
        <w:rPr>
          <w:rFonts w:ascii="Verdana" w:hAnsi="Verdana"/>
        </w:rPr>
        <w:t xml:space="preserve"> upward and downward biases</w:t>
      </w:r>
      <w:r w:rsidR="005908EC" w:rsidRPr="001421C0">
        <w:rPr>
          <w:rFonts w:ascii="Verdana" w:hAnsi="Verdana"/>
        </w:rPr>
        <w:t xml:space="preserve">. While this will be the case to some extent, the idea that we can be confident that they cancel each other out does not stand up to scrutiny </w:t>
      </w:r>
      <w:r w:rsidR="00FC11AC" w:rsidRPr="001421C0">
        <w:rPr>
          <w:rFonts w:ascii="Verdana" w:hAnsi="Verdana"/>
          <w:vertAlign w:val="superscript"/>
        </w:rPr>
        <w:t>4</w:t>
      </w:r>
      <w:r w:rsidR="00963B98" w:rsidRPr="001421C0">
        <w:rPr>
          <w:rFonts w:ascii="Verdana" w:hAnsi="Verdana"/>
        </w:rPr>
        <w:t>.</w:t>
      </w:r>
    </w:p>
    <w:p w:rsidR="00941679" w:rsidRPr="00941679" w:rsidRDefault="001421C0"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i/>
        </w:rPr>
      </w:pPr>
      <w:r w:rsidRPr="00941679">
        <w:rPr>
          <w:rFonts w:ascii="Verdana" w:hAnsi="Verdana"/>
        </w:rPr>
        <w:t xml:space="preserve"> </w:t>
      </w:r>
      <w:r w:rsidR="00AF719F">
        <w:rPr>
          <w:rFonts w:ascii="Verdana" w:hAnsi="Verdana"/>
        </w:rPr>
        <w:t>T</w:t>
      </w:r>
      <w:r w:rsidR="00990803" w:rsidRPr="00941679">
        <w:rPr>
          <w:rFonts w:ascii="Verdana" w:hAnsi="Verdana"/>
        </w:rPr>
        <w:t xml:space="preserve">hose special studies that provide </w:t>
      </w:r>
      <w:r w:rsidR="005908EC" w:rsidRPr="00941679">
        <w:rPr>
          <w:rFonts w:ascii="Verdana" w:hAnsi="Verdana"/>
        </w:rPr>
        <w:t xml:space="preserve">the richest most detailed datasets </w:t>
      </w:r>
      <w:r w:rsidR="00AF719F">
        <w:rPr>
          <w:rFonts w:ascii="Verdana" w:hAnsi="Verdana"/>
        </w:rPr>
        <w:t xml:space="preserve">are not free from problems. Often, particularly for longitudinal surveys, there is a risk of response bias. And all studies </w:t>
      </w:r>
      <w:r w:rsidR="00050079" w:rsidRPr="00941679">
        <w:rPr>
          <w:rFonts w:ascii="Verdana" w:hAnsi="Verdana"/>
        </w:rPr>
        <w:t>suffer from two fundamental difficulties.</w:t>
      </w:r>
    </w:p>
    <w:p w:rsidR="00941679" w:rsidRDefault="00941679"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41679">
        <w:rPr>
          <w:rFonts w:ascii="Verdana" w:hAnsi="Verdana"/>
        </w:rPr>
        <w:t xml:space="preserve"> </w:t>
      </w:r>
      <w:r w:rsidR="00050079" w:rsidRPr="00941679">
        <w:rPr>
          <w:rFonts w:ascii="Verdana" w:hAnsi="Verdana"/>
        </w:rPr>
        <w:t>Firstly, those who</w:t>
      </w:r>
      <w:r w:rsidR="00C422C7" w:rsidRPr="00941679">
        <w:rPr>
          <w:rFonts w:ascii="Verdana" w:hAnsi="Verdana"/>
        </w:rPr>
        <w:t xml:space="preserve"> </w:t>
      </w:r>
      <w:r w:rsidR="00050079" w:rsidRPr="00941679">
        <w:rPr>
          <w:rFonts w:ascii="Verdana" w:hAnsi="Verdana"/>
        </w:rPr>
        <w:t>don’t go to university will differ from those who do</w:t>
      </w:r>
      <w:r w:rsidR="005217F5" w:rsidRPr="00941679">
        <w:rPr>
          <w:rFonts w:ascii="Verdana" w:hAnsi="Verdana"/>
        </w:rPr>
        <w:t>,</w:t>
      </w:r>
      <w:r w:rsidR="00050079" w:rsidRPr="00941679">
        <w:rPr>
          <w:rFonts w:ascii="Verdana" w:hAnsi="Verdana"/>
        </w:rPr>
        <w:t xml:space="preserve"> simply with respect of this decision. </w:t>
      </w:r>
      <w:r w:rsidR="00A018BD" w:rsidRPr="00941679">
        <w:rPr>
          <w:rFonts w:ascii="Verdana" w:hAnsi="Verdana"/>
        </w:rPr>
        <w:t>There are technique</w:t>
      </w:r>
      <w:r w:rsidR="00963B98" w:rsidRPr="00941679">
        <w:rPr>
          <w:rFonts w:ascii="Verdana" w:hAnsi="Verdana"/>
        </w:rPr>
        <w:t>s</w:t>
      </w:r>
      <w:r w:rsidR="00A018BD" w:rsidRPr="00941679">
        <w:rPr>
          <w:rFonts w:ascii="Verdana" w:hAnsi="Verdana"/>
        </w:rPr>
        <w:t xml:space="preserve"> which pu</w:t>
      </w:r>
      <w:r w:rsidR="0024189A" w:rsidRPr="00941679">
        <w:rPr>
          <w:rFonts w:ascii="Verdana" w:hAnsi="Verdana"/>
        </w:rPr>
        <w:t>r</w:t>
      </w:r>
      <w:r w:rsidR="00A018BD" w:rsidRPr="00941679">
        <w:rPr>
          <w:rFonts w:ascii="Verdana" w:hAnsi="Verdana"/>
        </w:rPr>
        <w:t xml:space="preserve">port to </w:t>
      </w:r>
      <w:r w:rsidR="005217F5" w:rsidRPr="00941679">
        <w:rPr>
          <w:rFonts w:ascii="Verdana" w:hAnsi="Verdana"/>
        </w:rPr>
        <w:t xml:space="preserve">get over this </w:t>
      </w:r>
      <w:r w:rsidR="005217F5" w:rsidRPr="00941679">
        <w:rPr>
          <w:rFonts w:ascii="Verdana" w:hAnsi="Verdana"/>
        </w:rPr>
        <w:lastRenderedPageBreak/>
        <w:t xml:space="preserve">by </w:t>
      </w:r>
      <w:r w:rsidR="00A018BD" w:rsidRPr="00941679">
        <w:rPr>
          <w:rFonts w:ascii="Verdana" w:hAnsi="Verdana"/>
        </w:rPr>
        <w:t>reproduc</w:t>
      </w:r>
      <w:r w:rsidR="005217F5" w:rsidRPr="00941679">
        <w:rPr>
          <w:rFonts w:ascii="Verdana" w:hAnsi="Verdana"/>
        </w:rPr>
        <w:t>ing</w:t>
      </w:r>
      <w:r w:rsidR="00A018BD" w:rsidRPr="00941679">
        <w:rPr>
          <w:rFonts w:ascii="Verdana" w:hAnsi="Verdana"/>
        </w:rPr>
        <w:t xml:space="preserve"> the kind of comparison </w:t>
      </w:r>
      <w:r w:rsidR="00292907" w:rsidRPr="00941679">
        <w:rPr>
          <w:rFonts w:ascii="Verdana" w:hAnsi="Verdana"/>
        </w:rPr>
        <w:t xml:space="preserve">that </w:t>
      </w:r>
      <w:r w:rsidR="00963B98" w:rsidRPr="00941679">
        <w:rPr>
          <w:rFonts w:ascii="Verdana" w:hAnsi="Verdana"/>
        </w:rPr>
        <w:t xml:space="preserve">we </w:t>
      </w:r>
      <w:r w:rsidR="00A018BD" w:rsidRPr="00941679">
        <w:rPr>
          <w:rFonts w:ascii="Verdana" w:hAnsi="Verdana"/>
        </w:rPr>
        <w:t>can get from random sampling</w:t>
      </w:r>
      <w:r w:rsidR="0024189A" w:rsidRPr="00941679">
        <w:rPr>
          <w:rFonts w:ascii="Verdana" w:hAnsi="Verdana"/>
        </w:rPr>
        <w:t>, but in practice there are no data w</w:t>
      </w:r>
      <w:r w:rsidR="00963B98" w:rsidRPr="00941679">
        <w:rPr>
          <w:rFonts w:ascii="Verdana" w:hAnsi="Verdana"/>
        </w:rPr>
        <w:t>hich would allow us to use these technique</w:t>
      </w:r>
      <w:r w:rsidR="005217F5" w:rsidRPr="00941679">
        <w:rPr>
          <w:rFonts w:ascii="Verdana" w:hAnsi="Verdana"/>
        </w:rPr>
        <w:t>s</w:t>
      </w:r>
      <w:r w:rsidR="00733717" w:rsidRPr="00941679">
        <w:rPr>
          <w:rFonts w:ascii="Verdana" w:hAnsi="Verdana"/>
        </w:rPr>
        <w:t xml:space="preserve"> with confidence </w:t>
      </w:r>
      <w:r w:rsidR="00A02875" w:rsidRPr="00941679">
        <w:rPr>
          <w:rFonts w:ascii="Verdana" w:hAnsi="Verdana"/>
          <w:vertAlign w:val="superscript"/>
        </w:rPr>
        <w:t>5</w:t>
      </w:r>
      <w:r w:rsidR="00963B98" w:rsidRPr="00941679">
        <w:rPr>
          <w:rFonts w:ascii="Verdana" w:hAnsi="Verdana"/>
        </w:rPr>
        <w:t>.</w:t>
      </w:r>
    </w:p>
    <w:p w:rsidR="00941679" w:rsidRDefault="00941679"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41679">
        <w:rPr>
          <w:rFonts w:ascii="Verdana" w:hAnsi="Verdana"/>
        </w:rPr>
        <w:t xml:space="preserve"> </w:t>
      </w:r>
      <w:r w:rsidR="0024189A" w:rsidRPr="00941679">
        <w:rPr>
          <w:rFonts w:ascii="Verdana" w:hAnsi="Verdana"/>
        </w:rPr>
        <w:t>Going to university is a long term investment, which leads me to t</w:t>
      </w:r>
      <w:r w:rsidR="00B475D1" w:rsidRPr="00941679">
        <w:rPr>
          <w:rFonts w:ascii="Verdana" w:hAnsi="Verdana"/>
        </w:rPr>
        <w:t>he second fundamental difficulty</w:t>
      </w:r>
      <w:r w:rsidR="0024189A" w:rsidRPr="00941679">
        <w:rPr>
          <w:rFonts w:ascii="Verdana" w:hAnsi="Verdana"/>
        </w:rPr>
        <w:t xml:space="preserve">. We really would like know the </w:t>
      </w:r>
      <w:r w:rsidR="00752D8A" w:rsidRPr="00941679">
        <w:rPr>
          <w:rFonts w:ascii="Verdana" w:hAnsi="Verdana"/>
          <w:b/>
        </w:rPr>
        <w:t xml:space="preserve">lifetime </w:t>
      </w:r>
      <w:r w:rsidR="00B475D1" w:rsidRPr="00941679">
        <w:rPr>
          <w:rFonts w:ascii="Verdana" w:hAnsi="Verdana"/>
        </w:rPr>
        <w:t xml:space="preserve">earnings </w:t>
      </w:r>
      <w:r w:rsidR="00752D8A" w:rsidRPr="00941679">
        <w:rPr>
          <w:rFonts w:ascii="Verdana" w:hAnsi="Verdana"/>
        </w:rPr>
        <w:t>of those who are thinking about going to university.</w:t>
      </w:r>
      <w:r w:rsidR="0024189A" w:rsidRPr="00941679">
        <w:rPr>
          <w:rFonts w:ascii="Verdana" w:hAnsi="Verdana"/>
        </w:rPr>
        <w:t xml:space="preserve"> </w:t>
      </w:r>
      <w:r w:rsidR="00B475D1" w:rsidRPr="00941679">
        <w:rPr>
          <w:rFonts w:ascii="Verdana" w:hAnsi="Verdana"/>
        </w:rPr>
        <w:t xml:space="preserve">Someone aged 65 </w:t>
      </w:r>
      <w:r w:rsidR="00752D8A" w:rsidRPr="00941679">
        <w:rPr>
          <w:rFonts w:ascii="Verdana" w:hAnsi="Verdana"/>
        </w:rPr>
        <w:t>in 20</w:t>
      </w:r>
      <w:r w:rsidR="00315D18">
        <w:rPr>
          <w:rFonts w:ascii="Verdana" w:hAnsi="Verdana"/>
        </w:rPr>
        <w:t>12</w:t>
      </w:r>
      <w:r w:rsidR="00752D8A" w:rsidRPr="00941679">
        <w:rPr>
          <w:rFonts w:ascii="Verdana" w:hAnsi="Verdana"/>
        </w:rPr>
        <w:t xml:space="preserve"> </w:t>
      </w:r>
      <w:r w:rsidR="00B475D1" w:rsidRPr="00941679">
        <w:rPr>
          <w:rFonts w:ascii="Verdana" w:hAnsi="Verdana"/>
        </w:rPr>
        <w:t>will most likely h</w:t>
      </w:r>
      <w:r w:rsidR="00A2139B" w:rsidRPr="00941679">
        <w:rPr>
          <w:rFonts w:ascii="Verdana" w:hAnsi="Verdana"/>
        </w:rPr>
        <w:t>ave gone to university in 196</w:t>
      </w:r>
      <w:r w:rsidR="00315D18">
        <w:rPr>
          <w:rFonts w:ascii="Verdana" w:hAnsi="Verdana"/>
        </w:rPr>
        <w:t>5</w:t>
      </w:r>
      <w:r w:rsidR="00A2139B" w:rsidRPr="00941679">
        <w:rPr>
          <w:rFonts w:ascii="Verdana" w:hAnsi="Verdana"/>
        </w:rPr>
        <w:t>.</w:t>
      </w:r>
      <w:r w:rsidR="00E80C6E" w:rsidRPr="00941679">
        <w:rPr>
          <w:rFonts w:ascii="Verdana" w:hAnsi="Verdana"/>
        </w:rPr>
        <w:t xml:space="preserve"> </w:t>
      </w:r>
      <w:r w:rsidR="00B475D1" w:rsidRPr="00941679">
        <w:rPr>
          <w:rFonts w:ascii="Verdana" w:hAnsi="Verdana"/>
        </w:rPr>
        <w:t xml:space="preserve">Does his earnings tell us </w:t>
      </w:r>
      <w:r w:rsidR="009B1580" w:rsidRPr="00941679">
        <w:rPr>
          <w:rFonts w:ascii="Verdana" w:hAnsi="Verdana"/>
        </w:rPr>
        <w:t>much</w:t>
      </w:r>
      <w:r w:rsidR="00B475D1" w:rsidRPr="00941679">
        <w:rPr>
          <w:rFonts w:ascii="Verdana" w:hAnsi="Verdana"/>
        </w:rPr>
        <w:t xml:space="preserve"> about what </w:t>
      </w:r>
      <w:r w:rsidR="00752D8A" w:rsidRPr="00941679">
        <w:rPr>
          <w:rFonts w:ascii="Verdana" w:hAnsi="Verdana"/>
        </w:rPr>
        <w:t>future</w:t>
      </w:r>
      <w:r w:rsidR="00B475D1" w:rsidRPr="00941679">
        <w:rPr>
          <w:rFonts w:ascii="Verdana" w:hAnsi="Verdana"/>
        </w:rPr>
        <w:t xml:space="preserve"> students will earn at that age? </w:t>
      </w:r>
    </w:p>
    <w:p w:rsidR="00941679" w:rsidRPr="00941679" w:rsidRDefault="00C07135" w:rsidP="00941679">
      <w:pPr>
        <w:pStyle w:val="ListParagraph"/>
        <w:autoSpaceDE w:val="0"/>
        <w:autoSpaceDN w:val="0"/>
        <w:adjustRightInd w:val="0"/>
        <w:spacing w:after="240" w:line="300" w:lineRule="atLeast"/>
        <w:ind w:left="0"/>
        <w:contextualSpacing w:val="0"/>
        <w:rPr>
          <w:rFonts w:ascii="Verdana" w:hAnsi="Verdana"/>
        </w:rPr>
      </w:pPr>
      <w:r w:rsidRPr="00941679">
        <w:rPr>
          <w:rFonts w:ascii="Verdana" w:hAnsi="Verdana"/>
          <w:u w:val="single"/>
        </w:rPr>
        <w:t>What to study</w:t>
      </w:r>
      <w:r w:rsidR="002E7887" w:rsidRPr="00941679">
        <w:rPr>
          <w:rFonts w:ascii="Verdana" w:hAnsi="Verdana"/>
          <w:vertAlign w:val="superscript"/>
        </w:rPr>
        <w:t>6</w:t>
      </w:r>
    </w:p>
    <w:p w:rsidR="00DE20A2" w:rsidRDefault="00941679" w:rsidP="00DE20A2">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126A35">
        <w:rPr>
          <w:rFonts w:ascii="Verdana" w:hAnsi="Verdana"/>
          <w:vertAlign w:val="superscript"/>
        </w:rPr>
        <w:t xml:space="preserve"> </w:t>
      </w:r>
      <w:r w:rsidR="00A2139B" w:rsidRPr="00126A35">
        <w:rPr>
          <w:rFonts w:ascii="Verdana" w:hAnsi="Verdana"/>
        </w:rPr>
        <w:t xml:space="preserve">For those going to university, there are decisions about what and where to study.  </w:t>
      </w:r>
      <w:r w:rsidR="00835CD8" w:rsidRPr="00126A35">
        <w:rPr>
          <w:rFonts w:ascii="Verdana" w:hAnsi="Verdana"/>
        </w:rPr>
        <w:t xml:space="preserve">Estimates of the </w:t>
      </w:r>
      <w:r w:rsidR="00162B46" w:rsidRPr="00126A35">
        <w:rPr>
          <w:rFonts w:ascii="Verdana" w:hAnsi="Verdana"/>
        </w:rPr>
        <w:t xml:space="preserve">returns from studying </w:t>
      </w:r>
      <w:r w:rsidR="00835CD8" w:rsidRPr="00126A35">
        <w:rPr>
          <w:rFonts w:ascii="Verdana" w:hAnsi="Verdana"/>
        </w:rPr>
        <w:t xml:space="preserve">specific </w:t>
      </w:r>
      <w:r w:rsidR="00162B46" w:rsidRPr="00126A35">
        <w:rPr>
          <w:rFonts w:ascii="Verdana" w:hAnsi="Verdana"/>
        </w:rPr>
        <w:t>subjects</w:t>
      </w:r>
      <w:r w:rsidR="00835CD8" w:rsidRPr="00126A35">
        <w:rPr>
          <w:rFonts w:ascii="Verdana" w:hAnsi="Verdana"/>
        </w:rPr>
        <w:t xml:space="preserve"> have shown large </w:t>
      </w:r>
      <w:r w:rsidR="00E006F8" w:rsidRPr="00126A35">
        <w:rPr>
          <w:rFonts w:ascii="Verdana" w:hAnsi="Verdana"/>
        </w:rPr>
        <w:t>subject differences</w:t>
      </w:r>
      <w:r w:rsidR="00835CD8" w:rsidRPr="00126A35">
        <w:rPr>
          <w:rFonts w:ascii="Verdana" w:hAnsi="Verdana"/>
        </w:rPr>
        <w:t xml:space="preserve">. </w:t>
      </w:r>
      <w:proofErr w:type="gramStart"/>
      <w:r w:rsidR="00835CD8" w:rsidRPr="00126A35">
        <w:rPr>
          <w:rFonts w:ascii="Verdana" w:hAnsi="Verdana"/>
        </w:rPr>
        <w:t>A recent stud</w:t>
      </w:r>
      <w:r w:rsidR="00DE20A2">
        <w:rPr>
          <w:rFonts w:ascii="Verdana" w:hAnsi="Verdana"/>
        </w:rPr>
        <w:t>ies</w:t>
      </w:r>
      <w:proofErr w:type="gramEnd"/>
      <w:r w:rsidR="00272230" w:rsidRPr="00126A35">
        <w:rPr>
          <w:rFonts w:ascii="Verdana" w:hAnsi="Verdana"/>
        </w:rPr>
        <w:t xml:space="preserve"> by Professor Ian Walker</w:t>
      </w:r>
      <w:r w:rsidR="00835CD8" w:rsidRPr="00126A35">
        <w:rPr>
          <w:rFonts w:ascii="Verdana" w:hAnsi="Verdana"/>
        </w:rPr>
        <w:t xml:space="preserve"> </w:t>
      </w:r>
      <w:r w:rsidR="00990803" w:rsidRPr="00126A35">
        <w:rPr>
          <w:rFonts w:ascii="Verdana" w:hAnsi="Verdana"/>
        </w:rPr>
        <w:t xml:space="preserve">using the Labour Force Survey </w:t>
      </w:r>
      <w:r w:rsidR="00835CD8" w:rsidRPr="00126A35">
        <w:rPr>
          <w:rFonts w:ascii="Verdana" w:hAnsi="Verdana"/>
        </w:rPr>
        <w:t>found that</w:t>
      </w:r>
      <w:r w:rsidR="006067AC" w:rsidRPr="00126A35">
        <w:rPr>
          <w:rFonts w:ascii="Verdana" w:hAnsi="Verdana"/>
        </w:rPr>
        <w:t xml:space="preserve"> </w:t>
      </w:r>
      <w:r w:rsidR="00835CD8" w:rsidRPr="00126A35">
        <w:rPr>
          <w:rFonts w:ascii="Verdana" w:hAnsi="Verdana"/>
        </w:rPr>
        <w:t xml:space="preserve">Law, Economics and Management Sciences had the highest </w:t>
      </w:r>
      <w:r w:rsidR="00B219B1" w:rsidRPr="00126A35">
        <w:rPr>
          <w:rFonts w:ascii="Verdana" w:hAnsi="Verdana"/>
        </w:rPr>
        <w:t xml:space="preserve">lifetime </w:t>
      </w:r>
      <w:r w:rsidR="00835CD8" w:rsidRPr="00126A35">
        <w:rPr>
          <w:rFonts w:ascii="Verdana" w:hAnsi="Verdana"/>
        </w:rPr>
        <w:t>returns</w:t>
      </w:r>
      <w:r w:rsidR="00990803" w:rsidRPr="00126A35">
        <w:rPr>
          <w:rFonts w:ascii="Verdana" w:hAnsi="Verdana"/>
        </w:rPr>
        <w:t xml:space="preserve"> for men.</w:t>
      </w:r>
      <w:r w:rsidR="00162B46" w:rsidRPr="00126A35">
        <w:rPr>
          <w:rFonts w:ascii="Verdana" w:hAnsi="Verdana"/>
        </w:rPr>
        <w:t xml:space="preserve">  </w:t>
      </w:r>
      <w:r w:rsidR="00272230" w:rsidRPr="00126A35">
        <w:rPr>
          <w:rFonts w:ascii="Verdana" w:hAnsi="Verdana"/>
        </w:rPr>
        <w:t>Why should so many students choose subjects with much lower returns? The suggestion from Professor Walker is that</w:t>
      </w:r>
      <w:r w:rsidR="00DE20A2">
        <w:rPr>
          <w:rFonts w:ascii="Verdana" w:hAnsi="Verdana"/>
        </w:rPr>
        <w:t>,</w:t>
      </w:r>
      <w:r w:rsidR="00126A35" w:rsidRPr="00126A35">
        <w:rPr>
          <w:rFonts w:ascii="Verdana" w:hAnsi="Verdana"/>
        </w:rPr>
        <w:t xml:space="preserve"> </w:t>
      </w:r>
    </w:p>
    <w:p w:rsidR="00876E6A" w:rsidRPr="00272230" w:rsidRDefault="006067AC" w:rsidP="00DE20A2">
      <w:pPr>
        <w:pStyle w:val="ListParagraph"/>
        <w:autoSpaceDE w:val="0"/>
        <w:autoSpaceDN w:val="0"/>
        <w:adjustRightInd w:val="0"/>
        <w:spacing w:after="240" w:line="300" w:lineRule="atLeast"/>
        <w:ind w:left="567"/>
        <w:contextualSpacing w:val="0"/>
        <w:rPr>
          <w:rFonts w:ascii="Verdana" w:hAnsi="Verdana"/>
        </w:rPr>
      </w:pPr>
      <w:r w:rsidRPr="00272230">
        <w:rPr>
          <w:rFonts w:ascii="Verdana" w:hAnsi="Verdana"/>
        </w:rPr>
        <w:t>‘</w:t>
      </w:r>
      <w:r w:rsidR="00876E6A" w:rsidRPr="00272230">
        <w:rPr>
          <w:rFonts w:ascii="Verdana" w:hAnsi="Verdana"/>
        </w:rPr>
        <w:t>They’d rather have the fun now and pay for it, in terms of lower wages, in the future.</w:t>
      </w:r>
      <w:r w:rsidRPr="00272230">
        <w:rPr>
          <w:rFonts w:ascii="Verdana" w:hAnsi="Verdana"/>
        </w:rPr>
        <w:t>’</w:t>
      </w:r>
      <w:r w:rsidR="00EA43BB" w:rsidRPr="00272230">
        <w:rPr>
          <w:rFonts w:ascii="Verdana" w:hAnsi="Verdana"/>
        </w:rPr>
        <w:t xml:space="preserve"> </w:t>
      </w:r>
      <w:r w:rsidR="00315D18" w:rsidRPr="00272230">
        <w:rPr>
          <w:rFonts w:ascii="Verdana" w:hAnsi="Verdana"/>
        </w:rPr>
        <w:t xml:space="preserve"> </w:t>
      </w:r>
    </w:p>
    <w:p w:rsidR="00DB764A" w:rsidRDefault="00DB764A" w:rsidP="00DB764A">
      <w:pPr>
        <w:spacing w:line="300" w:lineRule="atLeast"/>
        <w:rPr>
          <w:rFonts w:ascii="Verdana" w:hAnsi="Verdana"/>
        </w:rPr>
      </w:pPr>
      <w:r>
        <w:rPr>
          <w:rFonts w:ascii="Verdana" w:hAnsi="Verdana"/>
        </w:rPr>
        <w:t xml:space="preserve">But just how secure are the results? </w:t>
      </w:r>
      <w:r w:rsidR="00D07703">
        <w:rPr>
          <w:rFonts w:ascii="Verdana" w:hAnsi="Verdana"/>
        </w:rPr>
        <w:t>And is this the only explanation</w:t>
      </w:r>
      <w:r w:rsidR="00293E86">
        <w:rPr>
          <w:rFonts w:ascii="Verdana" w:hAnsi="Verdana"/>
        </w:rPr>
        <w:t xml:space="preserve"> for students’ decisions</w:t>
      </w:r>
      <w:r w:rsidR="00D07703">
        <w:rPr>
          <w:rFonts w:ascii="Verdana" w:hAnsi="Verdana"/>
        </w:rPr>
        <w:t>?</w:t>
      </w:r>
      <w:r w:rsidR="00E128A0">
        <w:rPr>
          <w:rFonts w:ascii="Verdana" w:hAnsi="Verdana"/>
        </w:rPr>
        <w:t xml:space="preserve"> Consider the</w:t>
      </w:r>
      <w:r w:rsidR="007A39C9">
        <w:rPr>
          <w:rFonts w:ascii="Verdana" w:hAnsi="Verdana"/>
        </w:rPr>
        <w:t>se</w:t>
      </w:r>
      <w:r w:rsidR="00E128A0">
        <w:rPr>
          <w:rFonts w:ascii="Verdana" w:hAnsi="Verdana"/>
        </w:rPr>
        <w:t xml:space="preserve"> differentials </w:t>
      </w:r>
      <w:r w:rsidR="00E006F8">
        <w:rPr>
          <w:rFonts w:ascii="Verdana" w:hAnsi="Verdana"/>
        </w:rPr>
        <w:t>for men and women</w:t>
      </w:r>
      <w:r w:rsidR="007A39C9">
        <w:rPr>
          <w:rFonts w:ascii="Verdana" w:hAnsi="Verdana"/>
        </w:rPr>
        <w:t xml:space="preserve">. </w:t>
      </w:r>
      <w:r w:rsidR="00DD32A6">
        <w:rPr>
          <w:rFonts w:ascii="Verdana" w:hAnsi="Verdana"/>
        </w:rPr>
        <w:t xml:space="preserve"> </w:t>
      </w:r>
    </w:p>
    <w:p w:rsidR="00DD32A6" w:rsidRDefault="007C76BE" w:rsidP="00DB764A">
      <w:pPr>
        <w:spacing w:line="300" w:lineRule="atLeast"/>
        <w:rPr>
          <w:rFonts w:ascii="Verdana" w:hAnsi="Verdana"/>
          <w:b/>
        </w:rPr>
      </w:pPr>
      <w:r w:rsidRPr="007C76BE">
        <w:rPr>
          <w:rFonts w:ascii="Verdana" w:hAnsi="Verdana"/>
          <w:b/>
        </w:rPr>
        <w:t>Table 1:</w:t>
      </w:r>
      <w:r w:rsidR="00D642D7">
        <w:rPr>
          <w:rFonts w:ascii="Verdana" w:hAnsi="Verdana"/>
          <w:b/>
        </w:rPr>
        <w:t xml:space="preserve"> Earning differential for </w:t>
      </w:r>
      <w:r w:rsidR="0063508A">
        <w:rPr>
          <w:rFonts w:ascii="Verdana" w:hAnsi="Verdana"/>
          <w:b/>
        </w:rPr>
        <w:t xml:space="preserve">male and female graduates </w:t>
      </w:r>
      <w:r w:rsidR="00D642D7">
        <w:rPr>
          <w:rFonts w:ascii="Verdana" w:hAnsi="Verdana"/>
          <w:b/>
        </w:rPr>
        <w:t xml:space="preserve">compared to </w:t>
      </w:r>
      <w:r w:rsidR="0063508A">
        <w:rPr>
          <w:rFonts w:ascii="Verdana" w:hAnsi="Verdana"/>
          <w:b/>
        </w:rPr>
        <w:t xml:space="preserve">non-graduates with </w:t>
      </w:r>
      <w:r w:rsidR="00D642D7">
        <w:rPr>
          <w:rFonts w:ascii="Verdana" w:hAnsi="Verdana"/>
          <w:b/>
        </w:rPr>
        <w:t>2+ A-levels</w:t>
      </w:r>
    </w:p>
    <w:tbl>
      <w:tblPr>
        <w:tblStyle w:val="TableGrid"/>
        <w:tblW w:w="0" w:type="auto"/>
        <w:tblLook w:val="04A0" w:firstRow="1" w:lastRow="0" w:firstColumn="1" w:lastColumn="0" w:noHBand="0" w:noVBand="1"/>
      </w:tblPr>
      <w:tblGrid>
        <w:gridCol w:w="1951"/>
        <w:gridCol w:w="1985"/>
      </w:tblGrid>
      <w:tr w:rsidR="00DA0B1E" w:rsidTr="00DA0B1E">
        <w:tc>
          <w:tcPr>
            <w:tcW w:w="1951" w:type="dxa"/>
          </w:tcPr>
          <w:p w:rsidR="00DA0B1E" w:rsidRDefault="00DA0B1E" w:rsidP="00DA0B1E">
            <w:pPr>
              <w:spacing w:line="300" w:lineRule="atLeast"/>
              <w:rPr>
                <w:rFonts w:ascii="Verdana" w:hAnsi="Verdana"/>
              </w:rPr>
            </w:pPr>
          </w:p>
          <w:p w:rsidR="00DA0B1E" w:rsidRDefault="00DA0B1E" w:rsidP="00DA0B1E">
            <w:pPr>
              <w:spacing w:line="300" w:lineRule="atLeast"/>
              <w:rPr>
                <w:rFonts w:ascii="Verdana" w:hAnsi="Verdana"/>
              </w:rPr>
            </w:pPr>
            <w:r w:rsidRPr="00DA0B1E">
              <w:rPr>
                <w:rFonts w:ascii="Verdana" w:hAnsi="Verdana"/>
              </w:rPr>
              <w:t>Men</w:t>
            </w:r>
          </w:p>
          <w:p w:rsidR="00DA0B1E" w:rsidRPr="00DA0B1E" w:rsidRDefault="00DA0B1E" w:rsidP="00DA0B1E">
            <w:pPr>
              <w:spacing w:line="300" w:lineRule="atLeast"/>
              <w:rPr>
                <w:rFonts w:ascii="Verdana" w:hAnsi="Verdana"/>
              </w:rPr>
            </w:pPr>
          </w:p>
        </w:tc>
        <w:tc>
          <w:tcPr>
            <w:tcW w:w="1985" w:type="dxa"/>
          </w:tcPr>
          <w:p w:rsidR="00DA0B1E" w:rsidRPr="00D642D7" w:rsidRDefault="00DA0B1E" w:rsidP="00D642D7">
            <w:pPr>
              <w:spacing w:line="300" w:lineRule="atLeast"/>
              <w:jc w:val="right"/>
              <w:rPr>
                <w:rFonts w:ascii="Verdana" w:hAnsi="Verdana"/>
              </w:rPr>
            </w:pPr>
          </w:p>
          <w:p w:rsidR="00D642D7" w:rsidRPr="00D642D7" w:rsidRDefault="00D642D7" w:rsidP="00D642D7">
            <w:pPr>
              <w:spacing w:line="300" w:lineRule="atLeast"/>
              <w:jc w:val="right"/>
              <w:rPr>
                <w:rFonts w:ascii="Verdana" w:hAnsi="Verdana"/>
              </w:rPr>
            </w:pPr>
            <w:r w:rsidRPr="00D642D7">
              <w:rPr>
                <w:rFonts w:ascii="Verdana" w:hAnsi="Verdana"/>
              </w:rPr>
              <w:t>22%</w:t>
            </w:r>
          </w:p>
        </w:tc>
      </w:tr>
      <w:tr w:rsidR="00DA0B1E" w:rsidTr="00DA0B1E">
        <w:tc>
          <w:tcPr>
            <w:tcW w:w="1951" w:type="dxa"/>
          </w:tcPr>
          <w:p w:rsidR="00DA0B1E" w:rsidRDefault="00DA0B1E" w:rsidP="00DB764A">
            <w:pPr>
              <w:spacing w:line="300" w:lineRule="atLeast"/>
              <w:rPr>
                <w:rFonts w:ascii="Verdana" w:hAnsi="Verdana"/>
              </w:rPr>
            </w:pPr>
          </w:p>
          <w:p w:rsidR="00DA0B1E" w:rsidRDefault="00DA0B1E" w:rsidP="00DB764A">
            <w:pPr>
              <w:spacing w:line="300" w:lineRule="atLeast"/>
              <w:rPr>
                <w:rFonts w:ascii="Verdana" w:hAnsi="Verdana"/>
              </w:rPr>
            </w:pPr>
            <w:r w:rsidRPr="00DA0B1E">
              <w:rPr>
                <w:rFonts w:ascii="Verdana" w:hAnsi="Verdana"/>
              </w:rPr>
              <w:t>Women</w:t>
            </w:r>
          </w:p>
          <w:p w:rsidR="00DA0B1E" w:rsidRPr="00DA0B1E" w:rsidRDefault="00DA0B1E" w:rsidP="00DB764A">
            <w:pPr>
              <w:spacing w:line="300" w:lineRule="atLeast"/>
              <w:rPr>
                <w:rFonts w:ascii="Verdana" w:hAnsi="Verdana"/>
              </w:rPr>
            </w:pPr>
          </w:p>
        </w:tc>
        <w:tc>
          <w:tcPr>
            <w:tcW w:w="1985" w:type="dxa"/>
          </w:tcPr>
          <w:p w:rsidR="00DA0B1E" w:rsidRPr="00D642D7" w:rsidRDefault="00DA0B1E" w:rsidP="00D642D7">
            <w:pPr>
              <w:spacing w:line="300" w:lineRule="atLeast"/>
              <w:jc w:val="right"/>
              <w:rPr>
                <w:rFonts w:ascii="Verdana" w:hAnsi="Verdana"/>
              </w:rPr>
            </w:pPr>
          </w:p>
          <w:p w:rsidR="00D642D7" w:rsidRPr="00D642D7" w:rsidRDefault="00D642D7" w:rsidP="00D642D7">
            <w:pPr>
              <w:spacing w:line="300" w:lineRule="atLeast"/>
              <w:jc w:val="right"/>
              <w:rPr>
                <w:rFonts w:ascii="Verdana" w:hAnsi="Verdana"/>
              </w:rPr>
            </w:pPr>
            <w:r w:rsidRPr="00D642D7">
              <w:rPr>
                <w:rFonts w:ascii="Verdana" w:hAnsi="Verdana"/>
              </w:rPr>
              <w:t>36%</w:t>
            </w:r>
          </w:p>
        </w:tc>
      </w:tr>
      <w:tr w:rsidR="00DA0B1E" w:rsidTr="00DA0B1E">
        <w:tc>
          <w:tcPr>
            <w:tcW w:w="1951" w:type="dxa"/>
          </w:tcPr>
          <w:p w:rsidR="00DA0B1E" w:rsidRDefault="00DA0B1E" w:rsidP="00DB764A">
            <w:pPr>
              <w:spacing w:line="300" w:lineRule="atLeast"/>
              <w:rPr>
                <w:rFonts w:ascii="Verdana" w:hAnsi="Verdana"/>
              </w:rPr>
            </w:pPr>
          </w:p>
          <w:p w:rsidR="00DA0B1E" w:rsidRDefault="00DA0B1E" w:rsidP="00DB764A">
            <w:pPr>
              <w:spacing w:line="300" w:lineRule="atLeast"/>
              <w:rPr>
                <w:rFonts w:ascii="Verdana" w:hAnsi="Verdana"/>
              </w:rPr>
            </w:pPr>
            <w:r w:rsidRPr="00DA0B1E">
              <w:rPr>
                <w:rFonts w:ascii="Verdana" w:hAnsi="Verdana"/>
              </w:rPr>
              <w:t xml:space="preserve">Women </w:t>
            </w:r>
            <w:r>
              <w:rPr>
                <w:rFonts w:ascii="Verdana" w:hAnsi="Verdana"/>
              </w:rPr>
              <w:t>–</w:t>
            </w:r>
            <w:r w:rsidRPr="00DA0B1E">
              <w:rPr>
                <w:rFonts w:ascii="Verdana" w:hAnsi="Verdana"/>
              </w:rPr>
              <w:t xml:space="preserve"> Men</w:t>
            </w:r>
          </w:p>
          <w:p w:rsidR="00DA0B1E" w:rsidRPr="00DA0B1E" w:rsidRDefault="00DA0B1E" w:rsidP="00DB764A">
            <w:pPr>
              <w:spacing w:line="300" w:lineRule="atLeast"/>
              <w:rPr>
                <w:rFonts w:ascii="Verdana" w:hAnsi="Verdana"/>
              </w:rPr>
            </w:pPr>
          </w:p>
        </w:tc>
        <w:tc>
          <w:tcPr>
            <w:tcW w:w="1985" w:type="dxa"/>
          </w:tcPr>
          <w:p w:rsidR="00DA0B1E" w:rsidRPr="00D642D7" w:rsidRDefault="00DA0B1E" w:rsidP="00D642D7">
            <w:pPr>
              <w:spacing w:line="300" w:lineRule="atLeast"/>
              <w:jc w:val="right"/>
              <w:rPr>
                <w:rFonts w:ascii="Verdana" w:hAnsi="Verdana"/>
              </w:rPr>
            </w:pPr>
          </w:p>
          <w:p w:rsidR="00D642D7" w:rsidRPr="00D642D7" w:rsidRDefault="00D642D7" w:rsidP="00D642D7">
            <w:pPr>
              <w:spacing w:line="300" w:lineRule="atLeast"/>
              <w:jc w:val="right"/>
              <w:rPr>
                <w:rFonts w:ascii="Verdana" w:hAnsi="Verdana"/>
              </w:rPr>
            </w:pPr>
            <w:r w:rsidRPr="00D642D7">
              <w:rPr>
                <w:rFonts w:ascii="Verdana" w:hAnsi="Verdana"/>
              </w:rPr>
              <w:t>14%</w:t>
            </w:r>
          </w:p>
        </w:tc>
      </w:tr>
    </w:tbl>
    <w:p w:rsidR="00D07703" w:rsidRPr="00DE20A2" w:rsidRDefault="00B219B1" w:rsidP="00DB764A">
      <w:pPr>
        <w:spacing w:line="300" w:lineRule="atLeast"/>
        <w:rPr>
          <w:rFonts w:ascii="Verdana" w:hAnsi="Verdana"/>
          <w:i/>
          <w:sz w:val="18"/>
          <w:szCs w:val="18"/>
        </w:rPr>
      </w:pPr>
      <w:r w:rsidRPr="00DE20A2">
        <w:rPr>
          <w:rFonts w:ascii="Verdana" w:hAnsi="Verdana"/>
          <w:i/>
          <w:sz w:val="18"/>
          <w:szCs w:val="18"/>
        </w:rPr>
        <w:t xml:space="preserve">Derived from data presented in </w:t>
      </w:r>
      <w:r w:rsidR="00DE20A2" w:rsidRPr="00DE20A2">
        <w:rPr>
          <w:rFonts w:ascii="Verdana" w:hAnsi="Verdana"/>
          <w:i/>
          <w:sz w:val="18"/>
          <w:szCs w:val="18"/>
        </w:rPr>
        <w:t>Walker and</w:t>
      </w:r>
      <w:r w:rsidR="00DE20A2" w:rsidRPr="00DE20A2">
        <w:rPr>
          <w:rFonts w:ascii="Verdana" w:hAnsi="Verdana" w:cs="Verdana"/>
          <w:i/>
          <w:sz w:val="18"/>
          <w:szCs w:val="18"/>
        </w:rPr>
        <w:t xml:space="preserve"> </w:t>
      </w:r>
      <w:proofErr w:type="spellStart"/>
      <w:r w:rsidR="00DE20A2" w:rsidRPr="00DE20A2">
        <w:rPr>
          <w:rFonts w:ascii="Verdana" w:hAnsi="Verdana" w:cs="Verdana"/>
          <w:i/>
          <w:sz w:val="18"/>
          <w:szCs w:val="18"/>
        </w:rPr>
        <w:t>Zhub</w:t>
      </w:r>
      <w:proofErr w:type="spellEnd"/>
      <w:r w:rsidR="00DE20A2" w:rsidRPr="00DE20A2">
        <w:rPr>
          <w:rFonts w:ascii="Verdana" w:hAnsi="Verdana" w:cs="Verdana"/>
          <w:i/>
          <w:sz w:val="18"/>
          <w:szCs w:val="18"/>
        </w:rPr>
        <w:t xml:space="preserve"> (2011), ‘Differences by degree’</w:t>
      </w:r>
    </w:p>
    <w:p w:rsidR="00DA0B1E" w:rsidRPr="00941679" w:rsidRDefault="00941679"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DD32A6" w:rsidRPr="00941679">
        <w:rPr>
          <w:rFonts w:ascii="Verdana" w:hAnsi="Verdana"/>
        </w:rPr>
        <w:t>We see that the differential</w:t>
      </w:r>
      <w:r w:rsidR="007A39C9" w:rsidRPr="00941679">
        <w:rPr>
          <w:rFonts w:ascii="Verdana" w:hAnsi="Verdana"/>
        </w:rPr>
        <w:t>s</w:t>
      </w:r>
      <w:r w:rsidR="00DD32A6" w:rsidRPr="00941679">
        <w:rPr>
          <w:rFonts w:ascii="Verdana" w:hAnsi="Verdana"/>
        </w:rPr>
        <w:t xml:space="preserve"> for women </w:t>
      </w:r>
      <w:r w:rsidR="007A39C9" w:rsidRPr="00941679">
        <w:rPr>
          <w:rFonts w:ascii="Verdana" w:hAnsi="Verdana"/>
        </w:rPr>
        <w:t>are</w:t>
      </w:r>
      <w:r w:rsidR="00DD32A6" w:rsidRPr="00941679">
        <w:rPr>
          <w:rFonts w:ascii="Verdana" w:hAnsi="Verdana"/>
        </w:rPr>
        <w:t xml:space="preserve"> higher than for men</w:t>
      </w:r>
      <w:r w:rsidR="004633C6">
        <w:rPr>
          <w:rFonts w:ascii="Verdana" w:hAnsi="Verdana"/>
        </w:rPr>
        <w:t xml:space="preserve">, </w:t>
      </w:r>
      <w:r w:rsidR="007C76BE" w:rsidRPr="00941679">
        <w:rPr>
          <w:rFonts w:ascii="Verdana" w:hAnsi="Verdana"/>
        </w:rPr>
        <w:t xml:space="preserve">despite the fact that women graduates, on average, earn less than men. </w:t>
      </w:r>
      <w:r w:rsidR="007A39C9" w:rsidRPr="00941679">
        <w:rPr>
          <w:rFonts w:ascii="Verdana" w:hAnsi="Verdana"/>
        </w:rPr>
        <w:t xml:space="preserve">These </w:t>
      </w:r>
      <w:r w:rsidR="00DA0B1E" w:rsidRPr="00941679">
        <w:rPr>
          <w:rFonts w:ascii="Verdana" w:hAnsi="Verdana"/>
        </w:rPr>
        <w:t>estimates</w:t>
      </w:r>
      <w:r w:rsidR="007A39C9" w:rsidRPr="00941679">
        <w:rPr>
          <w:rFonts w:ascii="Verdana" w:hAnsi="Verdana"/>
        </w:rPr>
        <w:t xml:space="preserve"> were calculated by comparing men with men</w:t>
      </w:r>
      <w:r w:rsidR="00F917DF" w:rsidRPr="00941679">
        <w:rPr>
          <w:rFonts w:ascii="Verdana" w:hAnsi="Verdana"/>
        </w:rPr>
        <w:t xml:space="preserve"> and</w:t>
      </w:r>
      <w:r w:rsidR="007A39C9" w:rsidRPr="00941679">
        <w:rPr>
          <w:rFonts w:ascii="Verdana" w:hAnsi="Verdana"/>
        </w:rPr>
        <w:t xml:space="preserve"> women with women.</w:t>
      </w:r>
      <w:r w:rsidR="00DA0B1E" w:rsidRPr="00941679">
        <w:rPr>
          <w:rFonts w:ascii="Verdana" w:hAnsi="Verdana"/>
        </w:rPr>
        <w:t xml:space="preserve"> This is easy to do because the source, the Labour Force Survey, identifies the sex of </w:t>
      </w:r>
      <w:r w:rsidR="00E006F8" w:rsidRPr="00941679">
        <w:rPr>
          <w:rFonts w:ascii="Verdana" w:hAnsi="Verdana"/>
        </w:rPr>
        <w:t xml:space="preserve">all </w:t>
      </w:r>
      <w:r w:rsidR="00DA0B1E" w:rsidRPr="00941679">
        <w:rPr>
          <w:rFonts w:ascii="Verdana" w:hAnsi="Verdana"/>
        </w:rPr>
        <w:t>the respondents</w:t>
      </w:r>
      <w:r w:rsidR="00820CB9" w:rsidRPr="00941679">
        <w:rPr>
          <w:rFonts w:ascii="Verdana" w:hAnsi="Verdana"/>
        </w:rPr>
        <w:t>. B</w:t>
      </w:r>
      <w:r w:rsidR="00DA0B1E" w:rsidRPr="00941679">
        <w:rPr>
          <w:rFonts w:ascii="Verdana" w:hAnsi="Verdana"/>
        </w:rPr>
        <w:t xml:space="preserve">ut what would happen if we did not </w:t>
      </w:r>
      <w:r w:rsidR="00D07703" w:rsidRPr="00941679">
        <w:rPr>
          <w:rFonts w:ascii="Verdana" w:hAnsi="Verdana"/>
        </w:rPr>
        <w:t xml:space="preserve">know </w:t>
      </w:r>
      <w:r w:rsidR="00246C8E" w:rsidRPr="00941679">
        <w:rPr>
          <w:rFonts w:ascii="Verdana" w:hAnsi="Verdana"/>
        </w:rPr>
        <w:t xml:space="preserve">whether </w:t>
      </w:r>
      <w:r w:rsidR="00E006F8" w:rsidRPr="00941679">
        <w:rPr>
          <w:rFonts w:ascii="Verdana" w:hAnsi="Verdana"/>
        </w:rPr>
        <w:t xml:space="preserve">non-graduates </w:t>
      </w:r>
      <w:r w:rsidR="00246C8E" w:rsidRPr="00941679">
        <w:rPr>
          <w:rFonts w:ascii="Verdana" w:hAnsi="Verdana"/>
        </w:rPr>
        <w:t>were male or female</w:t>
      </w:r>
      <w:r w:rsidR="00DA0B1E" w:rsidRPr="00941679">
        <w:rPr>
          <w:rFonts w:ascii="Verdana" w:hAnsi="Verdana"/>
        </w:rPr>
        <w:t xml:space="preserve">? </w:t>
      </w:r>
    </w:p>
    <w:p w:rsidR="00DE20A2" w:rsidRDefault="00DE20A2" w:rsidP="00D642D7">
      <w:pPr>
        <w:spacing w:line="300" w:lineRule="atLeast"/>
        <w:rPr>
          <w:rFonts w:ascii="Verdana" w:hAnsi="Verdana"/>
          <w:b/>
        </w:rPr>
      </w:pPr>
    </w:p>
    <w:p w:rsidR="00D642D7" w:rsidRDefault="00DA0B1E" w:rsidP="00D642D7">
      <w:pPr>
        <w:spacing w:line="300" w:lineRule="atLeast"/>
        <w:rPr>
          <w:rFonts w:ascii="Verdana" w:hAnsi="Verdana"/>
          <w:b/>
        </w:rPr>
      </w:pPr>
      <w:r w:rsidRPr="007C76BE">
        <w:rPr>
          <w:rFonts w:ascii="Verdana" w:hAnsi="Verdana"/>
          <w:b/>
        </w:rPr>
        <w:lastRenderedPageBreak/>
        <w:t xml:space="preserve">Table </w:t>
      </w:r>
      <w:r w:rsidR="00944E86">
        <w:rPr>
          <w:rFonts w:ascii="Verdana" w:hAnsi="Verdana"/>
          <w:b/>
        </w:rPr>
        <w:t>2</w:t>
      </w:r>
      <w:r w:rsidRPr="007C76BE">
        <w:rPr>
          <w:rFonts w:ascii="Verdana" w:hAnsi="Verdana"/>
          <w:b/>
        </w:rPr>
        <w:t>:</w:t>
      </w:r>
      <w:r w:rsidR="00D642D7">
        <w:rPr>
          <w:rFonts w:ascii="Verdana" w:hAnsi="Verdana"/>
          <w:b/>
        </w:rPr>
        <w:t xml:space="preserve"> Earning </w:t>
      </w:r>
      <w:proofErr w:type="gramStart"/>
      <w:r w:rsidR="00D642D7">
        <w:rPr>
          <w:rFonts w:ascii="Verdana" w:hAnsi="Verdana"/>
          <w:b/>
        </w:rPr>
        <w:t>differential</w:t>
      </w:r>
      <w:r w:rsidR="0063508A">
        <w:rPr>
          <w:rFonts w:ascii="Verdana" w:hAnsi="Verdana"/>
          <w:b/>
        </w:rPr>
        <w:t xml:space="preserve">s </w:t>
      </w:r>
      <w:r w:rsidR="00D642D7">
        <w:rPr>
          <w:rFonts w:ascii="Verdana" w:hAnsi="Verdana"/>
          <w:b/>
        </w:rPr>
        <w:t xml:space="preserve"> for</w:t>
      </w:r>
      <w:proofErr w:type="gramEnd"/>
      <w:r w:rsidR="00D642D7">
        <w:rPr>
          <w:rFonts w:ascii="Verdana" w:hAnsi="Verdana"/>
          <w:b/>
        </w:rPr>
        <w:t xml:space="preserve"> </w:t>
      </w:r>
      <w:r w:rsidR="0063508A">
        <w:rPr>
          <w:rFonts w:ascii="Verdana" w:hAnsi="Verdana"/>
          <w:b/>
        </w:rPr>
        <w:t xml:space="preserve">male and female graduates </w:t>
      </w:r>
      <w:r w:rsidR="00D642D7">
        <w:rPr>
          <w:rFonts w:ascii="Verdana" w:hAnsi="Verdana"/>
          <w:b/>
        </w:rPr>
        <w:t xml:space="preserve"> compared to </w:t>
      </w:r>
      <w:r w:rsidR="00315D18">
        <w:rPr>
          <w:rFonts w:ascii="Verdana" w:hAnsi="Verdana"/>
          <w:b/>
        </w:rPr>
        <w:t xml:space="preserve">ALL </w:t>
      </w:r>
      <w:r w:rsidR="0063508A">
        <w:rPr>
          <w:rFonts w:ascii="Verdana" w:hAnsi="Verdana"/>
          <w:b/>
        </w:rPr>
        <w:t xml:space="preserve">non-graduates with </w:t>
      </w:r>
      <w:r w:rsidR="00D642D7">
        <w:rPr>
          <w:rFonts w:ascii="Verdana" w:hAnsi="Verdana"/>
          <w:b/>
        </w:rPr>
        <w:t xml:space="preserve">2+ A-levels   </w:t>
      </w:r>
    </w:p>
    <w:tbl>
      <w:tblPr>
        <w:tblStyle w:val="TableGrid"/>
        <w:tblW w:w="0" w:type="auto"/>
        <w:tblLook w:val="04A0" w:firstRow="1" w:lastRow="0" w:firstColumn="1" w:lastColumn="0" w:noHBand="0" w:noVBand="1"/>
      </w:tblPr>
      <w:tblGrid>
        <w:gridCol w:w="1951"/>
        <w:gridCol w:w="1985"/>
      </w:tblGrid>
      <w:tr w:rsidR="00DA0B1E" w:rsidTr="00B55DD7">
        <w:tc>
          <w:tcPr>
            <w:tcW w:w="1951" w:type="dxa"/>
          </w:tcPr>
          <w:p w:rsidR="00DA0B1E" w:rsidRDefault="00944E86" w:rsidP="00B55DD7">
            <w:pPr>
              <w:spacing w:line="300" w:lineRule="atLeast"/>
              <w:rPr>
                <w:rFonts w:ascii="Verdana" w:hAnsi="Verdana"/>
              </w:rPr>
            </w:pPr>
            <w:r>
              <w:rPr>
                <w:rFonts w:ascii="Verdana" w:hAnsi="Verdana"/>
              </w:rPr>
              <w:t xml:space="preserve"> </w:t>
            </w:r>
          </w:p>
          <w:p w:rsidR="00DA0B1E" w:rsidRDefault="00DA0B1E" w:rsidP="00B55DD7">
            <w:pPr>
              <w:spacing w:line="300" w:lineRule="atLeast"/>
              <w:rPr>
                <w:rFonts w:ascii="Verdana" w:hAnsi="Verdana"/>
              </w:rPr>
            </w:pPr>
            <w:r w:rsidRPr="00DA0B1E">
              <w:rPr>
                <w:rFonts w:ascii="Verdana" w:hAnsi="Verdana"/>
              </w:rPr>
              <w:t>Men</w:t>
            </w:r>
          </w:p>
          <w:p w:rsidR="00DA0B1E" w:rsidRPr="00DA0B1E" w:rsidRDefault="00DA0B1E" w:rsidP="00B55DD7">
            <w:pPr>
              <w:spacing w:line="300" w:lineRule="atLeast"/>
              <w:rPr>
                <w:rFonts w:ascii="Verdana" w:hAnsi="Verdana"/>
              </w:rPr>
            </w:pPr>
          </w:p>
        </w:tc>
        <w:tc>
          <w:tcPr>
            <w:tcW w:w="1985" w:type="dxa"/>
          </w:tcPr>
          <w:p w:rsidR="00DA0B1E" w:rsidRPr="00E269A1" w:rsidRDefault="00DA0B1E" w:rsidP="00E269A1">
            <w:pPr>
              <w:spacing w:line="300" w:lineRule="atLeast"/>
              <w:jc w:val="right"/>
              <w:rPr>
                <w:rFonts w:ascii="Verdana" w:hAnsi="Verdana"/>
              </w:rPr>
            </w:pPr>
          </w:p>
          <w:p w:rsidR="00E269A1" w:rsidRPr="00E269A1" w:rsidRDefault="00E269A1" w:rsidP="00E269A1">
            <w:pPr>
              <w:spacing w:line="300" w:lineRule="atLeast"/>
              <w:jc w:val="right"/>
              <w:rPr>
                <w:rFonts w:ascii="Verdana" w:hAnsi="Verdana"/>
              </w:rPr>
            </w:pPr>
            <w:r w:rsidRPr="00E269A1">
              <w:rPr>
                <w:rFonts w:ascii="Verdana" w:hAnsi="Verdana"/>
              </w:rPr>
              <w:t>43%</w:t>
            </w:r>
          </w:p>
        </w:tc>
      </w:tr>
      <w:tr w:rsidR="00DA0B1E" w:rsidTr="00B55DD7">
        <w:tc>
          <w:tcPr>
            <w:tcW w:w="1951" w:type="dxa"/>
          </w:tcPr>
          <w:p w:rsidR="00DA0B1E" w:rsidRDefault="00DA0B1E" w:rsidP="00B55DD7">
            <w:pPr>
              <w:spacing w:line="300" w:lineRule="atLeast"/>
              <w:rPr>
                <w:rFonts w:ascii="Verdana" w:hAnsi="Verdana"/>
              </w:rPr>
            </w:pPr>
          </w:p>
          <w:p w:rsidR="00DA0B1E" w:rsidRDefault="00DA0B1E" w:rsidP="00B55DD7">
            <w:pPr>
              <w:spacing w:line="300" w:lineRule="atLeast"/>
              <w:rPr>
                <w:rFonts w:ascii="Verdana" w:hAnsi="Verdana"/>
              </w:rPr>
            </w:pPr>
            <w:r w:rsidRPr="00DA0B1E">
              <w:rPr>
                <w:rFonts w:ascii="Verdana" w:hAnsi="Verdana"/>
              </w:rPr>
              <w:t>Women</w:t>
            </w:r>
          </w:p>
          <w:p w:rsidR="00DA0B1E" w:rsidRPr="00DA0B1E" w:rsidRDefault="00DA0B1E" w:rsidP="00B55DD7">
            <w:pPr>
              <w:spacing w:line="300" w:lineRule="atLeast"/>
              <w:rPr>
                <w:rFonts w:ascii="Verdana" w:hAnsi="Verdana"/>
              </w:rPr>
            </w:pPr>
          </w:p>
        </w:tc>
        <w:tc>
          <w:tcPr>
            <w:tcW w:w="1985" w:type="dxa"/>
          </w:tcPr>
          <w:p w:rsidR="00DA0B1E" w:rsidRPr="00E269A1" w:rsidRDefault="00DA0B1E" w:rsidP="00E269A1">
            <w:pPr>
              <w:spacing w:line="300" w:lineRule="atLeast"/>
              <w:jc w:val="right"/>
              <w:rPr>
                <w:rFonts w:ascii="Verdana" w:hAnsi="Verdana"/>
              </w:rPr>
            </w:pPr>
          </w:p>
          <w:p w:rsidR="00E269A1" w:rsidRPr="00E269A1" w:rsidRDefault="00E269A1" w:rsidP="00E269A1">
            <w:pPr>
              <w:spacing w:line="300" w:lineRule="atLeast"/>
              <w:jc w:val="right"/>
              <w:rPr>
                <w:rFonts w:ascii="Verdana" w:hAnsi="Verdana"/>
              </w:rPr>
            </w:pPr>
            <w:r w:rsidRPr="00E269A1">
              <w:rPr>
                <w:rFonts w:ascii="Verdana" w:hAnsi="Verdana"/>
              </w:rPr>
              <w:t>15%</w:t>
            </w:r>
          </w:p>
        </w:tc>
      </w:tr>
      <w:tr w:rsidR="00DA0B1E" w:rsidTr="00B55DD7">
        <w:tc>
          <w:tcPr>
            <w:tcW w:w="1951" w:type="dxa"/>
          </w:tcPr>
          <w:p w:rsidR="00DA0B1E" w:rsidRDefault="00DA0B1E" w:rsidP="00B55DD7">
            <w:pPr>
              <w:spacing w:line="300" w:lineRule="atLeast"/>
              <w:rPr>
                <w:rFonts w:ascii="Verdana" w:hAnsi="Verdana"/>
              </w:rPr>
            </w:pPr>
          </w:p>
          <w:p w:rsidR="00DA0B1E" w:rsidRDefault="00DA0B1E" w:rsidP="00B55DD7">
            <w:pPr>
              <w:spacing w:line="300" w:lineRule="atLeast"/>
              <w:rPr>
                <w:rFonts w:ascii="Verdana" w:hAnsi="Verdana"/>
              </w:rPr>
            </w:pPr>
            <w:r w:rsidRPr="00DA0B1E">
              <w:rPr>
                <w:rFonts w:ascii="Verdana" w:hAnsi="Verdana"/>
              </w:rPr>
              <w:t xml:space="preserve">Women </w:t>
            </w:r>
            <w:r>
              <w:rPr>
                <w:rFonts w:ascii="Verdana" w:hAnsi="Verdana"/>
              </w:rPr>
              <w:t>–</w:t>
            </w:r>
            <w:r w:rsidRPr="00DA0B1E">
              <w:rPr>
                <w:rFonts w:ascii="Verdana" w:hAnsi="Verdana"/>
              </w:rPr>
              <w:t xml:space="preserve"> Men</w:t>
            </w:r>
          </w:p>
          <w:p w:rsidR="00DA0B1E" w:rsidRPr="00DA0B1E" w:rsidRDefault="00DA0B1E" w:rsidP="00B55DD7">
            <w:pPr>
              <w:spacing w:line="300" w:lineRule="atLeast"/>
              <w:rPr>
                <w:rFonts w:ascii="Verdana" w:hAnsi="Verdana"/>
              </w:rPr>
            </w:pPr>
          </w:p>
        </w:tc>
        <w:tc>
          <w:tcPr>
            <w:tcW w:w="1985" w:type="dxa"/>
          </w:tcPr>
          <w:p w:rsidR="00DA0B1E" w:rsidRPr="00E269A1" w:rsidRDefault="00DA0B1E" w:rsidP="00E269A1">
            <w:pPr>
              <w:spacing w:line="300" w:lineRule="atLeast"/>
              <w:jc w:val="right"/>
              <w:rPr>
                <w:rFonts w:ascii="Verdana" w:hAnsi="Verdana"/>
              </w:rPr>
            </w:pPr>
          </w:p>
          <w:p w:rsidR="00E269A1" w:rsidRPr="00E269A1" w:rsidRDefault="00E269A1" w:rsidP="00E269A1">
            <w:pPr>
              <w:spacing w:line="300" w:lineRule="atLeast"/>
              <w:jc w:val="right"/>
              <w:rPr>
                <w:rFonts w:ascii="Verdana" w:hAnsi="Verdana"/>
              </w:rPr>
            </w:pPr>
            <w:r w:rsidRPr="00E269A1">
              <w:rPr>
                <w:rFonts w:ascii="Verdana" w:hAnsi="Verdana"/>
              </w:rPr>
              <w:t>-28%</w:t>
            </w:r>
          </w:p>
        </w:tc>
      </w:tr>
    </w:tbl>
    <w:p w:rsidR="00DE20A2" w:rsidRPr="00DE20A2" w:rsidRDefault="00DE20A2" w:rsidP="00DE20A2">
      <w:pPr>
        <w:spacing w:line="300" w:lineRule="atLeast"/>
        <w:rPr>
          <w:rFonts w:ascii="Verdana" w:hAnsi="Verdana"/>
          <w:i/>
          <w:sz w:val="18"/>
          <w:szCs w:val="18"/>
        </w:rPr>
      </w:pPr>
      <w:r w:rsidRPr="00DE20A2">
        <w:rPr>
          <w:rFonts w:ascii="Verdana" w:hAnsi="Verdana"/>
          <w:i/>
          <w:sz w:val="18"/>
          <w:szCs w:val="18"/>
        </w:rPr>
        <w:t>Derived from data presented in Walker and</w:t>
      </w:r>
      <w:r w:rsidRPr="00DE20A2">
        <w:rPr>
          <w:rFonts w:ascii="Verdana" w:hAnsi="Verdana" w:cs="Verdana"/>
          <w:i/>
          <w:sz w:val="18"/>
          <w:szCs w:val="18"/>
        </w:rPr>
        <w:t xml:space="preserve"> </w:t>
      </w:r>
      <w:proofErr w:type="spellStart"/>
      <w:r w:rsidRPr="00DE20A2">
        <w:rPr>
          <w:rFonts w:ascii="Verdana" w:hAnsi="Verdana" w:cs="Verdana"/>
          <w:i/>
          <w:sz w:val="18"/>
          <w:szCs w:val="18"/>
        </w:rPr>
        <w:t>Zhub</w:t>
      </w:r>
      <w:proofErr w:type="spellEnd"/>
      <w:r w:rsidRPr="00DE20A2">
        <w:rPr>
          <w:rFonts w:ascii="Verdana" w:hAnsi="Verdana" w:cs="Verdana"/>
          <w:i/>
          <w:sz w:val="18"/>
          <w:szCs w:val="18"/>
        </w:rPr>
        <w:t xml:space="preserve"> (2011), ‘Differences by degree’</w:t>
      </w:r>
    </w:p>
    <w:p w:rsidR="00F43067" w:rsidRPr="00941679" w:rsidRDefault="00F43067" w:rsidP="00F43067">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246C8E" w:rsidRPr="00941679">
        <w:rPr>
          <w:rFonts w:ascii="Verdana" w:hAnsi="Verdana"/>
        </w:rPr>
        <w:t xml:space="preserve">In calculating these figures </w:t>
      </w:r>
      <w:r w:rsidR="0063508A">
        <w:rPr>
          <w:rFonts w:ascii="Verdana" w:hAnsi="Verdana"/>
        </w:rPr>
        <w:t xml:space="preserve">the male graduate earnings and the female graduate earnings were </w:t>
      </w:r>
      <w:r w:rsidR="000A5322">
        <w:rPr>
          <w:rFonts w:ascii="Verdana" w:hAnsi="Verdana"/>
        </w:rPr>
        <w:t xml:space="preserve">both </w:t>
      </w:r>
      <w:r w:rsidR="0063508A">
        <w:rPr>
          <w:rFonts w:ascii="Verdana" w:hAnsi="Verdana"/>
        </w:rPr>
        <w:t xml:space="preserve">compared </w:t>
      </w:r>
      <w:r w:rsidR="00EE3766">
        <w:rPr>
          <w:rFonts w:ascii="Verdana" w:hAnsi="Verdana"/>
        </w:rPr>
        <w:t>to</w:t>
      </w:r>
      <w:r w:rsidR="0063508A">
        <w:rPr>
          <w:rFonts w:ascii="Verdana" w:hAnsi="Verdana"/>
        </w:rPr>
        <w:t xml:space="preserve"> </w:t>
      </w:r>
      <w:r w:rsidR="000A5322">
        <w:rPr>
          <w:rFonts w:ascii="Verdana" w:hAnsi="Verdana"/>
        </w:rPr>
        <w:t>ALL</w:t>
      </w:r>
      <w:r w:rsidR="0063508A">
        <w:rPr>
          <w:rFonts w:ascii="Verdana" w:hAnsi="Verdana"/>
        </w:rPr>
        <w:t xml:space="preserve"> those with just two A-levels, that is with both </w:t>
      </w:r>
      <w:r w:rsidR="00246C8E" w:rsidRPr="00941679">
        <w:rPr>
          <w:rFonts w:ascii="Verdana" w:hAnsi="Verdana"/>
        </w:rPr>
        <w:t xml:space="preserve">the males and females </w:t>
      </w:r>
      <w:r w:rsidR="004633C6">
        <w:rPr>
          <w:rFonts w:ascii="Verdana" w:hAnsi="Verdana"/>
        </w:rPr>
        <w:t>combined</w:t>
      </w:r>
      <w:r w:rsidR="0063508A">
        <w:rPr>
          <w:rFonts w:ascii="Verdana" w:hAnsi="Verdana"/>
        </w:rPr>
        <w:t xml:space="preserve">. </w:t>
      </w:r>
      <w:r w:rsidR="00902DE0" w:rsidRPr="00941679">
        <w:rPr>
          <w:rFonts w:ascii="Verdana" w:hAnsi="Verdana"/>
        </w:rPr>
        <w:t xml:space="preserve">The picture is now completely </w:t>
      </w:r>
      <w:r w:rsidR="00820CB9" w:rsidRPr="00941679">
        <w:rPr>
          <w:rFonts w:ascii="Verdana" w:hAnsi="Verdana"/>
        </w:rPr>
        <w:t>reversed;</w:t>
      </w:r>
      <w:r w:rsidR="00902DE0" w:rsidRPr="00941679">
        <w:rPr>
          <w:rFonts w:ascii="Verdana" w:hAnsi="Verdana"/>
        </w:rPr>
        <w:t xml:space="preserve"> </w:t>
      </w:r>
      <w:r w:rsidR="00944E86" w:rsidRPr="00941679">
        <w:rPr>
          <w:rFonts w:ascii="Verdana" w:hAnsi="Verdana"/>
        </w:rPr>
        <w:t xml:space="preserve">men get more from higher education. This </w:t>
      </w:r>
      <w:r w:rsidR="004633C6">
        <w:rPr>
          <w:rFonts w:ascii="Verdana" w:hAnsi="Verdana"/>
        </w:rPr>
        <w:t>is a deliberately</w:t>
      </w:r>
      <w:r w:rsidR="00944E86" w:rsidRPr="00941679">
        <w:rPr>
          <w:rFonts w:ascii="Verdana" w:hAnsi="Verdana"/>
        </w:rPr>
        <w:t xml:space="preserve"> spurious</w:t>
      </w:r>
      <w:r w:rsidR="004633C6">
        <w:rPr>
          <w:rFonts w:ascii="Verdana" w:hAnsi="Verdana"/>
        </w:rPr>
        <w:t xml:space="preserve"> result</w:t>
      </w:r>
      <w:r w:rsidR="00B219B1">
        <w:rPr>
          <w:rFonts w:ascii="Verdana" w:hAnsi="Verdana"/>
        </w:rPr>
        <w:t xml:space="preserve"> </w:t>
      </w:r>
      <w:r>
        <w:rPr>
          <w:rFonts w:ascii="Verdana" w:hAnsi="Verdana"/>
        </w:rPr>
        <w:t>-</w:t>
      </w:r>
      <w:r w:rsidR="00B219B1">
        <w:rPr>
          <w:rFonts w:ascii="Verdana" w:hAnsi="Verdana"/>
        </w:rPr>
        <w:t xml:space="preserve"> which the authors would never produce</w:t>
      </w:r>
      <w:r>
        <w:rPr>
          <w:rFonts w:ascii="Verdana" w:hAnsi="Verdana"/>
        </w:rPr>
        <w:t xml:space="preserve"> -</w:t>
      </w:r>
      <w:r w:rsidR="004633C6">
        <w:rPr>
          <w:rFonts w:ascii="Verdana" w:hAnsi="Verdana"/>
        </w:rPr>
        <w:t xml:space="preserve"> </w:t>
      </w:r>
      <w:r w:rsidR="00B219B1">
        <w:rPr>
          <w:rFonts w:ascii="Verdana" w:hAnsi="Verdana"/>
        </w:rPr>
        <w:t xml:space="preserve">but </w:t>
      </w:r>
      <w:r w:rsidR="00944E86" w:rsidRPr="00941679">
        <w:rPr>
          <w:rFonts w:ascii="Verdana" w:hAnsi="Verdana"/>
        </w:rPr>
        <w:t>it show</w:t>
      </w:r>
      <w:r w:rsidR="00E006F8" w:rsidRPr="00941679">
        <w:rPr>
          <w:rFonts w:ascii="Verdana" w:hAnsi="Verdana"/>
        </w:rPr>
        <w:t>s</w:t>
      </w:r>
      <w:r w:rsidR="00944E86" w:rsidRPr="00941679">
        <w:rPr>
          <w:rFonts w:ascii="Verdana" w:hAnsi="Verdana"/>
        </w:rPr>
        <w:t xml:space="preserve"> </w:t>
      </w:r>
      <w:r w:rsidR="00902DE0" w:rsidRPr="00941679">
        <w:rPr>
          <w:rFonts w:ascii="Verdana" w:hAnsi="Verdana"/>
        </w:rPr>
        <w:t>what can go wrong</w:t>
      </w:r>
      <w:r w:rsidR="00313D38">
        <w:rPr>
          <w:rFonts w:ascii="Verdana" w:hAnsi="Verdana"/>
        </w:rPr>
        <w:t xml:space="preserve"> when we assume that the non-entrants are </w:t>
      </w:r>
      <w:r w:rsidR="00D96F2B">
        <w:rPr>
          <w:rFonts w:ascii="Verdana" w:hAnsi="Verdana"/>
        </w:rPr>
        <w:t xml:space="preserve">all </w:t>
      </w:r>
      <w:r w:rsidR="00313D38">
        <w:rPr>
          <w:rFonts w:ascii="Verdana" w:hAnsi="Verdana"/>
        </w:rPr>
        <w:t xml:space="preserve">the same. </w:t>
      </w:r>
      <w:r w:rsidR="00B219B1">
        <w:rPr>
          <w:rFonts w:ascii="Verdana" w:hAnsi="Verdana"/>
        </w:rPr>
        <w:t>And t</w:t>
      </w:r>
      <w:r w:rsidR="00313D38">
        <w:rPr>
          <w:rFonts w:ascii="Verdana" w:hAnsi="Verdana"/>
        </w:rPr>
        <w:t xml:space="preserve">his is just what </w:t>
      </w:r>
      <w:r w:rsidR="00313D38" w:rsidRPr="00B219B1">
        <w:rPr>
          <w:rFonts w:ascii="Verdana" w:hAnsi="Verdana"/>
          <w:b/>
        </w:rPr>
        <w:t>was</w:t>
      </w:r>
      <w:r w:rsidR="00313D38">
        <w:rPr>
          <w:rFonts w:ascii="Verdana" w:hAnsi="Verdana"/>
        </w:rPr>
        <w:t xml:space="preserve"> done </w:t>
      </w:r>
      <w:r w:rsidR="00944E86" w:rsidRPr="00941679">
        <w:rPr>
          <w:rFonts w:ascii="Verdana" w:hAnsi="Verdana"/>
        </w:rPr>
        <w:t xml:space="preserve">to compare the returns for studying different subjects. Each graduate </w:t>
      </w:r>
      <w:r w:rsidR="00246C8E" w:rsidRPr="00941679">
        <w:rPr>
          <w:rFonts w:ascii="Verdana" w:hAnsi="Verdana"/>
        </w:rPr>
        <w:t xml:space="preserve">subject </w:t>
      </w:r>
      <w:r w:rsidR="00944E86" w:rsidRPr="00941679">
        <w:rPr>
          <w:rFonts w:ascii="Verdana" w:hAnsi="Verdana"/>
        </w:rPr>
        <w:t xml:space="preserve">group was compared to </w:t>
      </w:r>
      <w:r w:rsidR="00246C8E" w:rsidRPr="00941679">
        <w:rPr>
          <w:rFonts w:ascii="Verdana" w:hAnsi="Verdana"/>
        </w:rPr>
        <w:t xml:space="preserve">all the </w:t>
      </w:r>
      <w:r w:rsidR="00944E86" w:rsidRPr="00941679">
        <w:rPr>
          <w:rFonts w:ascii="Verdana" w:hAnsi="Verdana"/>
        </w:rPr>
        <w:t>non-graduate</w:t>
      </w:r>
      <w:r w:rsidR="00246C8E" w:rsidRPr="00941679">
        <w:rPr>
          <w:rFonts w:ascii="Verdana" w:hAnsi="Verdana"/>
        </w:rPr>
        <w:t>s taken together.</w:t>
      </w:r>
      <w:r w:rsidRPr="00F43067">
        <w:rPr>
          <w:rFonts w:ascii="Verdana" w:hAnsi="Verdana"/>
        </w:rPr>
        <w:t xml:space="preserve"> </w:t>
      </w:r>
      <w:r w:rsidRPr="00941679">
        <w:rPr>
          <w:rFonts w:ascii="Verdana" w:hAnsi="Verdana"/>
        </w:rPr>
        <w:t xml:space="preserve"> </w:t>
      </w:r>
    </w:p>
    <w:p w:rsidR="00941679" w:rsidRDefault="00941679"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41679">
        <w:rPr>
          <w:rFonts w:ascii="Verdana" w:hAnsi="Verdana"/>
        </w:rPr>
        <w:t xml:space="preserve"> </w:t>
      </w:r>
      <w:r w:rsidR="001216D2" w:rsidRPr="00941679">
        <w:rPr>
          <w:rFonts w:ascii="Verdana" w:hAnsi="Verdana"/>
        </w:rPr>
        <w:t>It would be very difficult to identify those would did not go to university but, had they done, would have taken a particular subject</w:t>
      </w:r>
      <w:r w:rsidR="0033001B" w:rsidRPr="00941679">
        <w:rPr>
          <w:rFonts w:ascii="Verdana" w:hAnsi="Verdana"/>
        </w:rPr>
        <w:t>. We</w:t>
      </w:r>
      <w:r w:rsidR="001216D2" w:rsidRPr="00941679">
        <w:rPr>
          <w:rFonts w:ascii="Verdana" w:hAnsi="Verdana"/>
        </w:rPr>
        <w:t xml:space="preserve"> can get partly round the problem by using </w:t>
      </w:r>
      <w:r w:rsidR="00944E86" w:rsidRPr="00941679">
        <w:rPr>
          <w:rFonts w:ascii="Verdana" w:hAnsi="Verdana"/>
        </w:rPr>
        <w:t xml:space="preserve">richer datasets that </w:t>
      </w:r>
      <w:r w:rsidR="001216D2" w:rsidRPr="00941679">
        <w:rPr>
          <w:rFonts w:ascii="Verdana" w:hAnsi="Verdana"/>
        </w:rPr>
        <w:t xml:space="preserve">enable us to control a whole range of variables. </w:t>
      </w:r>
      <w:r w:rsidR="00D642D7" w:rsidRPr="00941679">
        <w:rPr>
          <w:rFonts w:ascii="Verdana" w:hAnsi="Verdana"/>
        </w:rPr>
        <w:t>Fortunately we have a new series of surveys that can help us with this</w:t>
      </w:r>
      <w:r w:rsidR="001336C6" w:rsidRPr="00941679">
        <w:rPr>
          <w:rFonts w:ascii="Verdana" w:hAnsi="Verdana"/>
        </w:rPr>
        <w:t>, at least for earnings three and a half years after graduation</w:t>
      </w:r>
      <w:r w:rsidR="00990803" w:rsidRPr="00941679">
        <w:rPr>
          <w:rFonts w:ascii="Verdana" w:hAnsi="Verdana"/>
        </w:rPr>
        <w:t xml:space="preserve">. Using these data </w:t>
      </w:r>
      <w:r w:rsidR="00D4492A" w:rsidRPr="00941679">
        <w:rPr>
          <w:rFonts w:ascii="Verdana" w:hAnsi="Verdana"/>
        </w:rPr>
        <w:t>Arn</w:t>
      </w:r>
      <w:r w:rsidR="001E6ADB" w:rsidRPr="00941679">
        <w:rPr>
          <w:rFonts w:ascii="Verdana" w:hAnsi="Verdana"/>
        </w:rPr>
        <w:t>au</w:t>
      </w:r>
      <w:r w:rsidR="00D4492A" w:rsidRPr="00941679">
        <w:rPr>
          <w:rFonts w:ascii="Verdana" w:hAnsi="Verdana"/>
        </w:rPr>
        <w:t xml:space="preserve">d Chevalier </w:t>
      </w:r>
      <w:r w:rsidR="00990803" w:rsidRPr="00941679">
        <w:rPr>
          <w:rFonts w:ascii="Verdana" w:hAnsi="Verdana"/>
        </w:rPr>
        <w:t>found that the t</w:t>
      </w:r>
      <w:r w:rsidR="00D4492A" w:rsidRPr="00941679">
        <w:rPr>
          <w:rFonts w:ascii="Verdana" w:hAnsi="Verdana"/>
        </w:rPr>
        <w:t xml:space="preserve">op earners </w:t>
      </w:r>
      <w:r w:rsidR="00990803" w:rsidRPr="00941679">
        <w:rPr>
          <w:rFonts w:ascii="Verdana" w:hAnsi="Verdana"/>
        </w:rPr>
        <w:t>were</w:t>
      </w:r>
      <w:r w:rsidR="00D4492A" w:rsidRPr="00941679">
        <w:rPr>
          <w:rFonts w:ascii="Verdana" w:hAnsi="Verdana"/>
        </w:rPr>
        <w:t xml:space="preserve"> medics and dentists – no surprise there, and in the silver medal position comes . . . economics! No surprise to the economists. But</w:t>
      </w:r>
      <w:r w:rsidR="001E6ADB" w:rsidRPr="00941679">
        <w:rPr>
          <w:rFonts w:ascii="Verdana" w:hAnsi="Verdana"/>
        </w:rPr>
        <w:t>,</w:t>
      </w:r>
      <w:r w:rsidR="00D4492A" w:rsidRPr="00941679">
        <w:rPr>
          <w:rFonts w:ascii="Verdana" w:hAnsi="Verdana"/>
        </w:rPr>
        <w:t xml:space="preserve"> when the comparison is made on a like for like basis, controlling for personal characteristics, background, A-level points, and so on, economics slips down to ninth place, behind accounting, </w:t>
      </w:r>
      <w:r w:rsidR="0033001B" w:rsidRPr="00941679">
        <w:rPr>
          <w:rFonts w:ascii="Verdana" w:hAnsi="Verdana"/>
        </w:rPr>
        <w:t>IT</w:t>
      </w:r>
      <w:r w:rsidR="00B25382" w:rsidRPr="00941679">
        <w:rPr>
          <w:rFonts w:ascii="Verdana" w:hAnsi="Verdana"/>
        </w:rPr>
        <w:t xml:space="preserve">, engineering </w:t>
      </w:r>
      <w:r w:rsidR="0033001B" w:rsidRPr="00941679">
        <w:rPr>
          <w:rFonts w:ascii="Verdana" w:hAnsi="Verdana"/>
        </w:rPr>
        <w:t>and even education. So perhaps the country does not need more economists after all.</w:t>
      </w:r>
    </w:p>
    <w:p w:rsidR="00941679" w:rsidRDefault="00941679"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41679">
        <w:rPr>
          <w:rFonts w:ascii="Verdana" w:hAnsi="Verdana"/>
        </w:rPr>
        <w:t xml:space="preserve"> </w:t>
      </w:r>
      <w:r w:rsidR="0033001B" w:rsidRPr="00941679">
        <w:rPr>
          <w:rFonts w:ascii="Verdana" w:hAnsi="Verdana"/>
        </w:rPr>
        <w:t xml:space="preserve">More seriously, this demonstrates just how unreliable estimates of returns can be when made without a good range of control variables. And we cannot assume even this improved data has got us close to the right answer. </w:t>
      </w:r>
      <w:r w:rsidR="00AE44E8" w:rsidRPr="00941679">
        <w:rPr>
          <w:rFonts w:ascii="Verdana" w:hAnsi="Verdana"/>
        </w:rPr>
        <w:t>S</w:t>
      </w:r>
      <w:r w:rsidR="00D81501" w:rsidRPr="00941679">
        <w:rPr>
          <w:rFonts w:ascii="Verdana" w:hAnsi="Verdana"/>
        </w:rPr>
        <w:t>tudents do not select their subjects at random, and determinants of the choice of subject are themselves potential determinants of future earnings. The discussion in the literature</w:t>
      </w:r>
      <w:r w:rsidR="00AE44E8" w:rsidRPr="00941679">
        <w:rPr>
          <w:rFonts w:ascii="Verdana" w:hAnsi="Verdana"/>
        </w:rPr>
        <w:t xml:space="preserve"> about this </w:t>
      </w:r>
      <w:r w:rsidR="00322D13" w:rsidRPr="00941679">
        <w:rPr>
          <w:rFonts w:ascii="Verdana" w:hAnsi="Verdana"/>
        </w:rPr>
        <w:t xml:space="preserve">mostly </w:t>
      </w:r>
      <w:r w:rsidR="00820CB9" w:rsidRPr="00941679">
        <w:rPr>
          <w:rFonts w:ascii="Verdana" w:hAnsi="Verdana"/>
        </w:rPr>
        <w:t>focuses on</w:t>
      </w:r>
      <w:r w:rsidR="00E26D1E" w:rsidRPr="00941679">
        <w:rPr>
          <w:rFonts w:ascii="Verdana" w:hAnsi="Verdana"/>
        </w:rPr>
        <w:t xml:space="preserve"> a </w:t>
      </w:r>
      <w:r w:rsidR="00D81501" w:rsidRPr="00941679">
        <w:rPr>
          <w:rFonts w:ascii="Verdana" w:hAnsi="Verdana"/>
        </w:rPr>
        <w:t xml:space="preserve">single </w:t>
      </w:r>
      <w:r w:rsidR="00E862DE" w:rsidRPr="00941679">
        <w:rPr>
          <w:rFonts w:ascii="Verdana" w:hAnsi="Verdana"/>
        </w:rPr>
        <w:t>unchanging</w:t>
      </w:r>
      <w:r w:rsidR="00D81501" w:rsidRPr="00941679">
        <w:rPr>
          <w:rFonts w:ascii="Verdana" w:hAnsi="Verdana"/>
        </w:rPr>
        <w:t xml:space="preserve"> factor called ‘ability</w:t>
      </w:r>
      <w:r w:rsidR="006E47B5" w:rsidRPr="00941679">
        <w:rPr>
          <w:rFonts w:ascii="Verdana" w:hAnsi="Verdana"/>
        </w:rPr>
        <w:t>’</w:t>
      </w:r>
      <w:r w:rsidR="001336C6" w:rsidRPr="00941679">
        <w:rPr>
          <w:rFonts w:ascii="Verdana" w:hAnsi="Verdana"/>
        </w:rPr>
        <w:t>,</w:t>
      </w:r>
      <w:r w:rsidR="006E47B5" w:rsidRPr="00941679">
        <w:rPr>
          <w:rFonts w:ascii="Verdana" w:hAnsi="Verdana"/>
        </w:rPr>
        <w:t xml:space="preserve"> whereas </w:t>
      </w:r>
      <w:r w:rsidR="00F545C4" w:rsidRPr="00941679">
        <w:rPr>
          <w:rFonts w:ascii="Verdana" w:hAnsi="Verdana"/>
        </w:rPr>
        <w:t xml:space="preserve">we know that </w:t>
      </w:r>
      <w:r w:rsidR="006E47B5" w:rsidRPr="00941679">
        <w:rPr>
          <w:rFonts w:ascii="Verdana" w:hAnsi="Verdana"/>
        </w:rPr>
        <w:t xml:space="preserve">there are many different abilities, as well as </w:t>
      </w:r>
      <w:r w:rsidR="0022203A" w:rsidRPr="00941679">
        <w:rPr>
          <w:rFonts w:ascii="Verdana" w:hAnsi="Verdana"/>
        </w:rPr>
        <w:t>different i</w:t>
      </w:r>
      <w:r w:rsidR="006E47B5" w:rsidRPr="00941679">
        <w:rPr>
          <w:rFonts w:ascii="Verdana" w:hAnsi="Verdana"/>
        </w:rPr>
        <w:t xml:space="preserve">nterests and </w:t>
      </w:r>
      <w:r w:rsidR="0022203A" w:rsidRPr="00941679">
        <w:rPr>
          <w:rFonts w:ascii="Verdana" w:hAnsi="Verdana"/>
        </w:rPr>
        <w:t xml:space="preserve">different </w:t>
      </w:r>
      <w:r w:rsidR="006E47B5" w:rsidRPr="00941679">
        <w:rPr>
          <w:rFonts w:ascii="Verdana" w:hAnsi="Verdana"/>
        </w:rPr>
        <w:t>values,</w:t>
      </w:r>
      <w:r w:rsidR="00C125EF" w:rsidRPr="00941679">
        <w:rPr>
          <w:rFonts w:ascii="Verdana" w:hAnsi="Verdana"/>
        </w:rPr>
        <w:t xml:space="preserve"> which change through time. These abilities, interests and values </w:t>
      </w:r>
      <w:r w:rsidR="006E47B5" w:rsidRPr="00941679">
        <w:rPr>
          <w:rFonts w:ascii="Verdana" w:hAnsi="Verdana"/>
        </w:rPr>
        <w:t xml:space="preserve">all potentially </w:t>
      </w:r>
      <w:r w:rsidR="00C125EF" w:rsidRPr="00941679">
        <w:rPr>
          <w:rFonts w:ascii="Verdana" w:hAnsi="Verdana"/>
        </w:rPr>
        <w:t>a</w:t>
      </w:r>
      <w:r w:rsidR="006E47B5" w:rsidRPr="00941679">
        <w:rPr>
          <w:rFonts w:ascii="Verdana" w:hAnsi="Verdana"/>
        </w:rPr>
        <w:t xml:space="preserve">ffect </w:t>
      </w:r>
      <w:r w:rsidR="00C125EF" w:rsidRPr="00941679">
        <w:rPr>
          <w:rFonts w:ascii="Verdana" w:hAnsi="Verdana"/>
        </w:rPr>
        <w:t xml:space="preserve">both </w:t>
      </w:r>
      <w:r w:rsidR="006E47B5" w:rsidRPr="00941679">
        <w:rPr>
          <w:rFonts w:ascii="Verdana" w:hAnsi="Verdana"/>
        </w:rPr>
        <w:t>subject choice and earnings.</w:t>
      </w:r>
      <w:r w:rsidR="00C3591B" w:rsidRPr="00941679">
        <w:rPr>
          <w:rFonts w:ascii="Verdana" w:hAnsi="Verdana"/>
        </w:rPr>
        <w:t xml:space="preserve">  </w:t>
      </w:r>
      <w:r w:rsidR="0024189A" w:rsidRPr="00941679">
        <w:rPr>
          <w:rFonts w:ascii="Verdana" w:hAnsi="Verdana"/>
        </w:rPr>
        <w:t xml:space="preserve">It is unsurprising that </w:t>
      </w:r>
      <w:r w:rsidR="00C125EF" w:rsidRPr="00941679">
        <w:rPr>
          <w:rFonts w:ascii="Verdana" w:hAnsi="Verdana"/>
        </w:rPr>
        <w:t>a</w:t>
      </w:r>
      <w:r w:rsidR="0024189A" w:rsidRPr="00941679">
        <w:rPr>
          <w:rFonts w:ascii="Verdana" w:hAnsi="Verdana"/>
        </w:rPr>
        <w:t xml:space="preserve">ccountancy </w:t>
      </w:r>
      <w:r w:rsidR="001E6ADB" w:rsidRPr="00941679">
        <w:rPr>
          <w:rFonts w:ascii="Verdana" w:hAnsi="Verdana"/>
        </w:rPr>
        <w:t>graduates</w:t>
      </w:r>
      <w:r w:rsidR="00C125EF" w:rsidRPr="00941679">
        <w:rPr>
          <w:rFonts w:ascii="Verdana" w:hAnsi="Verdana"/>
        </w:rPr>
        <w:t xml:space="preserve"> are often found to be </w:t>
      </w:r>
      <w:r w:rsidR="00246C8E" w:rsidRPr="00941679">
        <w:rPr>
          <w:rFonts w:ascii="Verdana" w:hAnsi="Verdana"/>
        </w:rPr>
        <w:t xml:space="preserve">high </w:t>
      </w:r>
      <w:r w:rsidR="00C125EF" w:rsidRPr="00941679">
        <w:rPr>
          <w:rFonts w:ascii="Verdana" w:hAnsi="Verdana"/>
        </w:rPr>
        <w:t xml:space="preserve">earners; </w:t>
      </w:r>
      <w:r w:rsidR="00313D38">
        <w:rPr>
          <w:rFonts w:ascii="Verdana" w:hAnsi="Verdana"/>
        </w:rPr>
        <w:t xml:space="preserve">accountancy is an </w:t>
      </w:r>
      <w:r w:rsidR="00C125EF" w:rsidRPr="00941679">
        <w:rPr>
          <w:rFonts w:ascii="Verdana" w:hAnsi="Verdana"/>
        </w:rPr>
        <w:t xml:space="preserve">obvious choice for those </w:t>
      </w:r>
      <w:r w:rsidR="00C3591B" w:rsidRPr="00941679">
        <w:rPr>
          <w:rFonts w:ascii="Verdana" w:hAnsi="Verdana"/>
        </w:rPr>
        <w:t xml:space="preserve">who put great store by financial </w:t>
      </w:r>
      <w:r w:rsidR="00C3591B" w:rsidRPr="00941679">
        <w:rPr>
          <w:rFonts w:ascii="Verdana" w:hAnsi="Verdana"/>
        </w:rPr>
        <w:lastRenderedPageBreak/>
        <w:t>rewards.</w:t>
      </w:r>
      <w:r w:rsidR="0024189A" w:rsidRPr="00941679">
        <w:rPr>
          <w:rFonts w:ascii="Verdana" w:hAnsi="Verdana"/>
        </w:rPr>
        <w:t xml:space="preserve"> </w:t>
      </w:r>
      <w:r w:rsidR="000570CE" w:rsidRPr="00941679">
        <w:rPr>
          <w:rFonts w:ascii="Verdana" w:hAnsi="Verdana"/>
        </w:rPr>
        <w:t xml:space="preserve"> No doubt if there were an MSc course in tax avoidance there would be </w:t>
      </w:r>
      <w:r w:rsidR="005B4F99" w:rsidRPr="00941679">
        <w:rPr>
          <w:rFonts w:ascii="Verdana" w:hAnsi="Verdana"/>
        </w:rPr>
        <w:t xml:space="preserve">high returns and </w:t>
      </w:r>
      <w:r w:rsidR="000570CE" w:rsidRPr="00941679">
        <w:rPr>
          <w:rFonts w:ascii="Verdana" w:hAnsi="Verdana"/>
        </w:rPr>
        <w:t>plenty of takers, but it would not be for everyone.</w:t>
      </w:r>
      <w:r w:rsidR="0024189A" w:rsidRPr="00941679">
        <w:rPr>
          <w:rFonts w:ascii="Verdana" w:hAnsi="Verdana"/>
        </w:rPr>
        <w:t xml:space="preserve"> </w:t>
      </w:r>
    </w:p>
    <w:p w:rsidR="00941679" w:rsidRDefault="00941679"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41679">
        <w:rPr>
          <w:rFonts w:ascii="Verdana" w:hAnsi="Verdana"/>
        </w:rPr>
        <w:t xml:space="preserve"> </w:t>
      </w:r>
      <w:r w:rsidR="001336C6" w:rsidRPr="00941679">
        <w:rPr>
          <w:rFonts w:ascii="Verdana" w:hAnsi="Verdana"/>
        </w:rPr>
        <w:t>Using like for like comparisons, e</w:t>
      </w:r>
      <w:r w:rsidR="006E47B5" w:rsidRPr="00941679">
        <w:rPr>
          <w:rFonts w:ascii="Verdana" w:hAnsi="Verdana"/>
        </w:rPr>
        <w:t>arnings vary more within subjects than between subjects</w:t>
      </w:r>
      <w:r w:rsidR="006E47B5" w:rsidRPr="00941679">
        <w:rPr>
          <w:rFonts w:ascii="Verdana" w:hAnsi="Verdana"/>
          <w:i/>
        </w:rPr>
        <w:t>,</w:t>
      </w:r>
      <w:r w:rsidR="006E47B5" w:rsidRPr="00941679">
        <w:rPr>
          <w:rFonts w:ascii="Verdana" w:hAnsi="Verdana"/>
        </w:rPr>
        <w:t xml:space="preserve"> so those students who study subjects they like </w:t>
      </w:r>
      <w:r w:rsidR="00C07135" w:rsidRPr="00941679">
        <w:rPr>
          <w:rFonts w:ascii="Verdana" w:hAnsi="Verdana"/>
        </w:rPr>
        <w:t>and are good at</w:t>
      </w:r>
      <w:r w:rsidR="005B4F99" w:rsidRPr="00941679">
        <w:rPr>
          <w:rFonts w:ascii="Verdana" w:hAnsi="Verdana"/>
        </w:rPr>
        <w:t>,</w:t>
      </w:r>
      <w:r w:rsidR="00C07135" w:rsidRPr="00941679">
        <w:rPr>
          <w:rFonts w:ascii="Verdana" w:hAnsi="Verdana"/>
        </w:rPr>
        <w:t xml:space="preserve"> </w:t>
      </w:r>
      <w:r w:rsidR="005D5123" w:rsidRPr="00941679">
        <w:rPr>
          <w:rFonts w:ascii="Verdana" w:hAnsi="Verdana"/>
        </w:rPr>
        <w:t>as well as having a good time at uni</w:t>
      </w:r>
      <w:r w:rsidR="00313D38">
        <w:rPr>
          <w:rFonts w:ascii="Verdana" w:hAnsi="Verdana"/>
        </w:rPr>
        <w:t>versity</w:t>
      </w:r>
      <w:r w:rsidR="001336C6" w:rsidRPr="00941679">
        <w:rPr>
          <w:rFonts w:ascii="Verdana" w:hAnsi="Verdana"/>
        </w:rPr>
        <w:t>,</w:t>
      </w:r>
      <w:r w:rsidR="005D5123" w:rsidRPr="00941679">
        <w:rPr>
          <w:rFonts w:ascii="Verdana" w:hAnsi="Verdana"/>
        </w:rPr>
        <w:t xml:space="preserve"> </w:t>
      </w:r>
      <w:r w:rsidR="006E47B5" w:rsidRPr="00941679">
        <w:rPr>
          <w:rFonts w:ascii="Verdana" w:hAnsi="Verdana"/>
        </w:rPr>
        <w:t>may also be making the best choices in terms of long term financial rewards</w:t>
      </w:r>
      <w:r w:rsidR="00820CB9" w:rsidRPr="00941679">
        <w:rPr>
          <w:rFonts w:ascii="Verdana" w:hAnsi="Verdana"/>
        </w:rPr>
        <w:t>, even if the</w:t>
      </w:r>
      <w:r w:rsidR="00BC1EC8" w:rsidRPr="00941679">
        <w:rPr>
          <w:rFonts w:ascii="Verdana" w:hAnsi="Verdana"/>
        </w:rPr>
        <w:t xml:space="preserve">ir subject choice is not reported to </w:t>
      </w:r>
      <w:r w:rsidR="00820CB9" w:rsidRPr="00941679">
        <w:rPr>
          <w:rFonts w:ascii="Verdana" w:hAnsi="Verdana"/>
        </w:rPr>
        <w:t xml:space="preserve">have </w:t>
      </w:r>
      <w:r w:rsidR="00BC1EC8" w:rsidRPr="00941679">
        <w:rPr>
          <w:rFonts w:ascii="Verdana" w:hAnsi="Verdana"/>
        </w:rPr>
        <w:t>a high average earnings</w:t>
      </w:r>
      <w:r w:rsidR="006E47B5" w:rsidRPr="00941679">
        <w:rPr>
          <w:rFonts w:ascii="Verdana" w:hAnsi="Verdana"/>
        </w:rPr>
        <w:t>.</w:t>
      </w:r>
    </w:p>
    <w:p w:rsidR="00941679" w:rsidRPr="00941679" w:rsidRDefault="00C07135" w:rsidP="00941679">
      <w:pPr>
        <w:pStyle w:val="ListParagraph"/>
        <w:autoSpaceDE w:val="0"/>
        <w:autoSpaceDN w:val="0"/>
        <w:adjustRightInd w:val="0"/>
        <w:spacing w:after="240" w:line="300" w:lineRule="atLeast"/>
        <w:ind w:left="0"/>
        <w:contextualSpacing w:val="0"/>
        <w:rPr>
          <w:rFonts w:ascii="Verdana" w:hAnsi="Verdana"/>
        </w:rPr>
      </w:pPr>
      <w:r w:rsidRPr="00941679">
        <w:rPr>
          <w:rFonts w:ascii="Verdana" w:hAnsi="Verdana"/>
          <w:u w:val="single"/>
        </w:rPr>
        <w:t>Where to study</w:t>
      </w:r>
      <w:r w:rsidR="002E7887" w:rsidRPr="00941679">
        <w:rPr>
          <w:rFonts w:ascii="Verdana" w:hAnsi="Verdana"/>
          <w:vertAlign w:val="superscript"/>
        </w:rPr>
        <w:t>7</w:t>
      </w:r>
    </w:p>
    <w:p w:rsidR="00941679" w:rsidRDefault="00941679" w:rsidP="001D624D">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41679">
        <w:rPr>
          <w:rFonts w:ascii="Verdana" w:hAnsi="Verdana"/>
          <w:vertAlign w:val="superscript"/>
        </w:rPr>
        <w:t xml:space="preserve"> </w:t>
      </w:r>
      <w:r w:rsidR="00901638" w:rsidRPr="00941679">
        <w:rPr>
          <w:rFonts w:ascii="Verdana" w:hAnsi="Verdana"/>
        </w:rPr>
        <w:t>Will you earn more if you attend a prestigious university? A simple question, that is hard to answer. Unless we make do with earnings just six months after graduation, there are no data sets big enough to give an answer for individual universities. The information we have relates to the ‘</w:t>
      </w:r>
      <w:r w:rsidR="00313D38">
        <w:rPr>
          <w:rFonts w:ascii="Verdana" w:hAnsi="Verdana"/>
        </w:rPr>
        <w:t>m</w:t>
      </w:r>
      <w:r w:rsidR="00901638" w:rsidRPr="00941679">
        <w:rPr>
          <w:rFonts w:ascii="Verdana" w:hAnsi="Verdana"/>
        </w:rPr>
        <w:t xml:space="preserve">ission groups’ of universities, or </w:t>
      </w:r>
      <w:r w:rsidR="001D624D" w:rsidRPr="00941679">
        <w:rPr>
          <w:rFonts w:ascii="Verdana" w:hAnsi="Verdana"/>
        </w:rPr>
        <w:t xml:space="preserve">to the </w:t>
      </w:r>
      <w:r w:rsidR="00901638" w:rsidRPr="00941679">
        <w:rPr>
          <w:rFonts w:ascii="Verdana" w:hAnsi="Verdana"/>
        </w:rPr>
        <w:t>returns</w:t>
      </w:r>
      <w:r w:rsidR="001D624D" w:rsidRPr="00941679">
        <w:rPr>
          <w:rFonts w:ascii="Verdana" w:hAnsi="Verdana"/>
        </w:rPr>
        <w:t xml:space="preserve"> to graduating from a university with a given so called </w:t>
      </w:r>
      <w:r w:rsidR="00313D38">
        <w:rPr>
          <w:rFonts w:ascii="Verdana" w:hAnsi="Verdana"/>
        </w:rPr>
        <w:t>‘</w:t>
      </w:r>
      <w:r w:rsidR="001D624D" w:rsidRPr="00941679">
        <w:rPr>
          <w:rFonts w:ascii="Verdana" w:hAnsi="Verdana"/>
        </w:rPr>
        <w:t>quality</w:t>
      </w:r>
      <w:r w:rsidR="00313D38">
        <w:rPr>
          <w:rFonts w:ascii="Verdana" w:hAnsi="Verdana"/>
        </w:rPr>
        <w:t>’</w:t>
      </w:r>
      <w:r w:rsidR="001D624D" w:rsidRPr="00941679">
        <w:rPr>
          <w:rFonts w:ascii="Verdana" w:hAnsi="Verdana"/>
        </w:rPr>
        <w:t xml:space="preserve"> measure, like those used in league tables.</w:t>
      </w:r>
    </w:p>
    <w:p w:rsidR="00941679" w:rsidRDefault="00941679" w:rsidP="00476282">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41679">
        <w:rPr>
          <w:rFonts w:ascii="Verdana" w:hAnsi="Verdana"/>
        </w:rPr>
        <w:t xml:space="preserve"> </w:t>
      </w:r>
      <w:r w:rsidR="001D624D" w:rsidRPr="00941679">
        <w:rPr>
          <w:rFonts w:ascii="Verdana" w:hAnsi="Verdana"/>
        </w:rPr>
        <w:t>We do now have the series of surveys of graduate earnings three and a half years after graduation which I mentioned before, but even with these data we face some difficulties. T</w:t>
      </w:r>
      <w:r w:rsidR="00234F4E" w:rsidRPr="00941679">
        <w:rPr>
          <w:rFonts w:ascii="Verdana" w:hAnsi="Verdana"/>
        </w:rPr>
        <w:t xml:space="preserve">here </w:t>
      </w:r>
      <w:r w:rsidR="001D624D" w:rsidRPr="00941679">
        <w:rPr>
          <w:rFonts w:ascii="Verdana" w:hAnsi="Verdana"/>
        </w:rPr>
        <w:t xml:space="preserve">are </w:t>
      </w:r>
      <w:r w:rsidR="00234F4E" w:rsidRPr="00941679">
        <w:rPr>
          <w:rFonts w:ascii="Verdana" w:hAnsi="Verdana"/>
        </w:rPr>
        <w:t>very few comparable students attending institutions at both ends of the league tables</w:t>
      </w:r>
      <w:r w:rsidR="001D624D" w:rsidRPr="00941679">
        <w:rPr>
          <w:rFonts w:ascii="Verdana" w:hAnsi="Verdana"/>
        </w:rPr>
        <w:t xml:space="preserve">, so that the only safe comparisons are between students at reasonably similar universities. </w:t>
      </w:r>
      <w:r w:rsidR="00C3591B" w:rsidRPr="00941679">
        <w:rPr>
          <w:rFonts w:ascii="Verdana" w:hAnsi="Verdana"/>
        </w:rPr>
        <w:t>The</w:t>
      </w:r>
      <w:r w:rsidR="00C10113" w:rsidRPr="00941679">
        <w:rPr>
          <w:rFonts w:ascii="Verdana" w:hAnsi="Verdana"/>
        </w:rPr>
        <w:t xml:space="preserve"> ‘quality’ measures </w:t>
      </w:r>
      <w:r w:rsidR="007E1292" w:rsidRPr="00941679">
        <w:rPr>
          <w:rFonts w:ascii="Verdana" w:hAnsi="Verdana"/>
        </w:rPr>
        <w:t xml:space="preserve">are </w:t>
      </w:r>
      <w:r w:rsidR="00BC1EC8" w:rsidRPr="00941679">
        <w:rPr>
          <w:rFonts w:ascii="Verdana" w:hAnsi="Verdana"/>
        </w:rPr>
        <w:t xml:space="preserve">always </w:t>
      </w:r>
      <w:r w:rsidR="007E1292" w:rsidRPr="00941679">
        <w:rPr>
          <w:rFonts w:ascii="Verdana" w:hAnsi="Verdana"/>
        </w:rPr>
        <w:t xml:space="preserve">highly </w:t>
      </w:r>
      <w:r w:rsidR="001B6F7A" w:rsidRPr="00941679">
        <w:rPr>
          <w:rFonts w:ascii="Verdana" w:hAnsi="Verdana"/>
        </w:rPr>
        <w:t xml:space="preserve">correlated with entry qualifications, so </w:t>
      </w:r>
      <w:r w:rsidR="00BC1EC8" w:rsidRPr="00941679">
        <w:rPr>
          <w:rFonts w:ascii="Verdana" w:hAnsi="Verdana"/>
        </w:rPr>
        <w:t xml:space="preserve">there is a </w:t>
      </w:r>
      <w:r w:rsidR="001B6F7A" w:rsidRPr="00941679">
        <w:rPr>
          <w:rFonts w:ascii="Verdana" w:hAnsi="Verdana"/>
        </w:rPr>
        <w:t xml:space="preserve">high risk the ‘quality’ measure </w:t>
      </w:r>
      <w:r w:rsidR="00C10113" w:rsidRPr="00941679">
        <w:rPr>
          <w:rFonts w:ascii="Verdana" w:hAnsi="Verdana"/>
        </w:rPr>
        <w:t xml:space="preserve">will </w:t>
      </w:r>
      <w:r w:rsidR="001B6F7A" w:rsidRPr="00941679">
        <w:rPr>
          <w:rFonts w:ascii="Verdana" w:hAnsi="Verdana"/>
        </w:rPr>
        <w:t>pick</w:t>
      </w:r>
      <w:r w:rsidR="00C10113" w:rsidRPr="00941679">
        <w:rPr>
          <w:rFonts w:ascii="Verdana" w:hAnsi="Verdana"/>
        </w:rPr>
        <w:t xml:space="preserve"> </w:t>
      </w:r>
      <w:r w:rsidR="001B6F7A" w:rsidRPr="00941679">
        <w:rPr>
          <w:rFonts w:ascii="Verdana" w:hAnsi="Verdana"/>
        </w:rPr>
        <w:t>up s</w:t>
      </w:r>
      <w:r w:rsidR="007E1292" w:rsidRPr="00941679">
        <w:rPr>
          <w:rFonts w:ascii="Verdana" w:hAnsi="Verdana"/>
        </w:rPr>
        <w:t>ome</w:t>
      </w:r>
      <w:r w:rsidR="001B6F7A" w:rsidRPr="00941679">
        <w:rPr>
          <w:rFonts w:ascii="Verdana" w:hAnsi="Verdana"/>
        </w:rPr>
        <w:t xml:space="preserve"> unmeasured aspect of entry qual</w:t>
      </w:r>
      <w:r w:rsidR="007E1292" w:rsidRPr="00941679">
        <w:rPr>
          <w:rFonts w:ascii="Verdana" w:hAnsi="Verdana"/>
        </w:rPr>
        <w:t>ifications</w:t>
      </w:r>
      <w:r w:rsidR="00C10113" w:rsidRPr="00941679">
        <w:rPr>
          <w:rFonts w:ascii="Verdana" w:hAnsi="Verdana"/>
        </w:rPr>
        <w:t xml:space="preserve">. </w:t>
      </w:r>
      <w:r w:rsidR="0095216F" w:rsidRPr="00941679">
        <w:rPr>
          <w:rFonts w:ascii="Verdana" w:hAnsi="Verdana"/>
        </w:rPr>
        <w:t xml:space="preserve">And while, in general terms, entrants are sorted by their entry qualifications, there </w:t>
      </w:r>
      <w:r w:rsidR="00C10113" w:rsidRPr="00941679">
        <w:rPr>
          <w:rFonts w:ascii="Verdana" w:hAnsi="Verdana"/>
        </w:rPr>
        <w:t>is</w:t>
      </w:r>
      <w:r w:rsidR="0095216F" w:rsidRPr="00941679">
        <w:rPr>
          <w:rFonts w:ascii="Verdana" w:hAnsi="Verdana"/>
        </w:rPr>
        <w:t xml:space="preserve"> still </w:t>
      </w:r>
      <w:r w:rsidR="00C10113" w:rsidRPr="00941679">
        <w:rPr>
          <w:rFonts w:ascii="Verdana" w:hAnsi="Verdana"/>
        </w:rPr>
        <w:t xml:space="preserve">scope for </w:t>
      </w:r>
      <w:r w:rsidR="0095216F" w:rsidRPr="00941679">
        <w:rPr>
          <w:rFonts w:ascii="Verdana" w:hAnsi="Verdana"/>
        </w:rPr>
        <w:t xml:space="preserve">the ambitious and confident </w:t>
      </w:r>
      <w:r w:rsidR="00C10113" w:rsidRPr="00941679">
        <w:rPr>
          <w:rFonts w:ascii="Verdana" w:hAnsi="Verdana"/>
        </w:rPr>
        <w:t>to</w:t>
      </w:r>
      <w:r w:rsidR="0095216F" w:rsidRPr="00941679">
        <w:rPr>
          <w:rFonts w:ascii="Verdana" w:hAnsi="Verdana"/>
        </w:rPr>
        <w:t xml:space="preserve"> apply to more selective universities, and it may be that these unmeasured attributes lead to higher earnings. </w:t>
      </w:r>
      <w:r w:rsidR="001E4469" w:rsidRPr="00941679">
        <w:rPr>
          <w:rFonts w:ascii="Verdana" w:hAnsi="Verdana"/>
        </w:rPr>
        <w:t xml:space="preserve">There have been some </w:t>
      </w:r>
      <w:r w:rsidR="000971D3" w:rsidRPr="00941679">
        <w:rPr>
          <w:rFonts w:ascii="Verdana" w:hAnsi="Verdana"/>
        </w:rPr>
        <w:t>ingenious</w:t>
      </w:r>
      <w:r w:rsidR="001E4469" w:rsidRPr="00941679">
        <w:rPr>
          <w:rFonts w:ascii="Verdana" w:hAnsi="Verdana"/>
        </w:rPr>
        <w:t xml:space="preserve"> attempts to minimise these</w:t>
      </w:r>
      <w:r w:rsidR="005B4094" w:rsidRPr="00941679">
        <w:rPr>
          <w:rFonts w:ascii="Verdana" w:hAnsi="Verdana"/>
        </w:rPr>
        <w:t xml:space="preserve"> estimation </w:t>
      </w:r>
      <w:r w:rsidR="00821EED" w:rsidRPr="00941679">
        <w:rPr>
          <w:rFonts w:ascii="Verdana" w:hAnsi="Verdana"/>
        </w:rPr>
        <w:t>problems</w:t>
      </w:r>
      <w:r w:rsidR="001E4469" w:rsidRPr="00941679">
        <w:rPr>
          <w:rFonts w:ascii="Verdana" w:hAnsi="Verdana"/>
        </w:rPr>
        <w:t xml:space="preserve">, and </w:t>
      </w:r>
      <w:r w:rsidR="00543E77" w:rsidRPr="00941679">
        <w:rPr>
          <w:rFonts w:ascii="Verdana" w:hAnsi="Verdana"/>
        </w:rPr>
        <w:t xml:space="preserve">the evidence does seem to show </w:t>
      </w:r>
      <w:r w:rsidR="001E4469" w:rsidRPr="00941679">
        <w:rPr>
          <w:rFonts w:ascii="Verdana" w:hAnsi="Verdana"/>
        </w:rPr>
        <w:t xml:space="preserve">that there is </w:t>
      </w:r>
      <w:r w:rsidR="004633C6">
        <w:rPr>
          <w:rFonts w:ascii="Verdana" w:hAnsi="Verdana"/>
        </w:rPr>
        <w:t xml:space="preserve">at least </w:t>
      </w:r>
      <w:r w:rsidR="000971D3" w:rsidRPr="00941679">
        <w:rPr>
          <w:rFonts w:ascii="Verdana" w:hAnsi="Verdana"/>
        </w:rPr>
        <w:t xml:space="preserve">an </w:t>
      </w:r>
      <w:r w:rsidR="005B4094" w:rsidRPr="00941679">
        <w:rPr>
          <w:rFonts w:ascii="Verdana" w:hAnsi="Verdana"/>
        </w:rPr>
        <w:t xml:space="preserve">initial </w:t>
      </w:r>
      <w:r w:rsidR="0095216F" w:rsidRPr="00941679">
        <w:rPr>
          <w:rFonts w:ascii="Verdana" w:hAnsi="Verdana"/>
        </w:rPr>
        <w:t>e</w:t>
      </w:r>
      <w:r w:rsidR="001E4469" w:rsidRPr="00941679">
        <w:rPr>
          <w:rFonts w:ascii="Verdana" w:hAnsi="Verdana"/>
        </w:rPr>
        <w:t xml:space="preserve">arnings premium from attending </w:t>
      </w:r>
      <w:r w:rsidR="00821EED" w:rsidRPr="00941679">
        <w:rPr>
          <w:rFonts w:ascii="Verdana" w:hAnsi="Verdana"/>
        </w:rPr>
        <w:t>more selective universities</w:t>
      </w:r>
      <w:r w:rsidR="005B4094" w:rsidRPr="00941679">
        <w:rPr>
          <w:rFonts w:ascii="Verdana" w:hAnsi="Verdana"/>
        </w:rPr>
        <w:t>.</w:t>
      </w:r>
      <w:r w:rsidR="001E4469" w:rsidRPr="00941679">
        <w:rPr>
          <w:rFonts w:ascii="Verdana" w:hAnsi="Verdana"/>
        </w:rPr>
        <w:t xml:space="preserve"> </w:t>
      </w:r>
      <w:r w:rsidR="00246C8E" w:rsidRPr="00941679">
        <w:rPr>
          <w:rFonts w:ascii="Verdana" w:hAnsi="Verdana"/>
        </w:rPr>
        <w:t>However, w</w:t>
      </w:r>
      <w:r w:rsidR="00543E77" w:rsidRPr="00941679">
        <w:rPr>
          <w:rFonts w:ascii="Verdana" w:hAnsi="Verdana"/>
        </w:rPr>
        <w:t>e</w:t>
      </w:r>
      <w:r w:rsidR="005B4094" w:rsidRPr="00941679">
        <w:rPr>
          <w:rFonts w:ascii="Verdana" w:hAnsi="Verdana"/>
        </w:rPr>
        <w:t xml:space="preserve"> still</w:t>
      </w:r>
      <w:r w:rsidR="000971D3" w:rsidRPr="00941679">
        <w:rPr>
          <w:rFonts w:ascii="Verdana" w:hAnsi="Verdana"/>
        </w:rPr>
        <w:t xml:space="preserve"> </w:t>
      </w:r>
      <w:r w:rsidR="00543E77" w:rsidRPr="00941679">
        <w:rPr>
          <w:rFonts w:ascii="Verdana" w:hAnsi="Verdana"/>
        </w:rPr>
        <w:t>do not know</w:t>
      </w:r>
      <w:r w:rsidR="000971D3" w:rsidRPr="00941679">
        <w:rPr>
          <w:rFonts w:ascii="Verdana" w:hAnsi="Verdana"/>
        </w:rPr>
        <w:t xml:space="preserve"> why </w:t>
      </w:r>
      <w:r w:rsidR="005B4094" w:rsidRPr="00941679">
        <w:rPr>
          <w:rFonts w:ascii="Verdana" w:hAnsi="Verdana"/>
        </w:rPr>
        <w:t>going to a ‘top’ university has this payoff</w:t>
      </w:r>
      <w:r w:rsidR="000971D3" w:rsidRPr="00941679">
        <w:rPr>
          <w:rFonts w:ascii="Verdana" w:hAnsi="Verdana"/>
        </w:rPr>
        <w:t xml:space="preserve">, </w:t>
      </w:r>
      <w:r w:rsidR="00313D38">
        <w:rPr>
          <w:rFonts w:ascii="Verdana" w:hAnsi="Verdana"/>
        </w:rPr>
        <w:t>nor do we know</w:t>
      </w:r>
      <w:r w:rsidR="00543E77" w:rsidRPr="00941679">
        <w:rPr>
          <w:rFonts w:ascii="Verdana" w:hAnsi="Verdana"/>
        </w:rPr>
        <w:t xml:space="preserve"> </w:t>
      </w:r>
      <w:r w:rsidR="000971D3" w:rsidRPr="00941679">
        <w:rPr>
          <w:rFonts w:ascii="Verdana" w:hAnsi="Verdana"/>
        </w:rPr>
        <w:t xml:space="preserve">whether </w:t>
      </w:r>
      <w:r w:rsidR="001E4469" w:rsidRPr="00941679">
        <w:rPr>
          <w:rFonts w:ascii="Verdana" w:hAnsi="Verdana"/>
        </w:rPr>
        <w:t>th</w:t>
      </w:r>
      <w:r w:rsidR="005B4094" w:rsidRPr="00941679">
        <w:rPr>
          <w:rFonts w:ascii="Verdana" w:hAnsi="Verdana"/>
        </w:rPr>
        <w:t>e</w:t>
      </w:r>
      <w:r w:rsidR="001E4469" w:rsidRPr="00941679">
        <w:rPr>
          <w:rFonts w:ascii="Verdana" w:hAnsi="Verdana"/>
        </w:rPr>
        <w:t xml:space="preserve"> </w:t>
      </w:r>
      <w:r w:rsidR="005B4094" w:rsidRPr="00941679">
        <w:rPr>
          <w:rFonts w:ascii="Verdana" w:hAnsi="Verdana"/>
        </w:rPr>
        <w:t>differential</w:t>
      </w:r>
      <w:r w:rsidR="00315D18">
        <w:rPr>
          <w:rFonts w:ascii="Verdana" w:hAnsi="Verdana"/>
        </w:rPr>
        <w:t>s</w:t>
      </w:r>
      <w:r w:rsidR="005B4094" w:rsidRPr="00941679">
        <w:rPr>
          <w:rFonts w:ascii="Verdana" w:hAnsi="Verdana"/>
        </w:rPr>
        <w:t xml:space="preserve"> change</w:t>
      </w:r>
      <w:r w:rsidR="00315D18">
        <w:rPr>
          <w:rFonts w:ascii="Verdana" w:hAnsi="Verdana"/>
        </w:rPr>
        <w:t xml:space="preserve"> </w:t>
      </w:r>
      <w:r w:rsidR="005B4094" w:rsidRPr="00941679">
        <w:rPr>
          <w:rFonts w:ascii="Verdana" w:hAnsi="Verdana"/>
        </w:rPr>
        <w:t>over the course of a working lifetime</w:t>
      </w:r>
      <w:r w:rsidR="000971D3" w:rsidRPr="00941679">
        <w:rPr>
          <w:rFonts w:ascii="Verdana" w:hAnsi="Verdana"/>
        </w:rPr>
        <w:t>.</w:t>
      </w:r>
    </w:p>
    <w:p w:rsidR="00941679" w:rsidRPr="0081040D" w:rsidRDefault="00941679" w:rsidP="0081040D">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81040D">
        <w:rPr>
          <w:rFonts w:ascii="Verdana" w:hAnsi="Verdana"/>
        </w:rPr>
        <w:t xml:space="preserve"> </w:t>
      </w:r>
      <w:r w:rsidR="000971D3" w:rsidRPr="0081040D">
        <w:rPr>
          <w:rFonts w:ascii="Verdana" w:hAnsi="Verdana"/>
        </w:rPr>
        <w:t>Do employers use university ratings to select recruits? The evidence is mixed but i</w:t>
      </w:r>
      <w:r w:rsidR="00476282" w:rsidRPr="0081040D">
        <w:rPr>
          <w:rFonts w:ascii="Verdana" w:hAnsi="Verdana"/>
        </w:rPr>
        <w:t xml:space="preserve">t is likely that </w:t>
      </w:r>
      <w:r w:rsidR="0095216F" w:rsidRPr="0081040D">
        <w:rPr>
          <w:rFonts w:ascii="Verdana" w:hAnsi="Verdana"/>
        </w:rPr>
        <w:t xml:space="preserve">popular </w:t>
      </w:r>
      <w:r w:rsidR="00476282" w:rsidRPr="0081040D">
        <w:rPr>
          <w:rFonts w:ascii="Verdana" w:hAnsi="Verdana"/>
        </w:rPr>
        <w:t xml:space="preserve">employers recruiting for fast track positions are far from ‘university blind’. </w:t>
      </w:r>
      <w:r w:rsidR="00FA0DC0" w:rsidRPr="0081040D">
        <w:rPr>
          <w:rFonts w:ascii="Verdana" w:hAnsi="Verdana"/>
        </w:rPr>
        <w:t>They do not have an obligation to promote social mobility and if they can reduce their recruitment costs by using university reputation as a first sieve, they will.</w:t>
      </w:r>
      <w:r w:rsidR="00821EED" w:rsidRPr="0081040D">
        <w:rPr>
          <w:rFonts w:ascii="Verdana" w:hAnsi="Verdana"/>
        </w:rPr>
        <w:t xml:space="preserve"> So graduates from prestige institutions will be at an advantage compared to those of equal ability and potential from other institutions.</w:t>
      </w:r>
    </w:p>
    <w:p w:rsidR="00941679" w:rsidRPr="00941679" w:rsidRDefault="00FA0DC0" w:rsidP="00941679">
      <w:pPr>
        <w:pStyle w:val="ListParagraph"/>
        <w:autoSpaceDE w:val="0"/>
        <w:autoSpaceDN w:val="0"/>
        <w:adjustRightInd w:val="0"/>
        <w:spacing w:after="240" w:line="300" w:lineRule="atLeast"/>
        <w:ind w:left="0"/>
        <w:contextualSpacing w:val="0"/>
        <w:rPr>
          <w:rFonts w:ascii="Verdana" w:hAnsi="Verdana"/>
        </w:rPr>
      </w:pPr>
      <w:r w:rsidRPr="00941679">
        <w:rPr>
          <w:rFonts w:ascii="Verdana" w:hAnsi="Verdana"/>
        </w:rPr>
        <w:t xml:space="preserve"> </w:t>
      </w:r>
      <w:r w:rsidR="00C07135" w:rsidRPr="00941679">
        <w:rPr>
          <w:rFonts w:ascii="Verdana" w:hAnsi="Verdana"/>
          <w:u w:val="single"/>
        </w:rPr>
        <w:t>Mis-selling</w:t>
      </w:r>
      <w:r w:rsidR="00941679" w:rsidRPr="00941679">
        <w:rPr>
          <w:rFonts w:ascii="Verdana" w:hAnsi="Verdana"/>
          <w:u w:val="single"/>
        </w:rPr>
        <w:t xml:space="preserve"> </w:t>
      </w:r>
    </w:p>
    <w:p w:rsidR="00941679" w:rsidRDefault="00941679"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41679">
        <w:rPr>
          <w:rFonts w:ascii="Verdana" w:hAnsi="Verdana"/>
        </w:rPr>
        <w:t xml:space="preserve"> </w:t>
      </w:r>
      <w:r w:rsidR="00CE77F5" w:rsidRPr="00941679">
        <w:rPr>
          <w:rFonts w:ascii="Verdana" w:hAnsi="Verdana"/>
        </w:rPr>
        <w:t xml:space="preserve">Despite all these difficulties, </w:t>
      </w:r>
      <w:r w:rsidR="005A3E4C">
        <w:rPr>
          <w:rFonts w:ascii="Verdana" w:hAnsi="Verdana"/>
        </w:rPr>
        <w:t xml:space="preserve">crude </w:t>
      </w:r>
      <w:r w:rsidR="00CE77F5" w:rsidRPr="00941679">
        <w:rPr>
          <w:rFonts w:ascii="Verdana" w:hAnsi="Verdana"/>
        </w:rPr>
        <w:t>return</w:t>
      </w:r>
      <w:r w:rsidR="005A3E4C">
        <w:rPr>
          <w:rFonts w:ascii="Verdana" w:hAnsi="Verdana"/>
        </w:rPr>
        <w:t xml:space="preserve"> estimates </w:t>
      </w:r>
      <w:r w:rsidR="00CE77F5" w:rsidRPr="00941679">
        <w:rPr>
          <w:rFonts w:ascii="Verdana" w:hAnsi="Verdana"/>
        </w:rPr>
        <w:t xml:space="preserve">are regularly used as </w:t>
      </w:r>
      <w:r w:rsidR="00EB7334" w:rsidRPr="00941679">
        <w:rPr>
          <w:rFonts w:ascii="Verdana" w:hAnsi="Verdana"/>
        </w:rPr>
        <w:t xml:space="preserve">a </w:t>
      </w:r>
      <w:r w:rsidR="00EC78F6" w:rsidRPr="00941679">
        <w:rPr>
          <w:rFonts w:ascii="Verdana" w:hAnsi="Verdana"/>
        </w:rPr>
        <w:t>sales pitch t</w:t>
      </w:r>
      <w:r w:rsidR="00E7613F" w:rsidRPr="00941679">
        <w:rPr>
          <w:rFonts w:ascii="Verdana" w:hAnsi="Verdana"/>
        </w:rPr>
        <w:t>o</w:t>
      </w:r>
      <w:r w:rsidR="00EC78F6" w:rsidRPr="00941679">
        <w:rPr>
          <w:rFonts w:ascii="Verdana" w:hAnsi="Verdana"/>
        </w:rPr>
        <w:t xml:space="preserve"> advise prospective students about the benefits of higher education in general and particular courses and universities in particular. </w:t>
      </w:r>
      <w:r w:rsidR="00E7613F" w:rsidRPr="00941679">
        <w:rPr>
          <w:rFonts w:ascii="Verdana" w:hAnsi="Verdana"/>
        </w:rPr>
        <w:t xml:space="preserve">They </w:t>
      </w:r>
      <w:r w:rsidR="00EC78F6" w:rsidRPr="00941679">
        <w:rPr>
          <w:rFonts w:ascii="Verdana" w:hAnsi="Verdana"/>
        </w:rPr>
        <w:t xml:space="preserve">almost </w:t>
      </w:r>
      <w:r w:rsidR="00EC78F6" w:rsidRPr="00941679">
        <w:rPr>
          <w:rFonts w:ascii="Verdana" w:hAnsi="Verdana"/>
        </w:rPr>
        <w:lastRenderedPageBreak/>
        <w:t xml:space="preserve">never hear </w:t>
      </w:r>
      <w:r w:rsidR="0028387B" w:rsidRPr="00941679">
        <w:rPr>
          <w:rFonts w:ascii="Verdana" w:hAnsi="Verdana"/>
        </w:rPr>
        <w:t>a</w:t>
      </w:r>
      <w:r w:rsidR="00E7613F" w:rsidRPr="00941679">
        <w:rPr>
          <w:rFonts w:ascii="Verdana" w:hAnsi="Verdana"/>
        </w:rPr>
        <w:t xml:space="preserve">bout the </w:t>
      </w:r>
      <w:r w:rsidR="001F61DD" w:rsidRPr="00941679">
        <w:rPr>
          <w:rFonts w:ascii="Verdana" w:hAnsi="Verdana"/>
        </w:rPr>
        <w:t xml:space="preserve">students who drop out, the </w:t>
      </w:r>
      <w:r w:rsidR="00E7613F" w:rsidRPr="00941679">
        <w:rPr>
          <w:rFonts w:ascii="Verdana" w:hAnsi="Verdana"/>
        </w:rPr>
        <w:t xml:space="preserve">uncertainties </w:t>
      </w:r>
      <w:r w:rsidR="00FB5C77" w:rsidRPr="00941679">
        <w:rPr>
          <w:rFonts w:ascii="Verdana" w:hAnsi="Verdana"/>
        </w:rPr>
        <w:t>in</w:t>
      </w:r>
      <w:r w:rsidR="00E7613F" w:rsidRPr="00941679">
        <w:rPr>
          <w:rFonts w:ascii="Verdana" w:hAnsi="Verdana"/>
        </w:rPr>
        <w:t xml:space="preserve"> estimating the returns</w:t>
      </w:r>
      <w:r w:rsidR="00FB5C77" w:rsidRPr="00941679">
        <w:rPr>
          <w:rFonts w:ascii="Verdana" w:hAnsi="Verdana"/>
        </w:rPr>
        <w:t xml:space="preserve"> </w:t>
      </w:r>
      <w:r w:rsidR="001F61DD" w:rsidRPr="00941679">
        <w:rPr>
          <w:rFonts w:ascii="Verdana" w:hAnsi="Verdana"/>
        </w:rPr>
        <w:t>for those who have graduated</w:t>
      </w:r>
      <w:r w:rsidR="00E7613F" w:rsidRPr="00941679">
        <w:rPr>
          <w:rFonts w:ascii="Verdana" w:hAnsi="Verdana"/>
        </w:rPr>
        <w:t>, nor are they warned that</w:t>
      </w:r>
      <w:r w:rsidR="0028387B" w:rsidRPr="00941679">
        <w:rPr>
          <w:rFonts w:ascii="Verdana" w:hAnsi="Verdana"/>
        </w:rPr>
        <w:t xml:space="preserve"> ‘past performance is not necessarily indicative of future results’</w:t>
      </w:r>
      <w:r w:rsidR="00E7613F" w:rsidRPr="00941679">
        <w:rPr>
          <w:rFonts w:ascii="Verdana" w:hAnsi="Verdana"/>
        </w:rPr>
        <w:t xml:space="preserve">. </w:t>
      </w:r>
    </w:p>
    <w:p w:rsidR="005F2272" w:rsidRDefault="00941679"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F2272">
        <w:rPr>
          <w:rFonts w:ascii="Verdana" w:hAnsi="Verdana"/>
        </w:rPr>
        <w:t xml:space="preserve"> </w:t>
      </w:r>
      <w:r w:rsidR="00E7613F" w:rsidRPr="005F2272">
        <w:rPr>
          <w:rFonts w:ascii="Verdana" w:hAnsi="Verdana"/>
        </w:rPr>
        <w:t>Government policy sees students</w:t>
      </w:r>
      <w:r w:rsidR="00C07135" w:rsidRPr="005F2272">
        <w:rPr>
          <w:rFonts w:ascii="Verdana" w:hAnsi="Verdana"/>
        </w:rPr>
        <w:t>’</w:t>
      </w:r>
      <w:r w:rsidR="00E7613F" w:rsidRPr="005F2272">
        <w:rPr>
          <w:rFonts w:ascii="Verdana" w:hAnsi="Verdana"/>
        </w:rPr>
        <w:t xml:space="preserve"> choice as driving up quality. </w:t>
      </w:r>
      <w:r w:rsidR="00313D38">
        <w:rPr>
          <w:rFonts w:ascii="Verdana" w:hAnsi="Verdana"/>
        </w:rPr>
        <w:t>T</w:t>
      </w:r>
      <w:r w:rsidR="00E7613F" w:rsidRPr="005F2272">
        <w:rPr>
          <w:rFonts w:ascii="Verdana" w:hAnsi="Verdana"/>
        </w:rPr>
        <w:t>he idea seems to be that valuable courses, those which give the highest returns to students</w:t>
      </w:r>
      <w:r w:rsidR="00C07135" w:rsidRPr="005F2272">
        <w:rPr>
          <w:rFonts w:ascii="Verdana" w:hAnsi="Verdana"/>
        </w:rPr>
        <w:t>, will be the most attractive and will be able to expand and charge higher fees. This approach is built on the idea that prospective student can be provided with reliable information. In fact, w</w:t>
      </w:r>
      <w:r w:rsidR="00E80C6E" w:rsidRPr="005F2272">
        <w:rPr>
          <w:rFonts w:ascii="Verdana" w:hAnsi="Verdana"/>
        </w:rPr>
        <w:t>hat</w:t>
      </w:r>
      <w:r w:rsidR="00C07135" w:rsidRPr="005F2272">
        <w:rPr>
          <w:rFonts w:ascii="Verdana" w:hAnsi="Verdana"/>
        </w:rPr>
        <w:t xml:space="preserve"> </w:t>
      </w:r>
      <w:r w:rsidR="00721B94">
        <w:rPr>
          <w:rFonts w:ascii="Verdana" w:hAnsi="Verdana"/>
        </w:rPr>
        <w:t>is</w:t>
      </w:r>
      <w:r w:rsidR="00C07135" w:rsidRPr="005F2272">
        <w:rPr>
          <w:rFonts w:ascii="Verdana" w:hAnsi="Verdana"/>
        </w:rPr>
        <w:t xml:space="preserve"> provided looks like </w:t>
      </w:r>
      <w:proofErr w:type="spellStart"/>
      <w:r w:rsidR="00C07135" w:rsidRPr="005F2272">
        <w:rPr>
          <w:rFonts w:ascii="Verdana" w:hAnsi="Verdana"/>
        </w:rPr>
        <w:t>mis</w:t>
      </w:r>
      <w:proofErr w:type="spellEnd"/>
      <w:r w:rsidR="00C07135" w:rsidRPr="005F2272">
        <w:rPr>
          <w:rFonts w:ascii="Verdana" w:hAnsi="Verdana"/>
        </w:rPr>
        <w:t>-selling.</w:t>
      </w:r>
    </w:p>
    <w:p w:rsidR="005F2272" w:rsidRPr="005F2272" w:rsidRDefault="000B56E0" w:rsidP="005F2272">
      <w:pPr>
        <w:pStyle w:val="ListParagraph"/>
        <w:autoSpaceDE w:val="0"/>
        <w:autoSpaceDN w:val="0"/>
        <w:adjustRightInd w:val="0"/>
        <w:spacing w:after="240" w:line="300" w:lineRule="atLeast"/>
        <w:ind w:left="0"/>
        <w:contextualSpacing w:val="0"/>
        <w:rPr>
          <w:rFonts w:ascii="Verdana" w:hAnsi="Verdana"/>
        </w:rPr>
      </w:pPr>
      <w:r w:rsidRPr="005F2272">
        <w:rPr>
          <w:rFonts w:ascii="Verdana" w:hAnsi="Verdana"/>
          <w:b/>
          <w:sz w:val="24"/>
          <w:szCs w:val="24"/>
        </w:rPr>
        <w:t>Policy development</w:t>
      </w:r>
      <w:r w:rsidR="00A02B69">
        <w:rPr>
          <w:rFonts w:ascii="Verdana" w:hAnsi="Verdana"/>
          <w:b/>
          <w:sz w:val="24"/>
          <w:szCs w:val="24"/>
        </w:rPr>
        <w:t xml:space="preserve"> -</w:t>
      </w:r>
    </w:p>
    <w:p w:rsidR="00DE0676" w:rsidRDefault="005F2272" w:rsidP="00CF2381">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E0676">
        <w:rPr>
          <w:rFonts w:ascii="Verdana" w:hAnsi="Verdana"/>
          <w:sz w:val="24"/>
          <w:szCs w:val="24"/>
          <w:vertAlign w:val="superscript"/>
        </w:rPr>
        <w:t xml:space="preserve"> </w:t>
      </w:r>
      <w:r w:rsidR="005D322F" w:rsidRPr="00DE0676">
        <w:rPr>
          <w:rFonts w:ascii="Verdana" w:hAnsi="Verdana"/>
        </w:rPr>
        <w:t>So far I have looked at the information to inform students whe</w:t>
      </w:r>
      <w:r w:rsidR="00390211" w:rsidRPr="00DE0676">
        <w:rPr>
          <w:rFonts w:ascii="Verdana" w:hAnsi="Verdana"/>
        </w:rPr>
        <w:t>ther,</w:t>
      </w:r>
      <w:r w:rsidR="005D322F" w:rsidRPr="00DE0676">
        <w:rPr>
          <w:rFonts w:ascii="Verdana" w:hAnsi="Verdana"/>
        </w:rPr>
        <w:t xml:space="preserve"> what and where to study</w:t>
      </w:r>
      <w:r w:rsidR="00F23F07" w:rsidRPr="00DE0676">
        <w:rPr>
          <w:rFonts w:ascii="Verdana" w:hAnsi="Verdana"/>
        </w:rPr>
        <w:t>.</w:t>
      </w:r>
      <w:r w:rsidR="00AE56C8" w:rsidRPr="00DE0676">
        <w:rPr>
          <w:rFonts w:ascii="Verdana" w:hAnsi="Verdana"/>
        </w:rPr>
        <w:t xml:space="preserve"> </w:t>
      </w:r>
      <w:r w:rsidR="00F23F07" w:rsidRPr="00DE0676">
        <w:rPr>
          <w:rFonts w:ascii="Verdana" w:hAnsi="Verdana"/>
        </w:rPr>
        <w:t xml:space="preserve"> </w:t>
      </w:r>
      <w:r w:rsidR="00EB7334" w:rsidRPr="00DE0676">
        <w:rPr>
          <w:rFonts w:ascii="Verdana" w:hAnsi="Verdana"/>
        </w:rPr>
        <w:t>W</w:t>
      </w:r>
      <w:r w:rsidR="00BC1EC8" w:rsidRPr="00DE0676">
        <w:rPr>
          <w:rFonts w:ascii="Verdana" w:hAnsi="Verdana"/>
        </w:rPr>
        <w:t xml:space="preserve">e </w:t>
      </w:r>
      <w:r w:rsidR="00EB7334" w:rsidRPr="00DE0676">
        <w:rPr>
          <w:rFonts w:ascii="Verdana" w:hAnsi="Verdana"/>
        </w:rPr>
        <w:t>were</w:t>
      </w:r>
      <w:r w:rsidR="00BC1EC8" w:rsidRPr="00DE0676">
        <w:rPr>
          <w:rFonts w:ascii="Verdana" w:hAnsi="Verdana"/>
        </w:rPr>
        <w:t xml:space="preserve"> only concerned with the returns</w:t>
      </w:r>
      <w:r w:rsidR="00ED0A12" w:rsidRPr="00DE0676">
        <w:rPr>
          <w:rFonts w:ascii="Verdana" w:hAnsi="Verdana"/>
        </w:rPr>
        <w:t xml:space="preserve"> to individual students</w:t>
      </w:r>
      <w:r w:rsidR="00BC1EC8" w:rsidRPr="00DE0676">
        <w:rPr>
          <w:rFonts w:ascii="Verdana" w:hAnsi="Verdana"/>
        </w:rPr>
        <w:t xml:space="preserve">. </w:t>
      </w:r>
      <w:r w:rsidR="00ED0A12" w:rsidRPr="00DE0676">
        <w:rPr>
          <w:rFonts w:ascii="Verdana" w:hAnsi="Verdana"/>
        </w:rPr>
        <w:t>W</w:t>
      </w:r>
      <w:r w:rsidR="00BC1EC8" w:rsidRPr="00DE0676">
        <w:rPr>
          <w:rFonts w:ascii="Verdana" w:hAnsi="Verdana"/>
        </w:rPr>
        <w:t xml:space="preserve">e </w:t>
      </w:r>
      <w:r w:rsidR="00EB7334" w:rsidRPr="00DE0676">
        <w:rPr>
          <w:rFonts w:ascii="Verdana" w:hAnsi="Verdana"/>
        </w:rPr>
        <w:t>were</w:t>
      </w:r>
      <w:r w:rsidR="00BC1EC8" w:rsidRPr="00DE0676">
        <w:rPr>
          <w:rFonts w:ascii="Verdana" w:hAnsi="Verdana"/>
        </w:rPr>
        <w:t xml:space="preserve"> not concerned</w:t>
      </w:r>
      <w:r w:rsidR="00CF2381" w:rsidRPr="00DE0676">
        <w:rPr>
          <w:rFonts w:ascii="Verdana" w:hAnsi="Verdana"/>
        </w:rPr>
        <w:t xml:space="preserve"> </w:t>
      </w:r>
      <w:r w:rsidR="00390211" w:rsidRPr="00DE0676">
        <w:rPr>
          <w:rFonts w:ascii="Verdana" w:hAnsi="Verdana"/>
        </w:rPr>
        <w:t xml:space="preserve">whether </w:t>
      </w:r>
      <w:r w:rsidR="00F23F07" w:rsidRPr="00DE0676">
        <w:rPr>
          <w:rFonts w:ascii="Verdana" w:hAnsi="Verdana"/>
        </w:rPr>
        <w:t xml:space="preserve">these </w:t>
      </w:r>
      <w:r w:rsidR="00EB7334" w:rsidRPr="00DE0676">
        <w:rPr>
          <w:rFonts w:ascii="Verdana" w:hAnsi="Verdana"/>
        </w:rPr>
        <w:t>were merely</w:t>
      </w:r>
      <w:r w:rsidR="00942839" w:rsidRPr="00DE0676">
        <w:rPr>
          <w:rFonts w:ascii="Verdana" w:hAnsi="Verdana"/>
        </w:rPr>
        <w:t xml:space="preserve"> positional gain</w:t>
      </w:r>
      <w:r w:rsidR="00F23F07" w:rsidRPr="00DE0676">
        <w:rPr>
          <w:rFonts w:ascii="Verdana" w:hAnsi="Verdana"/>
        </w:rPr>
        <w:t>s</w:t>
      </w:r>
      <w:r w:rsidR="00942839" w:rsidRPr="00DE0676">
        <w:rPr>
          <w:rFonts w:ascii="Verdana" w:hAnsi="Verdana"/>
        </w:rPr>
        <w:t xml:space="preserve">, putting </w:t>
      </w:r>
      <w:r w:rsidR="00F23F07" w:rsidRPr="00DE0676">
        <w:rPr>
          <w:rFonts w:ascii="Verdana" w:hAnsi="Verdana"/>
        </w:rPr>
        <w:t>some individuals</w:t>
      </w:r>
      <w:r w:rsidR="00942839" w:rsidRPr="00DE0676">
        <w:rPr>
          <w:rFonts w:ascii="Verdana" w:hAnsi="Verdana"/>
        </w:rPr>
        <w:t xml:space="preserve"> ahead of others in the search for a </w:t>
      </w:r>
      <w:r w:rsidR="00BC1EC8" w:rsidRPr="00DE0676">
        <w:rPr>
          <w:rFonts w:ascii="Verdana" w:hAnsi="Verdana"/>
        </w:rPr>
        <w:t xml:space="preserve">good </w:t>
      </w:r>
      <w:r w:rsidR="00942839" w:rsidRPr="00DE0676">
        <w:rPr>
          <w:rFonts w:ascii="Verdana" w:hAnsi="Verdana"/>
        </w:rPr>
        <w:t>job</w:t>
      </w:r>
      <w:r w:rsidR="00EB7334" w:rsidRPr="00DE0676">
        <w:rPr>
          <w:rFonts w:ascii="Verdana" w:hAnsi="Verdana"/>
        </w:rPr>
        <w:t xml:space="preserve">. </w:t>
      </w:r>
      <w:r w:rsidR="00CF2381" w:rsidRPr="00DE0676">
        <w:rPr>
          <w:rFonts w:ascii="Verdana" w:hAnsi="Verdana"/>
        </w:rPr>
        <w:t xml:space="preserve">However, </w:t>
      </w:r>
      <w:r w:rsidR="00ED0A12" w:rsidRPr="00DE0676">
        <w:rPr>
          <w:rFonts w:ascii="Verdana" w:hAnsi="Verdana"/>
        </w:rPr>
        <w:t>such</w:t>
      </w:r>
      <w:r w:rsidR="00CF2381" w:rsidRPr="00DE0676">
        <w:rPr>
          <w:rFonts w:ascii="Verdana" w:hAnsi="Verdana"/>
        </w:rPr>
        <w:t xml:space="preserve"> distinction</w:t>
      </w:r>
      <w:r w:rsidR="00ED0A12" w:rsidRPr="00DE0676">
        <w:rPr>
          <w:rFonts w:ascii="Verdana" w:hAnsi="Verdana"/>
        </w:rPr>
        <w:t>s are</w:t>
      </w:r>
      <w:r w:rsidR="00CF2381" w:rsidRPr="00DE0676">
        <w:rPr>
          <w:rFonts w:ascii="Verdana" w:hAnsi="Verdana"/>
        </w:rPr>
        <w:t xml:space="preserve"> crucial for policy questions like:-</w:t>
      </w:r>
    </w:p>
    <w:p w:rsidR="00DE0676" w:rsidRPr="00DE0676" w:rsidRDefault="00DE0676" w:rsidP="00DE0676">
      <w:pPr>
        <w:pStyle w:val="ListParagraph"/>
        <w:numPr>
          <w:ilvl w:val="0"/>
          <w:numId w:val="10"/>
        </w:numPr>
        <w:spacing w:line="300" w:lineRule="atLeast"/>
        <w:rPr>
          <w:rFonts w:ascii="Verdana" w:hAnsi="Verdana"/>
        </w:rPr>
      </w:pPr>
      <w:r w:rsidRPr="00DE0676">
        <w:rPr>
          <w:rFonts w:ascii="Verdana" w:hAnsi="Verdana"/>
        </w:rPr>
        <w:t>How many places should be funded,</w:t>
      </w:r>
    </w:p>
    <w:p w:rsidR="00DE0676" w:rsidRPr="00DE0676" w:rsidRDefault="00DE0676" w:rsidP="00DE0676">
      <w:pPr>
        <w:pStyle w:val="ListParagraph"/>
        <w:numPr>
          <w:ilvl w:val="0"/>
          <w:numId w:val="10"/>
        </w:numPr>
        <w:spacing w:line="300" w:lineRule="atLeast"/>
        <w:rPr>
          <w:rFonts w:ascii="Verdana" w:hAnsi="Verdana"/>
        </w:rPr>
      </w:pPr>
      <w:r w:rsidRPr="00DE0676">
        <w:rPr>
          <w:rFonts w:ascii="Verdana" w:hAnsi="Verdana"/>
        </w:rPr>
        <w:t xml:space="preserve">What share of costs should </w:t>
      </w:r>
      <w:proofErr w:type="gramStart"/>
      <w:r w:rsidRPr="00DE0676">
        <w:rPr>
          <w:rFonts w:ascii="Verdana" w:hAnsi="Verdana"/>
        </w:rPr>
        <w:t>paid</w:t>
      </w:r>
      <w:proofErr w:type="gramEnd"/>
      <w:r w:rsidRPr="00DE0676">
        <w:rPr>
          <w:rFonts w:ascii="Verdana" w:hAnsi="Verdana"/>
        </w:rPr>
        <w:t xml:space="preserve"> out of the public purse?</w:t>
      </w:r>
    </w:p>
    <w:p w:rsidR="00DE0676" w:rsidRDefault="00DE0676" w:rsidP="00DE0676">
      <w:pPr>
        <w:pStyle w:val="ListParagraph"/>
        <w:numPr>
          <w:ilvl w:val="0"/>
          <w:numId w:val="10"/>
        </w:numPr>
        <w:autoSpaceDE w:val="0"/>
        <w:autoSpaceDN w:val="0"/>
        <w:adjustRightInd w:val="0"/>
        <w:spacing w:after="240" w:line="300" w:lineRule="atLeast"/>
        <w:rPr>
          <w:rFonts w:ascii="Verdana" w:hAnsi="Verdana"/>
        </w:rPr>
      </w:pPr>
      <w:r w:rsidRPr="00DE0676">
        <w:rPr>
          <w:rFonts w:ascii="Verdana" w:hAnsi="Verdana"/>
        </w:rPr>
        <w:t>Should students be subsidised to take certain subjects</w:t>
      </w:r>
      <w:r w:rsidR="008613C2">
        <w:rPr>
          <w:rFonts w:ascii="Verdana" w:hAnsi="Verdana"/>
        </w:rPr>
        <w:t xml:space="preserve"> </w:t>
      </w:r>
    </w:p>
    <w:p w:rsidR="0081040D" w:rsidRDefault="0081040D" w:rsidP="0081040D">
      <w:pPr>
        <w:autoSpaceDE w:val="0"/>
        <w:autoSpaceDN w:val="0"/>
        <w:adjustRightInd w:val="0"/>
        <w:spacing w:after="240" w:line="300" w:lineRule="atLeast"/>
        <w:rPr>
          <w:rFonts w:ascii="Verdana" w:hAnsi="Verdana"/>
          <w:sz w:val="24"/>
          <w:szCs w:val="24"/>
          <w:vertAlign w:val="superscript"/>
        </w:rPr>
      </w:pPr>
      <w:r w:rsidRPr="005F2272">
        <w:rPr>
          <w:rFonts w:ascii="Verdana" w:hAnsi="Verdana"/>
          <w:sz w:val="24"/>
          <w:szCs w:val="24"/>
          <w:u w:val="single"/>
        </w:rPr>
        <w:t>Social returns</w:t>
      </w:r>
      <w:r w:rsidRPr="005F2272">
        <w:rPr>
          <w:rFonts w:ascii="Verdana" w:hAnsi="Verdana"/>
          <w:sz w:val="24"/>
          <w:szCs w:val="24"/>
          <w:vertAlign w:val="superscript"/>
        </w:rPr>
        <w:t>8</w:t>
      </w:r>
    </w:p>
    <w:p w:rsidR="002E13FC" w:rsidRPr="005A3E4C" w:rsidRDefault="00EF7B0B" w:rsidP="005A3E4C">
      <w:pPr>
        <w:autoSpaceDE w:val="0"/>
        <w:autoSpaceDN w:val="0"/>
        <w:adjustRightInd w:val="0"/>
        <w:spacing w:after="240" w:line="300" w:lineRule="atLeast"/>
        <w:rPr>
          <w:rFonts w:ascii="Verdana" w:hAnsi="Verdana"/>
          <w:i/>
        </w:rPr>
      </w:pPr>
      <w:r w:rsidRPr="005A3E4C">
        <w:rPr>
          <w:rFonts w:ascii="Verdana" w:hAnsi="Verdana"/>
          <w:i/>
        </w:rPr>
        <w:t>Productivity versus sorting</w:t>
      </w:r>
    </w:p>
    <w:p w:rsidR="00DE0676" w:rsidRDefault="00DE0676" w:rsidP="00DE0676">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E0676">
        <w:rPr>
          <w:rFonts w:ascii="Verdana" w:hAnsi="Verdana"/>
        </w:rPr>
        <w:t xml:space="preserve">  </w:t>
      </w:r>
      <w:r w:rsidR="00CF2381" w:rsidRPr="00DE0676">
        <w:rPr>
          <w:rFonts w:ascii="Verdana" w:hAnsi="Verdana"/>
        </w:rPr>
        <w:t>If, to take an extreme scenario, higher education</w:t>
      </w:r>
      <w:r w:rsidR="007E1292" w:rsidRPr="00DE0676">
        <w:rPr>
          <w:rFonts w:ascii="Verdana" w:hAnsi="Verdana"/>
        </w:rPr>
        <w:t>,</w:t>
      </w:r>
      <w:r w:rsidR="00CF2381" w:rsidRPr="00DE0676">
        <w:rPr>
          <w:rFonts w:ascii="Verdana" w:hAnsi="Verdana"/>
        </w:rPr>
        <w:t xml:space="preserve"> had no </w:t>
      </w:r>
      <w:r w:rsidR="00A86D22" w:rsidRPr="00DE0676">
        <w:rPr>
          <w:rFonts w:ascii="Verdana" w:hAnsi="Verdana"/>
        </w:rPr>
        <w:t xml:space="preserve">effect on productivity, and all the </w:t>
      </w:r>
      <w:r w:rsidR="00CF2381" w:rsidRPr="00DE0676">
        <w:rPr>
          <w:rFonts w:ascii="Verdana" w:hAnsi="Verdana"/>
        </w:rPr>
        <w:t xml:space="preserve">graduate </w:t>
      </w:r>
      <w:r w:rsidR="00C66C1D" w:rsidRPr="00DE0676">
        <w:rPr>
          <w:rFonts w:ascii="Verdana" w:hAnsi="Verdana"/>
        </w:rPr>
        <w:t>di</w:t>
      </w:r>
      <w:r w:rsidR="00820CB9" w:rsidRPr="00DE0676">
        <w:rPr>
          <w:rFonts w:ascii="Verdana" w:hAnsi="Verdana"/>
        </w:rPr>
        <w:t>f</w:t>
      </w:r>
      <w:r w:rsidR="00C66C1D" w:rsidRPr="00DE0676">
        <w:rPr>
          <w:rFonts w:ascii="Verdana" w:hAnsi="Verdana"/>
        </w:rPr>
        <w:t>ferentials</w:t>
      </w:r>
      <w:r w:rsidR="00CF2381" w:rsidRPr="00DE0676">
        <w:rPr>
          <w:rFonts w:ascii="Verdana" w:hAnsi="Verdana"/>
        </w:rPr>
        <w:t xml:space="preserve"> resulted </w:t>
      </w:r>
      <w:r w:rsidR="00820CB9" w:rsidRPr="00DE0676">
        <w:rPr>
          <w:rFonts w:ascii="Verdana" w:hAnsi="Verdana"/>
        </w:rPr>
        <w:t xml:space="preserve">simply </w:t>
      </w:r>
      <w:r w:rsidR="00CF2381" w:rsidRPr="00DE0676">
        <w:rPr>
          <w:rFonts w:ascii="Verdana" w:hAnsi="Verdana"/>
        </w:rPr>
        <w:t xml:space="preserve">from the students getting into </w:t>
      </w:r>
      <w:r w:rsidR="00E4619F" w:rsidRPr="00DE0676">
        <w:rPr>
          <w:rFonts w:ascii="Verdana" w:hAnsi="Verdana"/>
        </w:rPr>
        <w:t xml:space="preserve">good </w:t>
      </w:r>
      <w:r w:rsidR="00CF2381" w:rsidRPr="00DE0676">
        <w:rPr>
          <w:rFonts w:ascii="Verdana" w:hAnsi="Verdana"/>
        </w:rPr>
        <w:t xml:space="preserve">jobs, the only possible benefit </w:t>
      </w:r>
      <w:r w:rsidR="00A86D22" w:rsidRPr="00DE0676">
        <w:rPr>
          <w:rFonts w:ascii="Verdana" w:hAnsi="Verdana"/>
        </w:rPr>
        <w:t>to society in general would be through an</w:t>
      </w:r>
      <w:r w:rsidR="00820CB9" w:rsidRPr="00DE0676">
        <w:rPr>
          <w:rFonts w:ascii="Verdana" w:hAnsi="Verdana"/>
        </w:rPr>
        <w:t>y</w:t>
      </w:r>
      <w:r w:rsidR="00A86D22" w:rsidRPr="00DE0676">
        <w:rPr>
          <w:rFonts w:ascii="Verdana" w:hAnsi="Verdana"/>
        </w:rPr>
        <w:t xml:space="preserve"> </w:t>
      </w:r>
      <w:r w:rsidR="00E006F8" w:rsidRPr="00DE0676">
        <w:rPr>
          <w:rFonts w:ascii="Verdana" w:hAnsi="Verdana"/>
        </w:rPr>
        <w:t xml:space="preserve">resulting </w:t>
      </w:r>
      <w:r w:rsidR="00A86D22" w:rsidRPr="00DE0676">
        <w:rPr>
          <w:rFonts w:ascii="Verdana" w:hAnsi="Verdana"/>
        </w:rPr>
        <w:t>improve</w:t>
      </w:r>
      <w:r w:rsidR="00820CB9" w:rsidRPr="00DE0676">
        <w:rPr>
          <w:rFonts w:ascii="Verdana" w:hAnsi="Verdana"/>
        </w:rPr>
        <w:t>ment in the</w:t>
      </w:r>
      <w:r w:rsidR="00A86D22" w:rsidRPr="00DE0676">
        <w:rPr>
          <w:rFonts w:ascii="Verdana" w:hAnsi="Verdana"/>
        </w:rPr>
        <w:t xml:space="preserve"> selection process.</w:t>
      </w:r>
    </w:p>
    <w:p w:rsidR="00DE0676" w:rsidRDefault="00DE0676" w:rsidP="00DE0676">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E0676">
        <w:rPr>
          <w:rFonts w:ascii="Verdana" w:hAnsi="Verdana"/>
        </w:rPr>
        <w:t xml:space="preserve"> </w:t>
      </w:r>
      <w:r w:rsidR="007E1292" w:rsidRPr="00DE0676">
        <w:rPr>
          <w:rFonts w:ascii="Verdana" w:hAnsi="Verdana"/>
        </w:rPr>
        <w:t xml:space="preserve">This </w:t>
      </w:r>
      <w:r w:rsidR="00927C82" w:rsidRPr="00DE0676">
        <w:rPr>
          <w:rFonts w:ascii="Verdana" w:hAnsi="Verdana"/>
        </w:rPr>
        <w:t>scenario</w:t>
      </w:r>
      <w:r w:rsidR="00C92C16" w:rsidRPr="00DE0676">
        <w:rPr>
          <w:rFonts w:ascii="Verdana" w:hAnsi="Verdana"/>
        </w:rPr>
        <w:t xml:space="preserve"> </w:t>
      </w:r>
      <w:r w:rsidR="00927C82" w:rsidRPr="00DE0676">
        <w:rPr>
          <w:rFonts w:ascii="Verdana" w:hAnsi="Verdana"/>
        </w:rPr>
        <w:t xml:space="preserve">seems </w:t>
      </w:r>
      <w:r w:rsidR="007E1292" w:rsidRPr="00DE0676">
        <w:rPr>
          <w:rFonts w:ascii="Verdana" w:hAnsi="Verdana"/>
        </w:rPr>
        <w:t xml:space="preserve">unlikely when considering the returns for higher education as a whole, </w:t>
      </w:r>
      <w:r w:rsidR="00C92C16" w:rsidRPr="00DE0676">
        <w:rPr>
          <w:rFonts w:ascii="Verdana" w:hAnsi="Verdana"/>
        </w:rPr>
        <w:t xml:space="preserve">but </w:t>
      </w:r>
      <w:r w:rsidR="00927C82" w:rsidRPr="00DE0676">
        <w:rPr>
          <w:rFonts w:ascii="Verdana" w:hAnsi="Verdana"/>
        </w:rPr>
        <w:t xml:space="preserve">it quite possible that </w:t>
      </w:r>
      <w:r w:rsidR="00AA111E" w:rsidRPr="00DE0676">
        <w:rPr>
          <w:rFonts w:ascii="Verdana" w:hAnsi="Verdana"/>
        </w:rPr>
        <w:t>any</w:t>
      </w:r>
      <w:r w:rsidR="00927C82" w:rsidRPr="00DE0676">
        <w:rPr>
          <w:rFonts w:ascii="Verdana" w:hAnsi="Verdana"/>
        </w:rPr>
        <w:t xml:space="preserve"> differential returns between universities with different </w:t>
      </w:r>
      <w:r w:rsidR="00AA111E" w:rsidRPr="00DE0676">
        <w:rPr>
          <w:rFonts w:ascii="Verdana" w:hAnsi="Verdana"/>
        </w:rPr>
        <w:t>levels of prestige</w:t>
      </w:r>
      <w:r w:rsidR="00927C82" w:rsidRPr="00DE0676">
        <w:rPr>
          <w:rFonts w:ascii="Verdana" w:hAnsi="Verdana"/>
        </w:rPr>
        <w:t xml:space="preserve"> </w:t>
      </w:r>
      <w:r w:rsidR="00F65E88" w:rsidRPr="00DE0676">
        <w:rPr>
          <w:rFonts w:ascii="Verdana" w:hAnsi="Verdana"/>
        </w:rPr>
        <w:t xml:space="preserve">are </w:t>
      </w:r>
      <w:r w:rsidR="00927C82" w:rsidRPr="00DE0676">
        <w:rPr>
          <w:rFonts w:ascii="Verdana" w:hAnsi="Verdana"/>
        </w:rPr>
        <w:t xml:space="preserve">due to the </w:t>
      </w:r>
      <w:r w:rsidR="00AA111E" w:rsidRPr="00DE0676">
        <w:rPr>
          <w:rFonts w:ascii="Verdana" w:hAnsi="Verdana"/>
        </w:rPr>
        <w:t>graduates from prestigious universities being favour</w:t>
      </w:r>
      <w:r w:rsidR="00810BD9" w:rsidRPr="00DE0676">
        <w:rPr>
          <w:rFonts w:ascii="Verdana" w:hAnsi="Verdana"/>
        </w:rPr>
        <w:t>ed</w:t>
      </w:r>
      <w:r w:rsidR="00AA111E" w:rsidRPr="00DE0676">
        <w:rPr>
          <w:rFonts w:ascii="Verdana" w:hAnsi="Verdana"/>
        </w:rPr>
        <w:t xml:space="preserve"> in job selection</w:t>
      </w:r>
      <w:r w:rsidR="00D4380A" w:rsidRPr="00DE0676">
        <w:rPr>
          <w:rFonts w:ascii="Verdana" w:hAnsi="Verdana"/>
        </w:rPr>
        <w:t>.</w:t>
      </w:r>
    </w:p>
    <w:p w:rsidR="00DE0676" w:rsidRPr="004C0552" w:rsidRDefault="00DE0676" w:rsidP="00DE0676">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4C0552">
        <w:rPr>
          <w:rFonts w:ascii="Verdana" w:hAnsi="Verdana"/>
        </w:rPr>
        <w:t xml:space="preserve"> </w:t>
      </w:r>
      <w:r w:rsidR="00D4380A" w:rsidRPr="004C0552">
        <w:rPr>
          <w:rFonts w:ascii="Verdana" w:hAnsi="Verdana"/>
        </w:rPr>
        <w:t>Over the decades there have been many ingenious attempt</w:t>
      </w:r>
      <w:r w:rsidR="00A637CA" w:rsidRPr="004C0552">
        <w:rPr>
          <w:rFonts w:ascii="Verdana" w:hAnsi="Verdana"/>
        </w:rPr>
        <w:t>s</w:t>
      </w:r>
      <w:r w:rsidR="00D4380A" w:rsidRPr="004C0552">
        <w:rPr>
          <w:rFonts w:ascii="Verdana" w:hAnsi="Verdana"/>
        </w:rPr>
        <w:t xml:space="preserve"> to separate the</w:t>
      </w:r>
      <w:r w:rsidR="00810BD9" w:rsidRPr="004C0552">
        <w:rPr>
          <w:rFonts w:ascii="Verdana" w:hAnsi="Verdana"/>
        </w:rPr>
        <w:t>se different explanations for the returns to education</w:t>
      </w:r>
      <w:r w:rsidR="00721B94" w:rsidRPr="004C0552">
        <w:rPr>
          <w:rFonts w:ascii="Verdana" w:hAnsi="Verdana"/>
        </w:rPr>
        <w:t xml:space="preserve"> in general</w:t>
      </w:r>
      <w:r w:rsidR="00810BD9" w:rsidRPr="004C0552">
        <w:rPr>
          <w:rFonts w:ascii="Verdana" w:hAnsi="Verdana"/>
        </w:rPr>
        <w:t>, and higher education in particular</w:t>
      </w:r>
      <w:r w:rsidR="00D4380A" w:rsidRPr="004C0552">
        <w:rPr>
          <w:rFonts w:ascii="Verdana" w:hAnsi="Verdana"/>
        </w:rPr>
        <w:t xml:space="preserve">, but </w:t>
      </w:r>
      <w:r w:rsidR="004C0552">
        <w:rPr>
          <w:rFonts w:ascii="Verdana" w:hAnsi="Verdana"/>
        </w:rPr>
        <w:t>a</w:t>
      </w:r>
      <w:r w:rsidR="00D05295" w:rsidRPr="004C0552">
        <w:rPr>
          <w:rFonts w:ascii="Verdana" w:hAnsi="Verdana"/>
        </w:rPr>
        <w:t xml:space="preserve"> recent review of the</w:t>
      </w:r>
      <w:r w:rsidR="002131E3" w:rsidRPr="004C0552">
        <w:rPr>
          <w:rFonts w:ascii="Verdana" w:hAnsi="Verdana"/>
        </w:rPr>
        <w:t xml:space="preserve"> attempts to isolate </w:t>
      </w:r>
      <w:r w:rsidR="00AA111E" w:rsidRPr="004C0552">
        <w:rPr>
          <w:rFonts w:ascii="Verdana" w:hAnsi="Verdana"/>
        </w:rPr>
        <w:t>the productivity effect</w:t>
      </w:r>
      <w:r w:rsidR="00C6098D" w:rsidRPr="004C0552">
        <w:rPr>
          <w:rFonts w:ascii="Verdana" w:hAnsi="Verdana"/>
        </w:rPr>
        <w:t xml:space="preserve"> concluded</w:t>
      </w:r>
      <w:r w:rsidR="00D05295" w:rsidRPr="004C0552">
        <w:rPr>
          <w:rFonts w:ascii="Verdana" w:hAnsi="Verdana"/>
        </w:rPr>
        <w:t xml:space="preserve"> that</w:t>
      </w:r>
      <w:r w:rsidR="00AA111E" w:rsidRPr="004C0552">
        <w:rPr>
          <w:rFonts w:ascii="Verdana" w:hAnsi="Verdana"/>
        </w:rPr>
        <w:t>,</w:t>
      </w:r>
    </w:p>
    <w:p w:rsidR="00DE0676" w:rsidRDefault="00DE0676" w:rsidP="00DE0676">
      <w:pPr>
        <w:spacing w:line="300" w:lineRule="atLeast"/>
        <w:ind w:left="567"/>
        <w:rPr>
          <w:rFonts w:ascii="Verdana" w:hAnsi="Verdana"/>
        </w:rPr>
      </w:pPr>
      <w:r>
        <w:rPr>
          <w:rFonts w:ascii="Verdana" w:hAnsi="Verdana"/>
        </w:rPr>
        <w:t xml:space="preserve"> </w:t>
      </w:r>
      <w:r w:rsidR="006067AC">
        <w:rPr>
          <w:rFonts w:ascii="Verdana" w:hAnsi="Verdana"/>
        </w:rPr>
        <w:t>‘</w:t>
      </w:r>
      <w:proofErr w:type="gramStart"/>
      <w:r>
        <w:rPr>
          <w:rFonts w:ascii="Verdana" w:hAnsi="Verdana"/>
        </w:rPr>
        <w:t>the</w:t>
      </w:r>
      <w:proofErr w:type="gramEnd"/>
      <w:r>
        <w:rPr>
          <w:rFonts w:ascii="Verdana" w:hAnsi="Verdana"/>
        </w:rPr>
        <w:t xml:space="preserve"> extent to which education acts as a sorting device in addition to (or instead of) augmenting productivity, is still unknown</w:t>
      </w:r>
      <w:r w:rsidR="006067AC">
        <w:rPr>
          <w:rFonts w:ascii="Verdana" w:hAnsi="Verdana"/>
        </w:rPr>
        <w:t>’</w:t>
      </w:r>
    </w:p>
    <w:p w:rsidR="00DE0676" w:rsidRDefault="00DE0676" w:rsidP="00CF2381">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E0676">
        <w:rPr>
          <w:rFonts w:ascii="Verdana" w:hAnsi="Verdana"/>
        </w:rPr>
        <w:t xml:space="preserve">  </w:t>
      </w:r>
      <w:r w:rsidR="00C92C16" w:rsidRPr="00DE0676">
        <w:rPr>
          <w:rFonts w:ascii="Verdana" w:hAnsi="Verdana"/>
        </w:rPr>
        <w:t xml:space="preserve">I </w:t>
      </w:r>
      <w:r w:rsidR="00D05295" w:rsidRPr="00DE0676">
        <w:rPr>
          <w:rFonts w:ascii="Verdana" w:hAnsi="Verdana"/>
        </w:rPr>
        <w:t>would add that</w:t>
      </w:r>
      <w:r w:rsidR="00C92C16" w:rsidRPr="00DE0676">
        <w:rPr>
          <w:rFonts w:ascii="Verdana" w:hAnsi="Verdana"/>
        </w:rPr>
        <w:t xml:space="preserve"> the efficiency of the sorting is also unknown. </w:t>
      </w:r>
      <w:r w:rsidR="00C6098D" w:rsidRPr="00DE0676">
        <w:rPr>
          <w:rFonts w:ascii="Verdana" w:hAnsi="Verdana"/>
        </w:rPr>
        <w:t xml:space="preserve">It is </w:t>
      </w:r>
      <w:r w:rsidR="00721B94">
        <w:rPr>
          <w:rFonts w:ascii="Verdana" w:hAnsi="Verdana"/>
        </w:rPr>
        <w:t>often</w:t>
      </w:r>
      <w:r w:rsidR="00C6098D" w:rsidRPr="00DE0676">
        <w:rPr>
          <w:rFonts w:ascii="Verdana" w:hAnsi="Verdana"/>
        </w:rPr>
        <w:t xml:space="preserve"> assumed that if </w:t>
      </w:r>
      <w:r w:rsidR="00AA111E" w:rsidRPr="00DE0676">
        <w:rPr>
          <w:rFonts w:ascii="Verdana" w:hAnsi="Verdana"/>
        </w:rPr>
        <w:t>the use of qualifications to sort job applicants</w:t>
      </w:r>
      <w:r w:rsidR="00C6098D" w:rsidRPr="00DE0676">
        <w:rPr>
          <w:rFonts w:ascii="Verdana" w:hAnsi="Verdana"/>
        </w:rPr>
        <w:t xml:space="preserve"> persists</w:t>
      </w:r>
      <w:r w:rsidR="00AA111E" w:rsidRPr="00DE0676">
        <w:rPr>
          <w:rFonts w:ascii="Verdana" w:hAnsi="Verdana"/>
        </w:rPr>
        <w:t xml:space="preserve">, </w:t>
      </w:r>
      <w:r w:rsidR="00721B94">
        <w:rPr>
          <w:rFonts w:ascii="Verdana" w:hAnsi="Verdana"/>
        </w:rPr>
        <w:t>it must be helping to find the best candidate</w:t>
      </w:r>
      <w:r w:rsidR="00C6098D" w:rsidRPr="00DE0676">
        <w:rPr>
          <w:rFonts w:ascii="Verdana" w:hAnsi="Verdana"/>
        </w:rPr>
        <w:t xml:space="preserve">. But the people making appointments may </w:t>
      </w:r>
      <w:r w:rsidR="00C6098D" w:rsidRPr="00DE0676">
        <w:rPr>
          <w:rFonts w:ascii="Verdana" w:hAnsi="Verdana"/>
        </w:rPr>
        <w:lastRenderedPageBreak/>
        <w:t>not really be in a position to judge whether the</w:t>
      </w:r>
      <w:r w:rsidR="00721B94">
        <w:rPr>
          <w:rFonts w:ascii="Verdana" w:hAnsi="Verdana"/>
        </w:rPr>
        <w:t>ir system</w:t>
      </w:r>
      <w:r w:rsidR="00C6098D" w:rsidRPr="00DE0676">
        <w:rPr>
          <w:rFonts w:ascii="Verdana" w:hAnsi="Verdana"/>
        </w:rPr>
        <w:t xml:space="preserve"> is working, even </w:t>
      </w:r>
      <w:r w:rsidR="00C1491F" w:rsidRPr="00DE0676">
        <w:rPr>
          <w:rFonts w:ascii="Verdana" w:hAnsi="Verdana"/>
        </w:rPr>
        <w:t>when</w:t>
      </w:r>
      <w:r w:rsidR="00C6098D" w:rsidRPr="00DE0676">
        <w:rPr>
          <w:rFonts w:ascii="Verdana" w:hAnsi="Verdana"/>
        </w:rPr>
        <w:t xml:space="preserve"> they think that they know.</w:t>
      </w:r>
      <w:r w:rsidR="00C1491F" w:rsidRPr="00DE0676">
        <w:rPr>
          <w:rFonts w:ascii="Verdana" w:hAnsi="Verdana"/>
        </w:rPr>
        <w:t xml:space="preserve"> Once established, selection criteria can become embedded permanent features, requiring no confirming up-to-date evidence for their continued use.</w:t>
      </w:r>
    </w:p>
    <w:p w:rsidR="00DE0676" w:rsidRPr="00DE0676" w:rsidRDefault="005A3E4C" w:rsidP="00DE0676">
      <w:pPr>
        <w:pStyle w:val="ListParagraph"/>
        <w:autoSpaceDE w:val="0"/>
        <w:autoSpaceDN w:val="0"/>
        <w:adjustRightInd w:val="0"/>
        <w:spacing w:after="240" w:line="300" w:lineRule="atLeast"/>
        <w:ind w:left="0"/>
        <w:contextualSpacing w:val="0"/>
        <w:rPr>
          <w:rFonts w:ascii="Verdana" w:hAnsi="Verdana"/>
        </w:rPr>
      </w:pPr>
      <w:r>
        <w:rPr>
          <w:rFonts w:ascii="Verdana" w:hAnsi="Verdana"/>
          <w:i/>
        </w:rPr>
        <w:t>Impact on others</w:t>
      </w:r>
    </w:p>
    <w:p w:rsidR="00DE0676" w:rsidRDefault="00DE0676" w:rsidP="00CF2381">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E0676">
        <w:rPr>
          <w:rFonts w:ascii="Verdana" w:hAnsi="Verdana"/>
        </w:rPr>
        <w:t xml:space="preserve"> </w:t>
      </w:r>
      <w:r w:rsidR="004A5A60" w:rsidRPr="00DE0676">
        <w:rPr>
          <w:rFonts w:ascii="Verdana" w:hAnsi="Verdana"/>
        </w:rPr>
        <w:t>Y</w:t>
      </w:r>
      <w:r w:rsidR="00B12C17" w:rsidRPr="00DE0676">
        <w:rPr>
          <w:rFonts w:ascii="Verdana" w:hAnsi="Verdana"/>
        </w:rPr>
        <w:t>et another problem arises when we appreciate that the effects of higher education on productivity may reach beyond the individual graduate. Th</w:t>
      </w:r>
      <w:r w:rsidR="00721B94">
        <w:rPr>
          <w:rFonts w:ascii="Verdana" w:hAnsi="Verdana"/>
        </w:rPr>
        <w:t>e</w:t>
      </w:r>
      <w:r w:rsidR="00B12C17" w:rsidRPr="00DE0676">
        <w:rPr>
          <w:rFonts w:ascii="Verdana" w:hAnsi="Verdana"/>
        </w:rPr>
        <w:t xml:space="preserve"> </w:t>
      </w:r>
      <w:r w:rsidR="00721B94">
        <w:rPr>
          <w:rFonts w:ascii="Verdana" w:hAnsi="Verdana"/>
        </w:rPr>
        <w:t>graduate</w:t>
      </w:r>
      <w:r w:rsidR="00B12C17" w:rsidRPr="00DE0676">
        <w:rPr>
          <w:rFonts w:ascii="Verdana" w:hAnsi="Verdana"/>
        </w:rPr>
        <w:t xml:space="preserve"> may affect the productivity of other individuals, including non-graduates, in the workplace</w:t>
      </w:r>
      <w:r w:rsidR="00F65E88" w:rsidRPr="00DE0676">
        <w:rPr>
          <w:rFonts w:ascii="Verdana" w:hAnsi="Verdana"/>
        </w:rPr>
        <w:t xml:space="preserve">, </w:t>
      </w:r>
      <w:r w:rsidR="00B12C17" w:rsidRPr="00DE0676">
        <w:rPr>
          <w:rFonts w:ascii="Verdana" w:hAnsi="Verdana"/>
        </w:rPr>
        <w:t>the family</w:t>
      </w:r>
      <w:r w:rsidR="00F65E88" w:rsidRPr="00DE0676">
        <w:rPr>
          <w:rFonts w:ascii="Verdana" w:hAnsi="Verdana"/>
        </w:rPr>
        <w:t>, the neighbourhood, and so on</w:t>
      </w:r>
      <w:r w:rsidR="00B12C17" w:rsidRPr="00DE0676">
        <w:rPr>
          <w:rFonts w:ascii="Verdana" w:hAnsi="Verdana"/>
        </w:rPr>
        <w:t>.</w:t>
      </w:r>
      <w:r w:rsidR="00D05295" w:rsidRPr="00DE0676">
        <w:rPr>
          <w:rFonts w:ascii="Verdana" w:hAnsi="Verdana"/>
        </w:rPr>
        <w:t xml:space="preserve"> </w:t>
      </w:r>
    </w:p>
    <w:p w:rsidR="00DE0676" w:rsidRPr="00DE0676" w:rsidRDefault="00D05295" w:rsidP="00DE0676">
      <w:pPr>
        <w:pStyle w:val="ListParagraph"/>
        <w:autoSpaceDE w:val="0"/>
        <w:autoSpaceDN w:val="0"/>
        <w:adjustRightInd w:val="0"/>
        <w:spacing w:after="240" w:line="300" w:lineRule="atLeast"/>
        <w:ind w:left="0"/>
        <w:contextualSpacing w:val="0"/>
        <w:rPr>
          <w:rFonts w:ascii="Verdana" w:hAnsi="Verdana"/>
        </w:rPr>
      </w:pPr>
      <w:r w:rsidRPr="00DE0676">
        <w:rPr>
          <w:rFonts w:ascii="Verdana" w:hAnsi="Verdana"/>
          <w:i/>
        </w:rPr>
        <w:t>Wh</w:t>
      </w:r>
      <w:r w:rsidR="005A3E4C">
        <w:rPr>
          <w:rFonts w:ascii="Verdana" w:hAnsi="Verdana"/>
          <w:i/>
        </w:rPr>
        <w:t>o is affected</w:t>
      </w:r>
      <w:r w:rsidR="00C1491F" w:rsidRPr="00DE0676">
        <w:rPr>
          <w:rFonts w:ascii="Verdana" w:hAnsi="Verdana"/>
          <w:i/>
        </w:rPr>
        <w:t>?</w:t>
      </w:r>
    </w:p>
    <w:p w:rsidR="00DE0676" w:rsidRDefault="00DE0676" w:rsidP="00E72D1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E0676">
        <w:rPr>
          <w:rFonts w:ascii="Verdana" w:hAnsi="Verdana"/>
          <w:i/>
        </w:rPr>
        <w:t xml:space="preserve"> </w:t>
      </w:r>
      <w:r w:rsidR="002160CA" w:rsidRPr="00DE0676">
        <w:rPr>
          <w:rFonts w:ascii="Verdana" w:hAnsi="Verdana"/>
        </w:rPr>
        <w:t>M</w:t>
      </w:r>
      <w:r w:rsidR="00AE56C8" w:rsidRPr="00DE0676">
        <w:rPr>
          <w:rFonts w:ascii="Verdana" w:hAnsi="Verdana"/>
        </w:rPr>
        <w:t xml:space="preserve">any policy initiatives will only impact </w:t>
      </w:r>
      <w:r w:rsidR="003C2526" w:rsidRPr="00DE0676">
        <w:rPr>
          <w:rFonts w:ascii="Verdana" w:hAnsi="Verdana"/>
        </w:rPr>
        <w:t xml:space="preserve">on a sub-group of students or potential students.  </w:t>
      </w:r>
      <w:r w:rsidR="00721B94">
        <w:rPr>
          <w:rFonts w:ascii="Verdana" w:hAnsi="Verdana"/>
        </w:rPr>
        <w:t>For example, s</w:t>
      </w:r>
      <w:r w:rsidR="003C2526" w:rsidRPr="00DE0676">
        <w:rPr>
          <w:rFonts w:ascii="Verdana" w:hAnsi="Verdana"/>
        </w:rPr>
        <w:t>uppose we are concerned that an increase in fees could reduce</w:t>
      </w:r>
      <w:r w:rsidR="00721B94">
        <w:rPr>
          <w:rFonts w:ascii="Verdana" w:hAnsi="Verdana"/>
        </w:rPr>
        <w:t xml:space="preserve"> demand and we want to estimate the impact on earnings.</w:t>
      </w:r>
      <w:r w:rsidR="00F65E88" w:rsidRPr="00DE0676">
        <w:rPr>
          <w:rFonts w:ascii="Verdana" w:hAnsi="Verdana"/>
        </w:rPr>
        <w:t xml:space="preserve"> </w:t>
      </w:r>
      <w:r w:rsidR="003C2526" w:rsidRPr="00DE0676">
        <w:rPr>
          <w:rFonts w:ascii="Verdana" w:hAnsi="Verdana"/>
        </w:rPr>
        <w:t>Consider the student with good A-levels who wants to be, say, a doctor, dentist</w:t>
      </w:r>
      <w:r w:rsidR="00F65E88" w:rsidRPr="00DE0676">
        <w:rPr>
          <w:rFonts w:ascii="Verdana" w:hAnsi="Verdana"/>
        </w:rPr>
        <w:t xml:space="preserve"> or </w:t>
      </w:r>
      <w:r w:rsidR="003C2526" w:rsidRPr="00DE0676">
        <w:rPr>
          <w:rFonts w:ascii="Verdana" w:hAnsi="Verdana"/>
        </w:rPr>
        <w:t xml:space="preserve">teacher? For all but the most </w:t>
      </w:r>
      <w:r w:rsidR="00721B94">
        <w:rPr>
          <w:rFonts w:ascii="Verdana" w:hAnsi="Verdana"/>
        </w:rPr>
        <w:t>extreme fee increases</w:t>
      </w:r>
      <w:r w:rsidR="003C2526" w:rsidRPr="00DE0676">
        <w:rPr>
          <w:rFonts w:ascii="Verdana" w:hAnsi="Verdana"/>
        </w:rPr>
        <w:t xml:space="preserve"> she will go to university anyway. She has no choice. So to identify the impact of the change we have to indentify the group that are potentially affected – not easy in itself</w:t>
      </w:r>
      <w:r w:rsidR="00F65E88" w:rsidRPr="00DE0676">
        <w:rPr>
          <w:rFonts w:ascii="Verdana" w:hAnsi="Verdana"/>
        </w:rPr>
        <w:t xml:space="preserve">. </w:t>
      </w:r>
    </w:p>
    <w:p w:rsidR="00DE0676" w:rsidRPr="00DE0676" w:rsidRDefault="00C1491F" w:rsidP="00DE0676">
      <w:pPr>
        <w:pStyle w:val="ListParagraph"/>
        <w:autoSpaceDE w:val="0"/>
        <w:autoSpaceDN w:val="0"/>
        <w:adjustRightInd w:val="0"/>
        <w:spacing w:after="240" w:line="300" w:lineRule="atLeast"/>
        <w:ind w:left="0"/>
        <w:contextualSpacing w:val="0"/>
        <w:rPr>
          <w:rFonts w:ascii="Verdana" w:hAnsi="Verdana"/>
          <w:u w:val="single"/>
        </w:rPr>
      </w:pPr>
      <w:r w:rsidRPr="00DE0676">
        <w:rPr>
          <w:rFonts w:ascii="Verdana" w:hAnsi="Verdana"/>
          <w:u w:val="single"/>
        </w:rPr>
        <w:t>From estimates to policy positions</w:t>
      </w:r>
      <w:r w:rsidR="002E7887" w:rsidRPr="00DE0676">
        <w:rPr>
          <w:rFonts w:ascii="Verdana" w:hAnsi="Verdana"/>
          <w:u w:val="single"/>
        </w:rPr>
        <w:t xml:space="preserve"> </w:t>
      </w:r>
    </w:p>
    <w:p w:rsidR="00917ACA" w:rsidRDefault="00DE0676"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17ACA">
        <w:rPr>
          <w:rFonts w:ascii="Verdana" w:hAnsi="Verdana"/>
        </w:rPr>
        <w:t xml:space="preserve"> </w:t>
      </w:r>
      <w:r w:rsidR="00D96F2B">
        <w:rPr>
          <w:rFonts w:ascii="Verdana" w:hAnsi="Verdana"/>
        </w:rPr>
        <w:t>D</w:t>
      </w:r>
      <w:r w:rsidR="00E8644F" w:rsidRPr="00917ACA">
        <w:rPr>
          <w:rFonts w:ascii="Verdana" w:hAnsi="Verdana"/>
        </w:rPr>
        <w:t>espite all these uncertainties, estimates of the returns to higher education</w:t>
      </w:r>
      <w:r w:rsidR="00F65E88" w:rsidRPr="00917ACA">
        <w:rPr>
          <w:rFonts w:ascii="Verdana" w:hAnsi="Verdana"/>
        </w:rPr>
        <w:t>, often very crude estimates,</w:t>
      </w:r>
      <w:r w:rsidR="00E8644F" w:rsidRPr="00917ACA">
        <w:rPr>
          <w:rFonts w:ascii="Verdana" w:hAnsi="Verdana"/>
        </w:rPr>
        <w:t xml:space="preserve"> are variously used to argue about how many places should be funded</w:t>
      </w:r>
      <w:r w:rsidR="00E72D13" w:rsidRPr="00917ACA">
        <w:rPr>
          <w:rFonts w:ascii="Verdana" w:hAnsi="Verdana"/>
        </w:rPr>
        <w:t>,</w:t>
      </w:r>
      <w:r w:rsidR="00E8644F" w:rsidRPr="00917ACA">
        <w:rPr>
          <w:rFonts w:ascii="Verdana" w:hAnsi="Verdana"/>
        </w:rPr>
        <w:t xml:space="preserve"> </w:t>
      </w:r>
      <w:r w:rsidR="00F65E88" w:rsidRPr="00917ACA">
        <w:rPr>
          <w:rFonts w:ascii="Verdana" w:hAnsi="Verdana"/>
        </w:rPr>
        <w:t>what fees should be charged, and whether ‘laboratory subjects’ should continue to receive funding. A</w:t>
      </w:r>
      <w:r w:rsidR="00C1491F" w:rsidRPr="00917ACA">
        <w:rPr>
          <w:rFonts w:ascii="Verdana" w:hAnsi="Verdana"/>
        </w:rPr>
        <w:t>ccording to some,</w:t>
      </w:r>
      <w:r w:rsidR="00E72D13" w:rsidRPr="00917ACA">
        <w:rPr>
          <w:rFonts w:ascii="Verdana" w:hAnsi="Verdana"/>
        </w:rPr>
        <w:t xml:space="preserve"> what we need is more lawyers, economists and accountants, not more scientists, technologists, engineers and mathematicians!</w:t>
      </w:r>
      <w:r w:rsidR="00C1491F" w:rsidRPr="00917ACA">
        <w:rPr>
          <w:rFonts w:ascii="Verdana" w:hAnsi="Verdana"/>
        </w:rPr>
        <w:t xml:space="preserve"> Oh, and since the returns for women are higher than for men, perhaps they should be charged </w:t>
      </w:r>
      <w:r w:rsidR="00721B94">
        <w:rPr>
          <w:rFonts w:ascii="Verdana" w:hAnsi="Verdana"/>
        </w:rPr>
        <w:t>higher</w:t>
      </w:r>
      <w:r w:rsidR="00C1491F" w:rsidRPr="00917ACA">
        <w:rPr>
          <w:rFonts w:ascii="Verdana" w:hAnsi="Verdana"/>
        </w:rPr>
        <w:t xml:space="preserve"> fees, except that </w:t>
      </w:r>
      <w:r w:rsidR="00D05295" w:rsidRPr="00917ACA">
        <w:rPr>
          <w:rFonts w:ascii="Verdana" w:hAnsi="Verdana"/>
        </w:rPr>
        <w:t xml:space="preserve">that </w:t>
      </w:r>
      <w:r w:rsidR="00C1491F" w:rsidRPr="00917ACA">
        <w:rPr>
          <w:rFonts w:ascii="Verdana" w:hAnsi="Verdana"/>
        </w:rPr>
        <w:t>would be illegal!</w:t>
      </w:r>
    </w:p>
    <w:p w:rsidR="00917ACA" w:rsidRPr="00917ACA" w:rsidRDefault="004D6B6D" w:rsidP="00917ACA">
      <w:pPr>
        <w:pStyle w:val="ListParagraph"/>
        <w:autoSpaceDE w:val="0"/>
        <w:autoSpaceDN w:val="0"/>
        <w:adjustRightInd w:val="0"/>
        <w:spacing w:after="240" w:line="300" w:lineRule="atLeast"/>
        <w:ind w:left="0"/>
        <w:contextualSpacing w:val="0"/>
        <w:rPr>
          <w:rFonts w:ascii="Verdana" w:hAnsi="Verdana"/>
        </w:rPr>
      </w:pPr>
      <w:r w:rsidRPr="00917ACA">
        <w:rPr>
          <w:rFonts w:ascii="Verdana" w:hAnsi="Verdana"/>
          <w:b/>
          <w:sz w:val="24"/>
          <w:szCs w:val="24"/>
        </w:rPr>
        <w:t>The cost of student loans</w:t>
      </w:r>
      <w:r w:rsidR="00494C75" w:rsidRPr="00917ACA">
        <w:rPr>
          <w:rFonts w:ascii="Verdana" w:hAnsi="Verdana"/>
          <w:vertAlign w:val="superscript"/>
        </w:rPr>
        <w:t>9</w:t>
      </w:r>
    </w:p>
    <w:p w:rsidR="004C0552" w:rsidRDefault="00A867AB"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4C0552">
        <w:rPr>
          <w:rFonts w:ascii="Verdana" w:hAnsi="Verdana"/>
        </w:rPr>
        <w:t>T</w:t>
      </w:r>
      <w:r w:rsidR="00F252D9" w:rsidRPr="004C0552">
        <w:rPr>
          <w:rFonts w:ascii="Verdana" w:hAnsi="Verdana"/>
        </w:rPr>
        <w:t xml:space="preserve">here is at least one very important policy related question which, in most respects, is simpler than those considered so far. How much will the new student loans scheme cost the </w:t>
      </w:r>
      <w:r w:rsidR="00012D09" w:rsidRPr="004C0552">
        <w:rPr>
          <w:rFonts w:ascii="Verdana" w:hAnsi="Verdana"/>
        </w:rPr>
        <w:t>G</w:t>
      </w:r>
      <w:r w:rsidR="00F252D9" w:rsidRPr="004C0552">
        <w:rPr>
          <w:rFonts w:ascii="Verdana" w:hAnsi="Verdana"/>
        </w:rPr>
        <w:t>overnment? This involve</w:t>
      </w:r>
      <w:r w:rsidR="00012D09" w:rsidRPr="004C0552">
        <w:rPr>
          <w:rFonts w:ascii="Verdana" w:hAnsi="Verdana"/>
        </w:rPr>
        <w:t>s</w:t>
      </w:r>
      <w:r w:rsidR="00F252D9" w:rsidRPr="004C0552">
        <w:rPr>
          <w:rFonts w:ascii="Verdana" w:hAnsi="Verdana"/>
        </w:rPr>
        <w:t xml:space="preserve"> estimating loan take up, voluntary repayment rates, and </w:t>
      </w:r>
      <w:r w:rsidR="00DE5187" w:rsidRPr="004C0552">
        <w:rPr>
          <w:rFonts w:ascii="Verdana" w:hAnsi="Verdana"/>
        </w:rPr>
        <w:t>the number f</w:t>
      </w:r>
      <w:r w:rsidR="00F252D9" w:rsidRPr="004C0552">
        <w:rPr>
          <w:rFonts w:ascii="Verdana" w:hAnsi="Verdana"/>
        </w:rPr>
        <w:t>ormer students</w:t>
      </w:r>
      <w:r w:rsidR="00DE5187" w:rsidRPr="004C0552">
        <w:rPr>
          <w:rFonts w:ascii="Verdana" w:hAnsi="Verdana"/>
        </w:rPr>
        <w:t xml:space="preserve"> going AWOL</w:t>
      </w:r>
      <w:r w:rsidR="00F252D9" w:rsidRPr="004C0552">
        <w:rPr>
          <w:rFonts w:ascii="Verdana" w:hAnsi="Verdana"/>
        </w:rPr>
        <w:t xml:space="preserve">, </w:t>
      </w:r>
      <w:r w:rsidR="00E92BE9" w:rsidRPr="004C0552">
        <w:rPr>
          <w:rFonts w:ascii="Verdana" w:hAnsi="Verdana"/>
        </w:rPr>
        <w:t>but there is no need to identify those who could have gone to university but did not</w:t>
      </w:r>
      <w:r w:rsidR="00013A0D" w:rsidRPr="004C0552">
        <w:rPr>
          <w:rFonts w:ascii="Verdana" w:hAnsi="Verdana"/>
        </w:rPr>
        <w:t xml:space="preserve"> and are otherwise just like those who did</w:t>
      </w:r>
      <w:r w:rsidR="00E92BE9" w:rsidRPr="004C0552">
        <w:rPr>
          <w:rFonts w:ascii="Verdana" w:hAnsi="Verdana"/>
        </w:rPr>
        <w:t xml:space="preserve">. </w:t>
      </w:r>
    </w:p>
    <w:p w:rsidR="00012D09" w:rsidRPr="004C0552" w:rsidRDefault="004C0552"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905026" w:rsidRPr="004C0552">
        <w:rPr>
          <w:rFonts w:ascii="Verdana" w:hAnsi="Verdana"/>
        </w:rPr>
        <w:t xml:space="preserve">The </w:t>
      </w:r>
      <w:r w:rsidR="00B72F6C" w:rsidRPr="004C0552">
        <w:rPr>
          <w:rFonts w:ascii="Verdana" w:hAnsi="Verdana"/>
        </w:rPr>
        <w:t>Government</w:t>
      </w:r>
      <w:r w:rsidR="00905026" w:rsidRPr="004C0552">
        <w:rPr>
          <w:rFonts w:ascii="Verdana" w:hAnsi="Verdana"/>
        </w:rPr>
        <w:t>’s cost estimates</w:t>
      </w:r>
      <w:r w:rsidR="00B72F6C" w:rsidRPr="004C0552">
        <w:rPr>
          <w:rFonts w:ascii="Verdana" w:hAnsi="Verdana"/>
        </w:rPr>
        <w:t xml:space="preserve"> assume that earnings in the past are a good guide to what will happen in the future. </w:t>
      </w:r>
      <w:r w:rsidR="00012D09" w:rsidRPr="004C0552">
        <w:rPr>
          <w:rFonts w:ascii="Verdana" w:hAnsi="Verdana"/>
        </w:rPr>
        <w:t xml:space="preserve">And the estimates have to be right far into the future. </w:t>
      </w:r>
      <w:r w:rsidR="00B72F6C" w:rsidRPr="004C0552">
        <w:rPr>
          <w:rFonts w:ascii="Verdana" w:hAnsi="Verdana"/>
        </w:rPr>
        <w:t xml:space="preserve">We have estimated that </w:t>
      </w:r>
      <w:r w:rsidR="00B06EED" w:rsidRPr="004C0552">
        <w:rPr>
          <w:rFonts w:ascii="Verdana" w:hAnsi="Verdana"/>
        </w:rPr>
        <w:t xml:space="preserve">for the first students entering in 2012, </w:t>
      </w:r>
      <w:r w:rsidR="00B72F6C" w:rsidRPr="004C0552">
        <w:rPr>
          <w:rFonts w:ascii="Verdana" w:hAnsi="Verdana"/>
        </w:rPr>
        <w:t xml:space="preserve">40 to 42 per cent of the net present value of </w:t>
      </w:r>
      <w:r w:rsidR="00B06EED" w:rsidRPr="004C0552">
        <w:rPr>
          <w:rFonts w:ascii="Verdana" w:hAnsi="Verdana"/>
        </w:rPr>
        <w:t xml:space="preserve">their </w:t>
      </w:r>
      <w:r w:rsidR="00B72F6C" w:rsidRPr="004C0552">
        <w:rPr>
          <w:rFonts w:ascii="Verdana" w:hAnsi="Verdana"/>
        </w:rPr>
        <w:t xml:space="preserve">repayments will be </w:t>
      </w:r>
      <w:r w:rsidR="00B06EED" w:rsidRPr="004C0552">
        <w:rPr>
          <w:rFonts w:ascii="Verdana" w:hAnsi="Verdana"/>
        </w:rPr>
        <w:t>collected from 2032.</w:t>
      </w:r>
      <w:r w:rsidR="00B72F6C" w:rsidRPr="004C0552">
        <w:rPr>
          <w:rFonts w:ascii="Verdana" w:hAnsi="Verdana"/>
        </w:rPr>
        <w:t xml:space="preserve">  </w:t>
      </w:r>
    </w:p>
    <w:p w:rsidR="00917ACA" w:rsidRPr="00012D09" w:rsidRDefault="00012D09"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4C0552">
        <w:rPr>
          <w:rFonts w:ascii="Verdana" w:hAnsi="Verdana"/>
        </w:rPr>
        <w:lastRenderedPageBreak/>
        <w:t xml:space="preserve"> </w:t>
      </w:r>
      <w:r w:rsidR="00A81D5C" w:rsidRPr="00012D09">
        <w:rPr>
          <w:rFonts w:ascii="Verdana" w:hAnsi="Verdana"/>
        </w:rPr>
        <w:t xml:space="preserve">While not everybody believes, as I do, that the official </w:t>
      </w:r>
      <w:r w:rsidR="00905026" w:rsidRPr="00012D09">
        <w:rPr>
          <w:rFonts w:ascii="Verdana" w:hAnsi="Verdana"/>
        </w:rPr>
        <w:t>cost</w:t>
      </w:r>
      <w:r w:rsidR="00A81D5C" w:rsidRPr="00012D09">
        <w:rPr>
          <w:rFonts w:ascii="Verdana" w:hAnsi="Verdana"/>
        </w:rPr>
        <w:t xml:space="preserve"> estimate</w:t>
      </w:r>
      <w:r w:rsidR="00905026" w:rsidRPr="00012D09">
        <w:rPr>
          <w:rFonts w:ascii="Verdana" w:hAnsi="Verdana"/>
        </w:rPr>
        <w:t>s</w:t>
      </w:r>
      <w:r w:rsidR="00A81D5C" w:rsidRPr="00012D09">
        <w:rPr>
          <w:rFonts w:ascii="Verdana" w:hAnsi="Verdana"/>
        </w:rPr>
        <w:t xml:space="preserve"> look optimistic, everyone agrees the</w:t>
      </w:r>
      <w:r w:rsidR="00905026" w:rsidRPr="00012D09">
        <w:rPr>
          <w:rFonts w:ascii="Verdana" w:hAnsi="Verdana"/>
        </w:rPr>
        <w:t>y</w:t>
      </w:r>
      <w:r w:rsidR="00A81D5C" w:rsidRPr="00012D09">
        <w:rPr>
          <w:rFonts w:ascii="Verdana" w:hAnsi="Verdana"/>
        </w:rPr>
        <w:t xml:space="preserve"> are uncertain, so everyone agrees that they </w:t>
      </w:r>
      <w:r w:rsidR="00A81D5C" w:rsidRPr="00012D09">
        <w:rPr>
          <w:rFonts w:ascii="Verdana" w:hAnsi="Verdana"/>
          <w:b/>
        </w:rPr>
        <w:t xml:space="preserve">could </w:t>
      </w:r>
      <w:r w:rsidR="00A81D5C" w:rsidRPr="00012D09">
        <w:rPr>
          <w:rFonts w:ascii="Verdana" w:hAnsi="Verdana"/>
        </w:rPr>
        <w:t xml:space="preserve">turn out to be optimistic. </w:t>
      </w:r>
      <w:r w:rsidR="00744628" w:rsidRPr="00012D09">
        <w:rPr>
          <w:rFonts w:ascii="Verdana" w:hAnsi="Verdana"/>
        </w:rPr>
        <w:t xml:space="preserve"> So what will happen should th</w:t>
      </w:r>
      <w:r>
        <w:rPr>
          <w:rFonts w:ascii="Verdana" w:hAnsi="Verdana"/>
        </w:rPr>
        <w:t xml:space="preserve">e repayments </w:t>
      </w:r>
      <w:r w:rsidR="004C0552">
        <w:rPr>
          <w:rFonts w:ascii="Verdana" w:hAnsi="Verdana"/>
        </w:rPr>
        <w:t>fail to</w:t>
      </w:r>
      <w:r>
        <w:rPr>
          <w:rFonts w:ascii="Verdana" w:hAnsi="Verdana"/>
        </w:rPr>
        <w:t xml:space="preserve"> come in as projected?</w:t>
      </w:r>
    </w:p>
    <w:p w:rsidR="00B23066" w:rsidRDefault="00917ACA"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012D09">
        <w:rPr>
          <w:rFonts w:ascii="Verdana" w:hAnsi="Verdana"/>
        </w:rPr>
        <w:t xml:space="preserve"> </w:t>
      </w:r>
      <w:r w:rsidR="00B23066" w:rsidRPr="00917ACA">
        <w:rPr>
          <w:rFonts w:ascii="Verdana" w:hAnsi="Verdana"/>
        </w:rPr>
        <w:t xml:space="preserve">Previously we thought that the tab would ultimately be picked up by future taxpayers. But </w:t>
      </w:r>
      <w:r w:rsidR="000176B0" w:rsidRPr="00917ACA">
        <w:rPr>
          <w:rFonts w:ascii="Verdana" w:hAnsi="Verdana"/>
        </w:rPr>
        <w:t xml:space="preserve">there is another possibility. </w:t>
      </w:r>
      <w:r w:rsidR="00B23066" w:rsidRPr="00917ACA">
        <w:rPr>
          <w:rFonts w:ascii="Verdana" w:hAnsi="Verdana"/>
        </w:rPr>
        <w:t>In apply</w:t>
      </w:r>
      <w:r w:rsidR="000176B0" w:rsidRPr="00917ACA">
        <w:rPr>
          <w:rFonts w:ascii="Verdana" w:hAnsi="Verdana"/>
        </w:rPr>
        <w:t>ing</w:t>
      </w:r>
      <w:r w:rsidR="00B23066" w:rsidRPr="00917ACA">
        <w:rPr>
          <w:rFonts w:ascii="Verdana" w:hAnsi="Verdana"/>
        </w:rPr>
        <w:t xml:space="preserve"> for a loan each student ha</w:t>
      </w:r>
      <w:r w:rsidR="009E2E83" w:rsidRPr="00917ACA">
        <w:rPr>
          <w:rFonts w:ascii="Verdana" w:hAnsi="Verdana"/>
        </w:rPr>
        <w:t>s</w:t>
      </w:r>
      <w:r w:rsidR="00B23066" w:rsidRPr="00917ACA">
        <w:rPr>
          <w:rFonts w:ascii="Verdana" w:hAnsi="Verdana"/>
        </w:rPr>
        <w:t xml:space="preserve"> to </w:t>
      </w:r>
      <w:r w:rsidR="004F792A" w:rsidRPr="00917ACA">
        <w:rPr>
          <w:rFonts w:ascii="Verdana" w:hAnsi="Verdana"/>
        </w:rPr>
        <w:t>sign up to</w:t>
      </w:r>
      <w:r w:rsidR="00B23066" w:rsidRPr="00917ACA">
        <w:rPr>
          <w:rFonts w:ascii="Verdana" w:hAnsi="Verdana"/>
        </w:rPr>
        <w:t xml:space="preserve"> the following condition:-</w:t>
      </w:r>
    </w:p>
    <w:p w:rsidR="005A3E4C" w:rsidRPr="005A3E4C" w:rsidRDefault="005A3E4C" w:rsidP="005A3E4C">
      <w:pPr>
        <w:pStyle w:val="ListParagraph"/>
        <w:autoSpaceDE w:val="0"/>
        <w:autoSpaceDN w:val="0"/>
        <w:adjustRightInd w:val="0"/>
        <w:spacing w:after="240" w:line="300" w:lineRule="atLeast"/>
        <w:ind w:left="567"/>
        <w:contextualSpacing w:val="0"/>
        <w:rPr>
          <w:rFonts w:ascii="Verdana" w:hAnsi="Verdana"/>
          <w:i/>
        </w:rPr>
      </w:pPr>
      <w:r w:rsidRPr="005A3E4C">
        <w:rPr>
          <w:rFonts w:ascii="Verdana" w:hAnsi="Verdana"/>
          <w:i/>
        </w:rPr>
        <w:t xml:space="preserve">The </w:t>
      </w:r>
      <w:r w:rsidR="0012598C">
        <w:rPr>
          <w:rFonts w:ascii="Verdana" w:hAnsi="Verdana"/>
          <w:i/>
        </w:rPr>
        <w:t>catch</w:t>
      </w:r>
    </w:p>
    <w:p w:rsidR="00B23066" w:rsidRPr="00B23066" w:rsidRDefault="006067AC" w:rsidP="009E2E83">
      <w:pPr>
        <w:spacing w:line="300" w:lineRule="atLeast"/>
        <w:ind w:left="567"/>
        <w:rPr>
          <w:rFonts w:ascii="Verdana" w:hAnsi="Verdana"/>
        </w:rPr>
      </w:pPr>
      <w:r>
        <w:rPr>
          <w:rFonts w:ascii="Verdana" w:hAnsi="Verdana"/>
        </w:rPr>
        <w:t>‘</w:t>
      </w:r>
      <w:r w:rsidR="00B23066" w:rsidRPr="00B23066">
        <w:rPr>
          <w:rFonts w:ascii="Verdana" w:hAnsi="Verdana"/>
        </w:rPr>
        <w:t xml:space="preserve">You must agree to repay your loan in line with the </w:t>
      </w:r>
      <w:r w:rsidR="00B23066" w:rsidRPr="00B23066">
        <w:rPr>
          <w:rFonts w:ascii="Verdana" w:hAnsi="Verdana"/>
          <w:b/>
        </w:rPr>
        <w:t>regulations that apply at the time the repayments are due</w:t>
      </w:r>
      <w:r w:rsidR="00B23066" w:rsidRPr="00B23066">
        <w:rPr>
          <w:rFonts w:ascii="Verdana" w:hAnsi="Verdana"/>
        </w:rPr>
        <w:t xml:space="preserve"> and as they are amended.</w:t>
      </w:r>
      <w:r>
        <w:rPr>
          <w:rFonts w:ascii="Verdana" w:hAnsi="Verdana"/>
        </w:rPr>
        <w:t>’</w:t>
      </w:r>
    </w:p>
    <w:p w:rsidR="00B23066" w:rsidRDefault="009E2E83" w:rsidP="00B23066">
      <w:pPr>
        <w:spacing w:line="300" w:lineRule="atLeast"/>
        <w:rPr>
          <w:rFonts w:ascii="Verdana" w:hAnsi="Verdana"/>
        </w:rPr>
      </w:pPr>
      <w:r>
        <w:rPr>
          <w:rFonts w:ascii="Verdana" w:hAnsi="Verdana"/>
        </w:rPr>
        <w:t xml:space="preserve">This makes it easy for this, or any future Government, to change the conditions.  Need to get the </w:t>
      </w:r>
      <w:r w:rsidR="00905026">
        <w:rPr>
          <w:rFonts w:ascii="Verdana" w:hAnsi="Verdana"/>
        </w:rPr>
        <w:t>costs down</w:t>
      </w:r>
      <w:r>
        <w:rPr>
          <w:rFonts w:ascii="Verdana" w:hAnsi="Verdana"/>
        </w:rPr>
        <w:t xml:space="preserve">? Freeze the earnings threshold, increase the interest rate, there are plenty of options. </w:t>
      </w:r>
      <w:r w:rsidR="000176B0">
        <w:rPr>
          <w:rFonts w:ascii="Verdana" w:hAnsi="Verdana"/>
        </w:rPr>
        <w:t>The legislation which makes such changes possible is not new, but the scale of the loans and the lengthy repayment periods make such changes more likely.</w:t>
      </w:r>
    </w:p>
    <w:p w:rsidR="0081040D" w:rsidRDefault="00AE64A0" w:rsidP="00AE64A0">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81040D">
        <w:rPr>
          <w:rFonts w:ascii="Verdana" w:hAnsi="Verdana"/>
        </w:rPr>
        <w:t xml:space="preserve"> </w:t>
      </w:r>
      <w:r w:rsidR="009E2E83" w:rsidRPr="0081040D">
        <w:rPr>
          <w:rFonts w:ascii="Verdana" w:hAnsi="Verdana"/>
        </w:rPr>
        <w:t xml:space="preserve">I argued that prospective students were being </w:t>
      </w:r>
      <w:proofErr w:type="spellStart"/>
      <w:r w:rsidR="009E2E83" w:rsidRPr="0081040D">
        <w:rPr>
          <w:rFonts w:ascii="Verdana" w:hAnsi="Verdana"/>
        </w:rPr>
        <w:t>mis</w:t>
      </w:r>
      <w:proofErr w:type="spellEnd"/>
      <w:r w:rsidR="009E2E83" w:rsidRPr="0081040D">
        <w:rPr>
          <w:rFonts w:ascii="Verdana" w:hAnsi="Verdana"/>
        </w:rPr>
        <w:t xml:space="preserve">-sold higher education with </w:t>
      </w:r>
      <w:r w:rsidR="00D96F2B">
        <w:rPr>
          <w:rFonts w:ascii="Verdana" w:hAnsi="Verdana"/>
        </w:rPr>
        <w:t>uncertain</w:t>
      </w:r>
      <w:r w:rsidR="005A3E4C">
        <w:rPr>
          <w:rFonts w:ascii="Verdana" w:hAnsi="Verdana"/>
        </w:rPr>
        <w:t xml:space="preserve"> </w:t>
      </w:r>
      <w:r w:rsidR="00806B4B" w:rsidRPr="0081040D">
        <w:rPr>
          <w:rFonts w:ascii="Verdana" w:hAnsi="Verdana"/>
        </w:rPr>
        <w:t xml:space="preserve">financial </w:t>
      </w:r>
      <w:r w:rsidR="009E2E83" w:rsidRPr="0081040D">
        <w:rPr>
          <w:rFonts w:ascii="Verdana" w:hAnsi="Verdana"/>
        </w:rPr>
        <w:t>returns. It seems that th</w:t>
      </w:r>
      <w:r w:rsidR="00AA75FD">
        <w:rPr>
          <w:rFonts w:ascii="Verdana" w:hAnsi="Verdana"/>
        </w:rPr>
        <w:t>e</w:t>
      </w:r>
      <w:r w:rsidR="009E2E83" w:rsidRPr="0081040D">
        <w:rPr>
          <w:rFonts w:ascii="Verdana" w:hAnsi="Verdana"/>
        </w:rPr>
        <w:t xml:space="preserve"> reassurance</w:t>
      </w:r>
      <w:r w:rsidR="004F792A" w:rsidRPr="0081040D">
        <w:rPr>
          <w:rFonts w:ascii="Verdana" w:hAnsi="Verdana"/>
        </w:rPr>
        <w:t xml:space="preserve">s about </w:t>
      </w:r>
      <w:r w:rsidR="00C35444" w:rsidRPr="0081040D">
        <w:rPr>
          <w:rFonts w:ascii="Verdana" w:hAnsi="Verdana"/>
        </w:rPr>
        <w:t xml:space="preserve">the </w:t>
      </w:r>
      <w:r w:rsidR="004F792A" w:rsidRPr="0081040D">
        <w:rPr>
          <w:rFonts w:ascii="Verdana" w:hAnsi="Verdana"/>
        </w:rPr>
        <w:t>repayment</w:t>
      </w:r>
      <w:r w:rsidR="00C35444" w:rsidRPr="0081040D">
        <w:rPr>
          <w:rFonts w:ascii="Verdana" w:hAnsi="Verdana"/>
        </w:rPr>
        <w:t xml:space="preserve"> scheme </w:t>
      </w:r>
      <w:r w:rsidR="00806B4B" w:rsidRPr="0081040D">
        <w:rPr>
          <w:rFonts w:ascii="Verdana" w:hAnsi="Verdana"/>
        </w:rPr>
        <w:t>are also suspect.</w:t>
      </w:r>
      <w:r w:rsidRPr="0081040D">
        <w:rPr>
          <w:rFonts w:ascii="Verdana" w:hAnsi="Verdana"/>
        </w:rPr>
        <w:t xml:space="preserve"> </w:t>
      </w:r>
    </w:p>
    <w:p w:rsidR="00AE64A0" w:rsidRPr="0081040D" w:rsidRDefault="00B52D4F" w:rsidP="0081040D">
      <w:pPr>
        <w:pStyle w:val="ListParagraph"/>
        <w:autoSpaceDE w:val="0"/>
        <w:autoSpaceDN w:val="0"/>
        <w:adjustRightInd w:val="0"/>
        <w:spacing w:after="240" w:line="300" w:lineRule="atLeast"/>
        <w:ind w:left="0"/>
        <w:contextualSpacing w:val="0"/>
        <w:rPr>
          <w:rFonts w:ascii="Verdana" w:hAnsi="Verdana"/>
        </w:rPr>
      </w:pPr>
      <w:r w:rsidRPr="0081040D">
        <w:rPr>
          <w:rFonts w:ascii="Verdana" w:hAnsi="Verdana"/>
          <w:b/>
          <w:sz w:val="24"/>
          <w:szCs w:val="24"/>
        </w:rPr>
        <w:t>What should be done</w:t>
      </w:r>
      <w:r w:rsidR="0022554C" w:rsidRPr="0081040D">
        <w:rPr>
          <w:rFonts w:ascii="Verdana" w:hAnsi="Verdana"/>
          <w:b/>
          <w:sz w:val="24"/>
          <w:szCs w:val="24"/>
        </w:rPr>
        <w:t>?</w:t>
      </w:r>
    </w:p>
    <w:p w:rsidR="00AE64A0" w:rsidRDefault="00AE64A0"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AE64A0">
        <w:rPr>
          <w:rFonts w:ascii="Verdana" w:hAnsi="Verdana"/>
        </w:rPr>
        <w:t xml:space="preserve"> </w:t>
      </w:r>
      <w:r w:rsidR="00B52D4F" w:rsidRPr="00AE64A0">
        <w:rPr>
          <w:rFonts w:ascii="Verdana" w:hAnsi="Verdana"/>
        </w:rPr>
        <w:t xml:space="preserve">There </w:t>
      </w:r>
      <w:r w:rsidR="00AE56C8" w:rsidRPr="00AE64A0">
        <w:rPr>
          <w:rFonts w:ascii="Verdana" w:hAnsi="Verdana"/>
        </w:rPr>
        <w:t>are</w:t>
      </w:r>
      <w:r w:rsidR="00B52D4F" w:rsidRPr="00AE64A0">
        <w:rPr>
          <w:rFonts w:ascii="Verdana" w:hAnsi="Verdana"/>
        </w:rPr>
        <w:t xml:space="preserve"> no magic algorithm</w:t>
      </w:r>
      <w:r w:rsidR="00AE56C8" w:rsidRPr="00AE64A0">
        <w:rPr>
          <w:rFonts w:ascii="Verdana" w:hAnsi="Verdana"/>
        </w:rPr>
        <w:t>s</w:t>
      </w:r>
      <w:r w:rsidR="00B52D4F" w:rsidRPr="00AE64A0">
        <w:rPr>
          <w:rFonts w:ascii="Verdana" w:hAnsi="Verdana"/>
        </w:rPr>
        <w:t xml:space="preserve"> a</w:t>
      </w:r>
      <w:r w:rsidR="00F917DF" w:rsidRPr="00AE64A0">
        <w:rPr>
          <w:rFonts w:ascii="Verdana" w:hAnsi="Verdana"/>
        </w:rPr>
        <w:t>nd</w:t>
      </w:r>
      <w:r w:rsidR="00B52D4F" w:rsidRPr="00AE64A0">
        <w:rPr>
          <w:rFonts w:ascii="Verdana" w:hAnsi="Verdana"/>
        </w:rPr>
        <w:t xml:space="preserve"> set</w:t>
      </w:r>
      <w:r w:rsidR="00AE56C8" w:rsidRPr="00AE64A0">
        <w:rPr>
          <w:rFonts w:ascii="Verdana" w:hAnsi="Verdana"/>
        </w:rPr>
        <w:t>s</w:t>
      </w:r>
      <w:r w:rsidR="00B52D4F" w:rsidRPr="00AE64A0">
        <w:rPr>
          <w:rFonts w:ascii="Verdana" w:hAnsi="Verdana"/>
        </w:rPr>
        <w:t xml:space="preserve"> of data that c</w:t>
      </w:r>
      <w:r w:rsidR="00F917DF" w:rsidRPr="00AE64A0">
        <w:rPr>
          <w:rFonts w:ascii="Verdana" w:hAnsi="Verdana"/>
        </w:rPr>
        <w:t>ould</w:t>
      </w:r>
      <w:r w:rsidR="00B52D4F" w:rsidRPr="00AE64A0">
        <w:rPr>
          <w:rFonts w:ascii="Verdana" w:hAnsi="Verdana"/>
        </w:rPr>
        <w:t xml:space="preserve"> give us the certainty we would like</w:t>
      </w:r>
      <w:r w:rsidR="00806B4B" w:rsidRPr="00AE64A0">
        <w:rPr>
          <w:rFonts w:ascii="Verdana" w:hAnsi="Verdana"/>
        </w:rPr>
        <w:t>. W</w:t>
      </w:r>
      <w:r w:rsidR="00B52D4F" w:rsidRPr="00AE64A0">
        <w:rPr>
          <w:rFonts w:ascii="Verdana" w:hAnsi="Verdana"/>
        </w:rPr>
        <w:t>e should not pretend we have answers, even when clever people have done the calculations, using advanced techniques and what would once have been inconceivable computer power.</w:t>
      </w:r>
    </w:p>
    <w:p w:rsidR="004C0552" w:rsidRDefault="00AE64A0"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4C0552">
        <w:rPr>
          <w:rFonts w:ascii="Verdana" w:hAnsi="Verdana"/>
        </w:rPr>
        <w:t xml:space="preserve"> </w:t>
      </w:r>
      <w:r w:rsidR="00F917DF" w:rsidRPr="004C0552">
        <w:rPr>
          <w:rFonts w:ascii="Verdana" w:hAnsi="Verdana"/>
        </w:rPr>
        <w:t xml:space="preserve">The situation is worse than it need be so long as </w:t>
      </w:r>
      <w:r w:rsidR="00565C68" w:rsidRPr="004C0552">
        <w:rPr>
          <w:rFonts w:ascii="Verdana" w:hAnsi="Verdana"/>
        </w:rPr>
        <w:t xml:space="preserve">we make believe that </w:t>
      </w:r>
      <w:r w:rsidR="00012D09" w:rsidRPr="004C0552">
        <w:rPr>
          <w:rFonts w:ascii="Verdana" w:hAnsi="Verdana"/>
        </w:rPr>
        <w:t>reliable</w:t>
      </w:r>
      <w:r w:rsidR="00F917DF" w:rsidRPr="004C0552">
        <w:rPr>
          <w:rFonts w:ascii="Verdana" w:hAnsi="Verdana"/>
        </w:rPr>
        <w:t xml:space="preserve"> estimates can be made. </w:t>
      </w:r>
    </w:p>
    <w:p w:rsidR="00B52D4F" w:rsidRPr="004C0552" w:rsidRDefault="004C0552"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AE64A0" w:rsidRPr="004C0552">
        <w:rPr>
          <w:rFonts w:ascii="Verdana" w:hAnsi="Verdana"/>
        </w:rPr>
        <w:t xml:space="preserve"> </w:t>
      </w:r>
      <w:r w:rsidR="00F917DF" w:rsidRPr="004C0552">
        <w:rPr>
          <w:rFonts w:ascii="Verdana" w:hAnsi="Verdana"/>
        </w:rPr>
        <w:t>I</w:t>
      </w:r>
      <w:r w:rsidR="00B52D4F" w:rsidRPr="004C0552">
        <w:rPr>
          <w:rFonts w:ascii="Verdana" w:hAnsi="Verdana"/>
        </w:rPr>
        <w:t>t would be helpful if</w:t>
      </w:r>
      <w:r w:rsidR="00A879C5" w:rsidRPr="004C0552">
        <w:rPr>
          <w:rFonts w:ascii="Verdana" w:hAnsi="Verdana"/>
        </w:rPr>
        <w:t xml:space="preserve"> those making estimates</w:t>
      </w:r>
      <w:r>
        <w:rPr>
          <w:rFonts w:ascii="Verdana" w:hAnsi="Verdana"/>
        </w:rPr>
        <w:t xml:space="preserve"> could</w:t>
      </w:r>
      <w:r w:rsidR="00B52D4F" w:rsidRPr="004C0552">
        <w:rPr>
          <w:rFonts w:ascii="Verdana" w:hAnsi="Verdana"/>
        </w:rPr>
        <w:t>:-</w:t>
      </w:r>
    </w:p>
    <w:p w:rsidR="00012D09" w:rsidRDefault="00012D09" w:rsidP="00A879C5">
      <w:pPr>
        <w:pStyle w:val="ListParagraph"/>
        <w:numPr>
          <w:ilvl w:val="0"/>
          <w:numId w:val="11"/>
        </w:numPr>
        <w:spacing w:line="300" w:lineRule="atLeast"/>
        <w:rPr>
          <w:rFonts w:ascii="Verdana" w:hAnsi="Verdana"/>
        </w:rPr>
      </w:pPr>
      <w:r w:rsidRPr="00012D09">
        <w:rPr>
          <w:rFonts w:ascii="Verdana" w:hAnsi="Verdana"/>
        </w:rPr>
        <w:t>Set out all the assumptions</w:t>
      </w:r>
      <w:r w:rsidR="00A879C5">
        <w:rPr>
          <w:rFonts w:ascii="Verdana" w:hAnsi="Verdana"/>
        </w:rPr>
        <w:t>.</w:t>
      </w:r>
      <w:r w:rsidRPr="00012D09">
        <w:rPr>
          <w:rFonts w:ascii="Verdana" w:hAnsi="Verdana"/>
        </w:rPr>
        <w:t xml:space="preserve"> </w:t>
      </w:r>
    </w:p>
    <w:p w:rsidR="00012D09" w:rsidRDefault="0022554C" w:rsidP="00A879C5">
      <w:pPr>
        <w:pStyle w:val="ListParagraph"/>
        <w:numPr>
          <w:ilvl w:val="0"/>
          <w:numId w:val="11"/>
        </w:numPr>
        <w:spacing w:line="300" w:lineRule="atLeast"/>
        <w:rPr>
          <w:rFonts w:ascii="Verdana" w:hAnsi="Verdana"/>
        </w:rPr>
      </w:pPr>
      <w:r w:rsidRPr="00012D09">
        <w:rPr>
          <w:rFonts w:ascii="Verdana" w:hAnsi="Verdana"/>
        </w:rPr>
        <w:t>Give r</w:t>
      </w:r>
      <w:r w:rsidR="00B52D4F" w:rsidRPr="00012D09">
        <w:rPr>
          <w:rFonts w:ascii="Verdana" w:hAnsi="Verdana"/>
        </w:rPr>
        <w:t xml:space="preserve">ange </w:t>
      </w:r>
      <w:r w:rsidRPr="00012D09">
        <w:rPr>
          <w:rFonts w:ascii="Verdana" w:hAnsi="Verdana"/>
        </w:rPr>
        <w:t xml:space="preserve">estimates </w:t>
      </w:r>
      <w:r w:rsidR="00B52D4F" w:rsidRPr="00012D09">
        <w:rPr>
          <w:rFonts w:ascii="Verdana" w:hAnsi="Verdana"/>
        </w:rPr>
        <w:t>based on different assumptions and scenarios</w:t>
      </w:r>
      <w:r w:rsidR="00A879C5">
        <w:rPr>
          <w:rFonts w:ascii="Verdana" w:hAnsi="Verdana"/>
        </w:rPr>
        <w:t>.</w:t>
      </w:r>
    </w:p>
    <w:p w:rsidR="00012D09" w:rsidRDefault="00A879C5" w:rsidP="00A879C5">
      <w:pPr>
        <w:pStyle w:val="ListParagraph"/>
        <w:numPr>
          <w:ilvl w:val="0"/>
          <w:numId w:val="11"/>
        </w:numPr>
        <w:spacing w:line="300" w:lineRule="atLeast"/>
        <w:rPr>
          <w:rFonts w:ascii="Verdana" w:hAnsi="Verdana"/>
        </w:rPr>
      </w:pPr>
      <w:r>
        <w:rPr>
          <w:rFonts w:ascii="Verdana" w:hAnsi="Verdana"/>
        </w:rPr>
        <w:t>Describe the estimation in</w:t>
      </w:r>
      <w:r w:rsidR="00D96F2B">
        <w:rPr>
          <w:rFonts w:ascii="Verdana" w:hAnsi="Verdana"/>
        </w:rPr>
        <w:t xml:space="preserve"> </w:t>
      </w:r>
      <w:r w:rsidR="00B52D4F" w:rsidRPr="00012D09">
        <w:rPr>
          <w:rFonts w:ascii="Verdana" w:hAnsi="Verdana"/>
        </w:rPr>
        <w:t>sufficient</w:t>
      </w:r>
      <w:r>
        <w:rPr>
          <w:rFonts w:ascii="Verdana" w:hAnsi="Verdana"/>
        </w:rPr>
        <w:t xml:space="preserve"> detail so that</w:t>
      </w:r>
      <w:r w:rsidR="00B52D4F" w:rsidRPr="00012D09">
        <w:rPr>
          <w:rFonts w:ascii="Verdana" w:hAnsi="Verdana"/>
        </w:rPr>
        <w:t xml:space="preserve"> others </w:t>
      </w:r>
      <w:r>
        <w:rPr>
          <w:rFonts w:ascii="Verdana" w:hAnsi="Verdana"/>
        </w:rPr>
        <w:t xml:space="preserve">can </w:t>
      </w:r>
      <w:r w:rsidR="00B52D4F" w:rsidRPr="00012D09">
        <w:rPr>
          <w:rFonts w:ascii="Verdana" w:hAnsi="Verdana"/>
        </w:rPr>
        <w:t xml:space="preserve">replicate </w:t>
      </w:r>
      <w:r>
        <w:rPr>
          <w:rFonts w:ascii="Verdana" w:hAnsi="Verdana"/>
        </w:rPr>
        <w:t>it.</w:t>
      </w:r>
    </w:p>
    <w:p w:rsidR="00565C68" w:rsidRDefault="001C312D" w:rsidP="00A879C5">
      <w:pPr>
        <w:pStyle w:val="ListParagraph"/>
        <w:numPr>
          <w:ilvl w:val="0"/>
          <w:numId w:val="11"/>
        </w:numPr>
        <w:spacing w:line="300" w:lineRule="atLeast"/>
        <w:rPr>
          <w:rFonts w:ascii="Verdana" w:hAnsi="Verdana"/>
        </w:rPr>
      </w:pPr>
      <w:r w:rsidRPr="00565C68">
        <w:rPr>
          <w:rFonts w:ascii="Verdana" w:hAnsi="Verdana"/>
        </w:rPr>
        <w:t xml:space="preserve">Provide </w:t>
      </w:r>
      <w:r w:rsidR="00565C68" w:rsidRPr="00565C68">
        <w:rPr>
          <w:rFonts w:ascii="Verdana" w:hAnsi="Verdana"/>
        </w:rPr>
        <w:t xml:space="preserve">data extracts and intermediate datasets. </w:t>
      </w:r>
    </w:p>
    <w:p w:rsidR="00A879C5" w:rsidRDefault="00A879C5" w:rsidP="00A879C5">
      <w:pPr>
        <w:spacing w:line="300" w:lineRule="atLeast"/>
        <w:rPr>
          <w:rFonts w:ascii="Verdana" w:hAnsi="Verdana"/>
        </w:rPr>
      </w:pPr>
      <w:r>
        <w:rPr>
          <w:rFonts w:ascii="Verdana" w:hAnsi="Verdana"/>
        </w:rPr>
        <w:t xml:space="preserve">Most academic papers do set out the assumptions made, though not always fully. Often different approaches are used, reflecting different assumptions, but we don’t always get these synthesised into and overall range estimate. With the </w:t>
      </w:r>
      <w:r w:rsidR="00CA7364">
        <w:rPr>
          <w:rFonts w:ascii="Verdana" w:hAnsi="Verdana"/>
        </w:rPr>
        <w:t xml:space="preserve">miracle </w:t>
      </w:r>
      <w:r>
        <w:rPr>
          <w:rFonts w:ascii="Verdana" w:hAnsi="Verdana"/>
        </w:rPr>
        <w:t>of the internet</w:t>
      </w:r>
      <w:r w:rsidR="00CA7364">
        <w:rPr>
          <w:rFonts w:ascii="Verdana" w:hAnsi="Verdana"/>
        </w:rPr>
        <w:t xml:space="preserve"> it should be possible to record the details of data extraction and computation completely, along with the datasets created, but this is not normally done.</w:t>
      </w:r>
    </w:p>
    <w:p w:rsidR="00FA6940" w:rsidRPr="00A879C5" w:rsidRDefault="00FA6940" w:rsidP="00A879C5">
      <w:pPr>
        <w:spacing w:line="300" w:lineRule="atLeast"/>
        <w:rPr>
          <w:rFonts w:ascii="Verdana" w:hAnsi="Verdana"/>
        </w:rPr>
      </w:pPr>
    </w:p>
    <w:p w:rsidR="001C312D" w:rsidRDefault="00AE64A0" w:rsidP="00DB764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lastRenderedPageBreak/>
        <w:t xml:space="preserve"> </w:t>
      </w:r>
      <w:r w:rsidR="00565C68" w:rsidRPr="00AE64A0">
        <w:rPr>
          <w:rFonts w:ascii="Verdana" w:hAnsi="Verdana"/>
        </w:rPr>
        <w:t xml:space="preserve">For the pundits, </w:t>
      </w:r>
      <w:r w:rsidR="00AE56C8" w:rsidRPr="00AE64A0">
        <w:rPr>
          <w:rFonts w:ascii="Verdana" w:hAnsi="Verdana"/>
        </w:rPr>
        <w:t>politicians</w:t>
      </w:r>
      <w:r w:rsidR="001C312D" w:rsidRPr="00AE64A0">
        <w:rPr>
          <w:rFonts w:ascii="Verdana" w:hAnsi="Verdana"/>
        </w:rPr>
        <w:t xml:space="preserve"> and pol</w:t>
      </w:r>
      <w:r w:rsidR="00EA7753" w:rsidRPr="00AE64A0">
        <w:rPr>
          <w:rFonts w:ascii="Verdana" w:hAnsi="Verdana"/>
        </w:rPr>
        <w:t>i</w:t>
      </w:r>
      <w:r w:rsidR="001C312D" w:rsidRPr="00AE64A0">
        <w:rPr>
          <w:rFonts w:ascii="Verdana" w:hAnsi="Verdana"/>
        </w:rPr>
        <w:t>cy makers:-</w:t>
      </w:r>
    </w:p>
    <w:p w:rsidR="00DB534E" w:rsidRDefault="00DB534E" w:rsidP="00DB534E">
      <w:pPr>
        <w:spacing w:line="300" w:lineRule="atLeast"/>
        <w:rPr>
          <w:rFonts w:ascii="Verdana" w:hAnsi="Verdana"/>
        </w:rPr>
      </w:pPr>
      <w:r w:rsidRPr="00806B4B">
        <w:rPr>
          <w:rFonts w:ascii="Verdana" w:hAnsi="Verdana"/>
        </w:rPr>
        <w:t>When advising prospective students</w:t>
      </w:r>
      <w:r>
        <w:rPr>
          <w:rFonts w:ascii="Verdana" w:hAnsi="Verdana"/>
        </w:rPr>
        <w:t>:-</w:t>
      </w:r>
    </w:p>
    <w:p w:rsidR="00DB534E" w:rsidRPr="004F792A" w:rsidRDefault="00DB534E" w:rsidP="00DB534E">
      <w:pPr>
        <w:pStyle w:val="ListParagraph"/>
        <w:numPr>
          <w:ilvl w:val="0"/>
          <w:numId w:val="6"/>
        </w:numPr>
        <w:spacing w:line="300" w:lineRule="atLeast"/>
        <w:rPr>
          <w:rFonts w:ascii="Verdana" w:hAnsi="Verdana"/>
        </w:rPr>
      </w:pPr>
      <w:r w:rsidRPr="004F792A">
        <w:rPr>
          <w:rFonts w:ascii="Verdana" w:hAnsi="Verdana"/>
        </w:rPr>
        <w:t xml:space="preserve">Be circumspect. </w:t>
      </w:r>
    </w:p>
    <w:p w:rsidR="00DB534E" w:rsidRPr="004F792A" w:rsidRDefault="00DB534E" w:rsidP="00DB534E">
      <w:pPr>
        <w:spacing w:line="300" w:lineRule="atLeast"/>
        <w:rPr>
          <w:rFonts w:ascii="Verdana" w:hAnsi="Verdana"/>
        </w:rPr>
      </w:pPr>
      <w:r w:rsidRPr="004F792A">
        <w:rPr>
          <w:rFonts w:ascii="Verdana" w:hAnsi="Verdana"/>
        </w:rPr>
        <w:t xml:space="preserve">In policy discussions:- </w:t>
      </w:r>
    </w:p>
    <w:p w:rsidR="00DB534E" w:rsidRDefault="00DB534E" w:rsidP="00DB534E">
      <w:pPr>
        <w:pStyle w:val="ListParagraph"/>
        <w:numPr>
          <w:ilvl w:val="0"/>
          <w:numId w:val="7"/>
        </w:numPr>
        <w:spacing w:line="300" w:lineRule="atLeast"/>
        <w:rPr>
          <w:rFonts w:ascii="Verdana" w:hAnsi="Verdana"/>
        </w:rPr>
      </w:pPr>
      <w:r w:rsidRPr="004F792A">
        <w:rPr>
          <w:rFonts w:ascii="Verdana" w:hAnsi="Verdana"/>
        </w:rPr>
        <w:t>Do not treat what are uncertain estimates as hard facts.</w:t>
      </w:r>
    </w:p>
    <w:p w:rsidR="00D96F2B" w:rsidRPr="00D96F2B" w:rsidRDefault="00D96F2B" w:rsidP="00D96F2B">
      <w:pPr>
        <w:spacing w:line="300" w:lineRule="atLeast"/>
        <w:rPr>
          <w:rFonts w:ascii="Verdana" w:hAnsi="Verdana"/>
        </w:rPr>
      </w:pPr>
      <w:r>
        <w:rPr>
          <w:rFonts w:ascii="Verdana" w:hAnsi="Verdana"/>
        </w:rPr>
        <w:t xml:space="preserve">I am not naive enough to believe these strictures will be widely adopted, but I make them all the same. </w:t>
      </w:r>
    </w:p>
    <w:p w:rsidR="00DB534E" w:rsidRDefault="006327CE" w:rsidP="00DB534E">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269F7">
        <w:rPr>
          <w:rFonts w:ascii="Verdana" w:hAnsi="Verdana"/>
        </w:rPr>
        <w:t xml:space="preserve">  </w:t>
      </w:r>
      <w:r w:rsidR="005069BE">
        <w:rPr>
          <w:rFonts w:ascii="Verdana" w:hAnsi="Verdana"/>
        </w:rPr>
        <w:t xml:space="preserve">A </w:t>
      </w:r>
      <w:r w:rsidR="00D96F2B">
        <w:rPr>
          <w:rFonts w:ascii="Verdana" w:hAnsi="Verdana"/>
        </w:rPr>
        <w:t xml:space="preserve">final </w:t>
      </w:r>
      <w:r w:rsidRPr="00D269F7">
        <w:rPr>
          <w:rFonts w:ascii="Verdana" w:hAnsi="Verdana"/>
        </w:rPr>
        <w:t xml:space="preserve">point. My remarks about </w:t>
      </w:r>
      <w:proofErr w:type="spellStart"/>
      <w:r w:rsidRPr="00D269F7">
        <w:rPr>
          <w:rFonts w:ascii="Verdana" w:hAnsi="Verdana"/>
        </w:rPr>
        <w:t>mis</w:t>
      </w:r>
      <w:proofErr w:type="spellEnd"/>
      <w:r w:rsidRPr="00D269F7">
        <w:rPr>
          <w:rFonts w:ascii="Verdana" w:hAnsi="Verdana"/>
        </w:rPr>
        <w:t xml:space="preserve">-selling and the uncertainties </w:t>
      </w:r>
      <w:r w:rsidR="009A328B" w:rsidRPr="00D269F7">
        <w:rPr>
          <w:rFonts w:ascii="Verdana" w:hAnsi="Verdana"/>
        </w:rPr>
        <w:t xml:space="preserve">in the return estimates might be taken as arguments to discourage students from applying to universities. This is not my intention. For the young person who wants a career that requires higher education I would say, go on, if you can, don’t hesitate. For the person who wants to study a subject that interests them, go on, if you can, don’t hesitate. But for </w:t>
      </w:r>
      <w:r w:rsidR="00D269F7" w:rsidRPr="00D269F7">
        <w:rPr>
          <w:rFonts w:ascii="Verdana" w:hAnsi="Verdana"/>
        </w:rPr>
        <w:t xml:space="preserve">anyone who has no real enthusiasm for higher education, they should </w:t>
      </w:r>
      <w:r w:rsidR="00D269F7">
        <w:rPr>
          <w:rFonts w:ascii="Verdana" w:hAnsi="Verdana"/>
        </w:rPr>
        <w:t xml:space="preserve">not </w:t>
      </w:r>
      <w:r w:rsidR="00D269F7" w:rsidRPr="00D269F7">
        <w:rPr>
          <w:rFonts w:ascii="Verdana" w:hAnsi="Verdana"/>
        </w:rPr>
        <w:t>trust the claims for the financial returns. Going to university simply to earn more is not a good reason</w:t>
      </w:r>
      <w:r w:rsidR="00D269F7">
        <w:rPr>
          <w:rFonts w:ascii="Verdana" w:hAnsi="Verdana"/>
        </w:rPr>
        <w:t xml:space="preserve"> to spend the time and money that that entails</w:t>
      </w:r>
      <w:r w:rsidR="00D269F7" w:rsidRPr="00D269F7">
        <w:rPr>
          <w:rFonts w:ascii="Verdana" w:hAnsi="Verdana"/>
        </w:rPr>
        <w:t xml:space="preserve">. </w:t>
      </w:r>
    </w:p>
    <w:p w:rsidR="005069BE" w:rsidRDefault="005069BE" w:rsidP="005069BE">
      <w:pPr>
        <w:pStyle w:val="ListParagraph"/>
        <w:autoSpaceDE w:val="0"/>
        <w:autoSpaceDN w:val="0"/>
        <w:adjustRightInd w:val="0"/>
        <w:spacing w:after="240" w:line="300" w:lineRule="atLeast"/>
        <w:ind w:left="0"/>
        <w:contextualSpacing w:val="0"/>
        <w:rPr>
          <w:rFonts w:ascii="Verdana" w:hAnsi="Verdana"/>
        </w:rPr>
      </w:pPr>
    </w:p>
    <w:p w:rsidR="00DE0676" w:rsidRDefault="00DE0676" w:rsidP="00174383">
      <w:pPr>
        <w:spacing w:line="300" w:lineRule="atLeast"/>
        <w:rPr>
          <w:rFonts w:ascii="Verdana" w:hAnsi="Verdana"/>
          <w:b/>
          <w:sz w:val="24"/>
          <w:szCs w:val="24"/>
        </w:rPr>
      </w:pPr>
    </w:p>
    <w:p w:rsidR="00DE0676" w:rsidRDefault="00DE0676" w:rsidP="00174383">
      <w:pPr>
        <w:spacing w:line="300" w:lineRule="atLeast"/>
        <w:rPr>
          <w:rFonts w:ascii="Verdana" w:hAnsi="Verdana"/>
          <w:b/>
          <w:sz w:val="24"/>
          <w:szCs w:val="24"/>
        </w:rPr>
      </w:pPr>
    </w:p>
    <w:p w:rsidR="00CA7364" w:rsidRDefault="00CA7364">
      <w:pPr>
        <w:rPr>
          <w:rFonts w:ascii="Verdana" w:hAnsi="Verdana"/>
          <w:b/>
          <w:sz w:val="24"/>
          <w:szCs w:val="24"/>
        </w:rPr>
      </w:pPr>
      <w:r>
        <w:rPr>
          <w:rFonts w:ascii="Verdana" w:hAnsi="Verdana"/>
          <w:b/>
          <w:sz w:val="24"/>
          <w:szCs w:val="24"/>
        </w:rPr>
        <w:br w:type="page"/>
      </w:r>
    </w:p>
    <w:p w:rsidR="00174383" w:rsidRDefault="00174383" w:rsidP="00174383">
      <w:pPr>
        <w:spacing w:line="300" w:lineRule="atLeast"/>
        <w:rPr>
          <w:rFonts w:ascii="Verdana" w:hAnsi="Verdana"/>
          <w:b/>
          <w:sz w:val="24"/>
          <w:szCs w:val="24"/>
        </w:rPr>
      </w:pPr>
      <w:r w:rsidRPr="00174383">
        <w:rPr>
          <w:rFonts w:ascii="Verdana" w:hAnsi="Verdana"/>
          <w:b/>
          <w:sz w:val="24"/>
          <w:szCs w:val="24"/>
        </w:rPr>
        <w:lastRenderedPageBreak/>
        <w:t>Endnotes</w:t>
      </w:r>
    </w:p>
    <w:p w:rsidR="002A69FD" w:rsidRPr="00A67ECB" w:rsidRDefault="00175739" w:rsidP="00174383">
      <w:pPr>
        <w:spacing w:line="300" w:lineRule="atLeast"/>
        <w:rPr>
          <w:rFonts w:ascii="Verdana" w:hAnsi="Verdana"/>
          <w:b/>
        </w:rPr>
      </w:pPr>
      <w:r w:rsidRPr="00A67ECB">
        <w:rPr>
          <w:rFonts w:ascii="Verdana" w:hAnsi="Verdana"/>
          <w:b/>
        </w:rPr>
        <w:t xml:space="preserve">(1) </w:t>
      </w:r>
      <w:r w:rsidR="0012289F" w:rsidRPr="0012289F">
        <w:rPr>
          <w:rFonts w:ascii="Verdana" w:hAnsi="Verdana"/>
          <w:b/>
        </w:rPr>
        <w:t xml:space="preserve">Governmental and Ministerial Statistics </w:t>
      </w:r>
      <w:r w:rsidR="0012289F">
        <w:rPr>
          <w:rFonts w:ascii="Verdana" w:hAnsi="Verdana"/>
          <w:b/>
        </w:rPr>
        <w:t xml:space="preserve">and </w:t>
      </w:r>
      <w:r w:rsidR="002A69FD" w:rsidRPr="00A67ECB">
        <w:rPr>
          <w:rFonts w:ascii="Verdana" w:hAnsi="Verdana"/>
          <w:b/>
        </w:rPr>
        <w:t>Non-</w:t>
      </w:r>
      <w:r w:rsidRPr="00A67ECB">
        <w:rPr>
          <w:rFonts w:ascii="Verdana" w:hAnsi="Verdana"/>
          <w:b/>
        </w:rPr>
        <w:t>qualifiers</w:t>
      </w:r>
    </w:p>
    <w:p w:rsidR="00FA6940" w:rsidRPr="00FA6940" w:rsidRDefault="00FA6940" w:rsidP="00FA6940">
      <w:pPr>
        <w:pStyle w:val="ListParagraph"/>
        <w:autoSpaceDE w:val="0"/>
        <w:autoSpaceDN w:val="0"/>
        <w:adjustRightInd w:val="0"/>
        <w:spacing w:after="240" w:line="300" w:lineRule="atLeast"/>
        <w:ind w:left="0"/>
        <w:contextualSpacing w:val="0"/>
        <w:rPr>
          <w:rFonts w:ascii="Verdana" w:hAnsi="Verdana"/>
          <w:u w:val="single"/>
        </w:rPr>
      </w:pPr>
      <w:r w:rsidRPr="00FA6940">
        <w:rPr>
          <w:rFonts w:ascii="Verdana" w:hAnsi="Verdana"/>
          <w:u w:val="single"/>
        </w:rPr>
        <w:t xml:space="preserve">Governmental and Ministerial Statistics </w:t>
      </w:r>
    </w:p>
    <w:p w:rsidR="002D78AF" w:rsidRDefault="00FA6940"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2D78AF">
        <w:rPr>
          <w:rFonts w:ascii="Verdana" w:hAnsi="Verdana"/>
        </w:rPr>
        <w:t xml:space="preserve">David </w:t>
      </w:r>
      <w:proofErr w:type="spellStart"/>
      <w:r w:rsidR="002D78AF">
        <w:rPr>
          <w:rFonts w:ascii="Verdana" w:hAnsi="Verdana"/>
        </w:rPr>
        <w:t>Willetts</w:t>
      </w:r>
      <w:proofErr w:type="spellEnd"/>
      <w:r w:rsidR="002D78AF">
        <w:rPr>
          <w:rFonts w:ascii="Verdana" w:hAnsi="Verdana"/>
        </w:rPr>
        <w:t xml:space="preserve">, the </w:t>
      </w:r>
      <w:r w:rsidR="002D78AF" w:rsidRPr="00676D48">
        <w:rPr>
          <w:rFonts w:ascii="Verdana" w:eastAsia="Calibri" w:hAnsi="Verdana" w:cs="Times New Roman"/>
        </w:rPr>
        <w:t>Minister for Universities and Science</w:t>
      </w:r>
      <w:r w:rsidR="002D78AF">
        <w:rPr>
          <w:rFonts w:ascii="Verdana" w:hAnsi="Verdana"/>
        </w:rPr>
        <w:t>, at first used average graduate and non-graduate earnings to justify to the increase in fees (</w:t>
      </w:r>
      <w:proofErr w:type="spellStart"/>
      <w:r w:rsidR="002D78AF">
        <w:rPr>
          <w:rFonts w:ascii="Verdana" w:hAnsi="Verdana"/>
        </w:rPr>
        <w:t>Willetts</w:t>
      </w:r>
      <w:proofErr w:type="spellEnd"/>
      <w:r w:rsidR="002D78AF">
        <w:rPr>
          <w:rFonts w:ascii="Verdana" w:hAnsi="Verdana"/>
        </w:rPr>
        <w:t>, 2011).</w:t>
      </w:r>
    </w:p>
    <w:p w:rsidR="002D78AF" w:rsidRDefault="002D78AF" w:rsidP="002D78AF">
      <w:pPr>
        <w:pStyle w:val="NormalWeb"/>
        <w:ind w:left="567"/>
        <w:rPr>
          <w:rFonts w:ascii="Verdana" w:hAnsi="Verdana" w:cs="Arial"/>
          <w:color w:val="000000" w:themeColor="text1"/>
          <w:sz w:val="22"/>
          <w:szCs w:val="22"/>
        </w:rPr>
      </w:pPr>
      <w:r>
        <w:rPr>
          <w:rFonts w:ascii="Verdana" w:hAnsi="Verdana" w:cs="Arial"/>
          <w:color w:val="000000" w:themeColor="text1"/>
          <w:sz w:val="22"/>
          <w:szCs w:val="22"/>
        </w:rPr>
        <w:t>“</w:t>
      </w:r>
      <w:r w:rsidRPr="002D78AF">
        <w:rPr>
          <w:rFonts w:ascii="Verdana" w:hAnsi="Verdana" w:cs="Arial"/>
          <w:color w:val="000000" w:themeColor="text1"/>
          <w:sz w:val="22"/>
          <w:szCs w:val="22"/>
        </w:rPr>
        <w:t>Universities transform lives - the typical graduate earns £31,000 a year as against £19,000 a year for a non-graduate. That is why it is right to expect graduates, not students of course, to pay back if they are in a well-paid job.</w:t>
      </w:r>
      <w:r>
        <w:rPr>
          <w:rFonts w:ascii="Verdana" w:hAnsi="Verdana" w:cs="Arial"/>
          <w:color w:val="000000" w:themeColor="text1"/>
          <w:sz w:val="22"/>
          <w:szCs w:val="22"/>
        </w:rPr>
        <w:t>”</w:t>
      </w:r>
    </w:p>
    <w:p w:rsidR="002D78AF" w:rsidRDefault="002D78AF" w:rsidP="002D78AF">
      <w:pPr>
        <w:pStyle w:val="NormalWeb"/>
        <w:rPr>
          <w:rFonts w:ascii="Verdana" w:hAnsi="Verdana" w:cs="Arial"/>
          <w:color w:val="000000" w:themeColor="text1"/>
          <w:sz w:val="22"/>
          <w:szCs w:val="22"/>
        </w:rPr>
      </w:pPr>
      <w:r>
        <w:rPr>
          <w:rFonts w:ascii="Verdana" w:hAnsi="Verdana" w:cs="Arial"/>
          <w:color w:val="000000" w:themeColor="text1"/>
          <w:sz w:val="22"/>
          <w:szCs w:val="22"/>
        </w:rPr>
        <w:t xml:space="preserve">Also note the </w:t>
      </w:r>
      <w:r w:rsidR="00303CBD">
        <w:rPr>
          <w:rFonts w:ascii="Verdana" w:hAnsi="Verdana" w:cs="Arial"/>
          <w:color w:val="000000" w:themeColor="text1"/>
          <w:sz w:val="22"/>
          <w:szCs w:val="22"/>
        </w:rPr>
        <w:t xml:space="preserve">incorrect </w:t>
      </w:r>
      <w:r>
        <w:rPr>
          <w:rFonts w:ascii="Verdana" w:hAnsi="Verdana" w:cs="Arial"/>
          <w:color w:val="000000" w:themeColor="text1"/>
          <w:sz w:val="22"/>
          <w:szCs w:val="22"/>
        </w:rPr>
        <w:t xml:space="preserve">restriction of debt liability to </w:t>
      </w:r>
      <w:r w:rsidR="00546720">
        <w:rPr>
          <w:rFonts w:ascii="Verdana" w:hAnsi="Verdana" w:cs="Arial"/>
          <w:color w:val="000000" w:themeColor="text1"/>
          <w:sz w:val="22"/>
          <w:szCs w:val="22"/>
        </w:rPr>
        <w:t>‘</w:t>
      </w:r>
      <w:r>
        <w:rPr>
          <w:rFonts w:ascii="Verdana" w:hAnsi="Verdana" w:cs="Arial"/>
          <w:color w:val="000000" w:themeColor="text1"/>
          <w:sz w:val="22"/>
          <w:szCs w:val="22"/>
        </w:rPr>
        <w:t>graduates when, in fact</w:t>
      </w:r>
      <w:r w:rsidR="00303CBD">
        <w:rPr>
          <w:rFonts w:ascii="Verdana" w:hAnsi="Verdana" w:cs="Arial"/>
          <w:color w:val="000000" w:themeColor="text1"/>
          <w:sz w:val="22"/>
          <w:szCs w:val="22"/>
        </w:rPr>
        <w:t>,</w:t>
      </w:r>
      <w:r>
        <w:rPr>
          <w:rFonts w:ascii="Verdana" w:hAnsi="Verdana" w:cs="Arial"/>
          <w:color w:val="000000" w:themeColor="text1"/>
          <w:sz w:val="22"/>
          <w:szCs w:val="22"/>
        </w:rPr>
        <w:t xml:space="preserve"> it applies to all students who take out loans. Since then, the same statistics have been used </w:t>
      </w:r>
      <w:r w:rsidR="00546720">
        <w:rPr>
          <w:rFonts w:ascii="Verdana" w:hAnsi="Verdana" w:cs="Arial"/>
          <w:color w:val="000000" w:themeColor="text1"/>
          <w:sz w:val="22"/>
          <w:szCs w:val="22"/>
        </w:rPr>
        <w:t>to argue that ‘on average’ going to university is a ‘very good deal’ for students (</w:t>
      </w:r>
      <w:proofErr w:type="spellStart"/>
      <w:r w:rsidR="00546720">
        <w:rPr>
          <w:rFonts w:ascii="Verdana" w:hAnsi="Verdana" w:cs="Arial"/>
          <w:color w:val="000000" w:themeColor="text1"/>
          <w:sz w:val="22"/>
          <w:szCs w:val="22"/>
        </w:rPr>
        <w:t>Willetts</w:t>
      </w:r>
      <w:proofErr w:type="spellEnd"/>
      <w:r w:rsidR="00546720">
        <w:rPr>
          <w:rFonts w:ascii="Verdana" w:hAnsi="Verdana" w:cs="Arial"/>
          <w:color w:val="000000" w:themeColor="text1"/>
          <w:sz w:val="22"/>
          <w:szCs w:val="22"/>
        </w:rPr>
        <w:t>, 2012)</w:t>
      </w:r>
      <w:r w:rsidR="002E4F73">
        <w:rPr>
          <w:rFonts w:ascii="Verdana" w:hAnsi="Verdana" w:cs="Arial"/>
          <w:color w:val="000000" w:themeColor="text1"/>
          <w:sz w:val="22"/>
          <w:szCs w:val="22"/>
        </w:rPr>
        <w:t>.</w:t>
      </w:r>
    </w:p>
    <w:p w:rsidR="00F414CB" w:rsidRDefault="007E2C0B"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2E4F73">
        <w:rPr>
          <w:rFonts w:ascii="Verdana" w:hAnsi="Verdana"/>
        </w:rPr>
        <w:t xml:space="preserve">The </w:t>
      </w:r>
      <w:r w:rsidR="0012289F" w:rsidRPr="0012289F">
        <w:rPr>
          <w:rFonts w:ascii="Verdana" w:hAnsi="Verdana"/>
        </w:rPr>
        <w:t>Department for Business, Innovation and Skills</w:t>
      </w:r>
      <w:r w:rsidR="00F414CB">
        <w:rPr>
          <w:rFonts w:ascii="Verdana" w:hAnsi="Verdana"/>
        </w:rPr>
        <w:t xml:space="preserve"> provided the following explanation of the source of these figures.</w:t>
      </w:r>
    </w:p>
    <w:p w:rsidR="00F414CB" w:rsidRDefault="0012289F" w:rsidP="0012289F">
      <w:pPr>
        <w:pStyle w:val="ListParagraph"/>
        <w:autoSpaceDE w:val="0"/>
        <w:autoSpaceDN w:val="0"/>
        <w:adjustRightInd w:val="0"/>
        <w:spacing w:after="240" w:line="300" w:lineRule="atLeast"/>
        <w:ind w:left="567"/>
        <w:contextualSpacing w:val="0"/>
        <w:rPr>
          <w:rFonts w:ascii="Verdana" w:hAnsi="Verdana"/>
        </w:rPr>
      </w:pPr>
      <w:r>
        <w:rPr>
          <w:rFonts w:ascii="Verdana" w:hAnsi="Verdana"/>
        </w:rPr>
        <w:t>“</w:t>
      </w:r>
      <w:r w:rsidRPr="0012289F">
        <w:rPr>
          <w:rFonts w:ascii="Verdana" w:hAnsi="Verdana"/>
        </w:rPr>
        <w:t xml:space="preserve">The annual earnings figures quoted by Mr </w:t>
      </w:r>
      <w:proofErr w:type="spellStart"/>
      <w:r w:rsidRPr="0012289F">
        <w:rPr>
          <w:rFonts w:ascii="Verdana" w:hAnsi="Verdana"/>
        </w:rPr>
        <w:t>Willetts</w:t>
      </w:r>
      <w:proofErr w:type="spellEnd"/>
      <w:r w:rsidRPr="0012289F">
        <w:rPr>
          <w:rFonts w:ascii="Verdana" w:hAnsi="Verdana"/>
        </w:rPr>
        <w:t xml:space="preserve"> on Radio 4 </w:t>
      </w:r>
      <w:r>
        <w:rPr>
          <w:rFonts w:ascii="Verdana" w:hAnsi="Verdana"/>
        </w:rPr>
        <w:t>–</w:t>
      </w:r>
      <w:r w:rsidRPr="0012289F">
        <w:rPr>
          <w:rFonts w:ascii="Verdana" w:hAnsi="Verdana"/>
        </w:rPr>
        <w:t xml:space="preserve"> i</w:t>
      </w:r>
      <w:r>
        <w:rPr>
          <w:rFonts w:ascii="Verdana" w:hAnsi="Verdana"/>
        </w:rPr>
        <w:t>.</w:t>
      </w:r>
      <w:r w:rsidRPr="0012289F">
        <w:rPr>
          <w:rFonts w:ascii="Verdana" w:hAnsi="Verdana"/>
        </w:rPr>
        <w:t>e. of £31,000 for graduates and £19,000 for non-graduates - are 'raw' average earnings figures, and will have come from the Labour Force Survey.  Whilst we cannot identify precisely how they were defined (</w:t>
      </w:r>
      <w:proofErr w:type="spellStart"/>
      <w:r w:rsidRPr="0012289F">
        <w:rPr>
          <w:rFonts w:ascii="Verdana" w:hAnsi="Verdana"/>
        </w:rPr>
        <w:t>eg</w:t>
      </w:r>
      <w:proofErr w:type="spellEnd"/>
      <w:r w:rsidRPr="0012289F">
        <w:rPr>
          <w:rFonts w:ascii="Verdana" w:hAnsi="Verdana"/>
        </w:rPr>
        <w:t>. which quarter of the LFS, UK or England, mean or median) they are almost certainly average earnings for all of working age from a fairly recent quarter of the LFS for those with a highest qualification at Level 4 or above (L4+) and for those with a highest qualification at Level 3 (L3) or below.  For example, we know from internal analysis that as at Quarter 2 (Apr-Jun) 2011, for employees in England, full and part-time combined, the mean earnings were £32,500 for those with L4+, and £18,500 for those with L3 and below.</w:t>
      </w:r>
      <w:r>
        <w:rPr>
          <w:rFonts w:ascii="Verdana" w:hAnsi="Verdana"/>
        </w:rPr>
        <w:t>”</w:t>
      </w:r>
    </w:p>
    <w:p w:rsidR="002E4F73" w:rsidRDefault="007027BA" w:rsidP="002E4F7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2E4F73">
        <w:rPr>
          <w:rFonts w:ascii="Verdana" w:hAnsi="Verdana"/>
        </w:rPr>
        <w:t>Under ‘</w:t>
      </w:r>
      <w:r w:rsidR="002E4F73" w:rsidRPr="007E2C0B">
        <w:rPr>
          <w:rFonts w:ascii="Verdana" w:hAnsi="Verdana"/>
        </w:rPr>
        <w:t xml:space="preserve">Why go to university or college? </w:t>
      </w:r>
      <w:r w:rsidR="002E4F73">
        <w:rPr>
          <w:rFonts w:ascii="Verdana" w:hAnsi="Verdana"/>
        </w:rPr>
        <w:t>‘ Direct Gov states,</w:t>
      </w:r>
    </w:p>
    <w:p w:rsidR="007E2C0B" w:rsidRDefault="007E2C0B" w:rsidP="007E2C0B">
      <w:pPr>
        <w:pStyle w:val="ListParagraph"/>
        <w:autoSpaceDE w:val="0"/>
        <w:autoSpaceDN w:val="0"/>
        <w:adjustRightInd w:val="0"/>
        <w:spacing w:after="240" w:line="300" w:lineRule="atLeast"/>
        <w:ind w:left="567"/>
        <w:contextualSpacing w:val="0"/>
        <w:rPr>
          <w:rFonts w:ascii="Verdana" w:hAnsi="Verdana"/>
        </w:rPr>
      </w:pPr>
      <w:r>
        <w:rPr>
          <w:rFonts w:ascii="Verdana" w:hAnsi="Verdana"/>
        </w:rPr>
        <w:t>“</w:t>
      </w:r>
      <w:r w:rsidRPr="007E2C0B">
        <w:rPr>
          <w:rFonts w:ascii="Verdana" w:hAnsi="Verdana"/>
        </w:rPr>
        <w:t xml:space="preserve">And on average, graduates tend to earn substantially more than people with </w:t>
      </w:r>
      <w:proofErr w:type="gramStart"/>
      <w:r w:rsidRPr="007E2C0B">
        <w:rPr>
          <w:rFonts w:ascii="Verdana" w:hAnsi="Verdana"/>
        </w:rPr>
        <w:t>A</w:t>
      </w:r>
      <w:proofErr w:type="gramEnd"/>
      <w:r w:rsidRPr="007E2C0B">
        <w:rPr>
          <w:rFonts w:ascii="Verdana" w:hAnsi="Verdana"/>
        </w:rPr>
        <w:t xml:space="preserve"> levels who did not go to university. Projected over a working lifetime, the difference is something like £100,000 before tax at today’s valuation.</w:t>
      </w:r>
      <w:r>
        <w:rPr>
          <w:rFonts w:ascii="Verdana" w:hAnsi="Verdana"/>
        </w:rPr>
        <w:t>”</w:t>
      </w:r>
    </w:p>
    <w:p w:rsidR="007027BA" w:rsidRDefault="007E2C0B" w:rsidP="007027B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7027BA">
        <w:rPr>
          <w:rFonts w:ascii="Verdana" w:hAnsi="Verdana"/>
        </w:rPr>
        <w:t xml:space="preserve">The </w:t>
      </w:r>
      <w:r w:rsidR="007027BA" w:rsidRPr="0012289F">
        <w:rPr>
          <w:rFonts w:ascii="Verdana" w:hAnsi="Verdana"/>
        </w:rPr>
        <w:t>Department for Business, Innovation and Skills</w:t>
      </w:r>
      <w:r w:rsidR="007027BA">
        <w:rPr>
          <w:rFonts w:ascii="Verdana" w:hAnsi="Verdana"/>
        </w:rPr>
        <w:t xml:space="preserve"> provided the following explanation of the source of this figure.</w:t>
      </w:r>
    </w:p>
    <w:p w:rsidR="007027BA" w:rsidRPr="007027BA" w:rsidRDefault="007027BA" w:rsidP="00C515E8">
      <w:pPr>
        <w:autoSpaceDE w:val="0"/>
        <w:autoSpaceDN w:val="0"/>
        <w:adjustRightInd w:val="0"/>
        <w:spacing w:after="240" w:line="300" w:lineRule="atLeast"/>
        <w:ind w:left="567"/>
        <w:rPr>
          <w:rFonts w:ascii="Verdana" w:hAnsi="Verdana"/>
        </w:rPr>
      </w:pPr>
      <w:r w:rsidRPr="007027BA">
        <w:rPr>
          <w:rFonts w:ascii="Verdana" w:hAnsi="Verdana"/>
        </w:rPr>
        <w:t xml:space="preserve">“The lifetime earnings advantage of around £100,000 for graduates over non -graduates (often referred to as the 'graduate premium') comes from </w:t>
      </w:r>
      <w:r w:rsidRPr="007027BA">
        <w:rPr>
          <w:rFonts w:ascii="Verdana" w:hAnsi="Verdana"/>
        </w:rPr>
        <w:lastRenderedPageBreak/>
        <w:t xml:space="preserve">various studies over recent years.  All of these have used Labour Force Survey Data (albeit for different time periods) and have used similar - though not identical - methods. </w:t>
      </w:r>
    </w:p>
    <w:p w:rsidR="007027BA" w:rsidRPr="007027BA" w:rsidRDefault="007027BA" w:rsidP="00C515E8">
      <w:pPr>
        <w:autoSpaceDE w:val="0"/>
        <w:autoSpaceDN w:val="0"/>
        <w:adjustRightInd w:val="0"/>
        <w:spacing w:after="240" w:line="300" w:lineRule="atLeast"/>
        <w:ind w:left="567"/>
        <w:rPr>
          <w:rFonts w:ascii="Verdana" w:hAnsi="Verdana"/>
        </w:rPr>
      </w:pPr>
      <w:r w:rsidRPr="007027BA">
        <w:rPr>
          <w:rFonts w:ascii="Verdana" w:hAnsi="Verdana"/>
        </w:rPr>
        <w:t>Basically they estimate the returns to having a first degree as opposed to stopping your education with 2 or more A-levels (i</w:t>
      </w:r>
      <w:r w:rsidR="00C515E8">
        <w:rPr>
          <w:rFonts w:ascii="Verdana" w:hAnsi="Verdana"/>
        </w:rPr>
        <w:t>.</w:t>
      </w:r>
      <w:r w:rsidRPr="007027BA">
        <w:rPr>
          <w:rFonts w:ascii="Verdana" w:hAnsi="Verdana"/>
        </w:rPr>
        <w:t xml:space="preserve">e. the comparison group are those who, in principle, could have gone to university, but didn't).  These returns are then used to estimate the lifetime earnings (over the working life) in net present value terms for those with a degree and for those with 2+ A-levels as their highest qualifications. The "around £100,000" is the difference.  So it estimates the earnings advantage that arises due to the qualification (in this case, a degree).  It is an average for all graduates, and most of the studies actually calculate it net of tax.  Several of the studies also attempt to account for some of the costs - principally foregone earnings - to some extent. </w:t>
      </w:r>
    </w:p>
    <w:p w:rsidR="007027BA" w:rsidRDefault="007027BA" w:rsidP="00C515E8">
      <w:pPr>
        <w:autoSpaceDE w:val="0"/>
        <w:autoSpaceDN w:val="0"/>
        <w:adjustRightInd w:val="0"/>
        <w:spacing w:after="240" w:line="300" w:lineRule="atLeast"/>
        <w:ind w:left="567"/>
        <w:rPr>
          <w:rFonts w:ascii="Verdana" w:hAnsi="Verdana"/>
        </w:rPr>
      </w:pPr>
      <w:r w:rsidRPr="007027BA">
        <w:rPr>
          <w:rFonts w:ascii="Verdana" w:hAnsi="Verdana"/>
        </w:rPr>
        <w:t>Inevitably each study provides a different estimate, which is why we don't generally cite a single figure, but most of them have consistently found a graduate premium of over £100,000.  The most recent BIS report on this was that published in the BIS research series in June 2011</w:t>
      </w:r>
      <w:r>
        <w:rPr>
          <w:rFonts w:ascii="Verdana" w:hAnsi="Verdana"/>
        </w:rPr>
        <w:t>.”</w:t>
      </w:r>
      <w:r w:rsidR="00C515E8">
        <w:rPr>
          <w:rFonts w:ascii="Verdana" w:hAnsi="Verdana"/>
        </w:rPr>
        <w:t xml:space="preserve"> (This BIS research is referenced at Colon G and </w:t>
      </w:r>
      <w:proofErr w:type="spellStart"/>
      <w:r w:rsidR="00C515E8">
        <w:rPr>
          <w:rFonts w:ascii="Verdana" w:hAnsi="Verdana"/>
        </w:rPr>
        <w:t>Patrignani</w:t>
      </w:r>
      <w:proofErr w:type="spellEnd"/>
      <w:r w:rsidR="00C515E8">
        <w:rPr>
          <w:rFonts w:ascii="Verdana" w:hAnsi="Verdana"/>
        </w:rPr>
        <w:t xml:space="preserve"> P, 2011.)</w:t>
      </w:r>
    </w:p>
    <w:p w:rsidR="00FA6940" w:rsidRPr="00FA6940" w:rsidRDefault="00FA6940" w:rsidP="00FA6940">
      <w:pPr>
        <w:autoSpaceDE w:val="0"/>
        <w:autoSpaceDN w:val="0"/>
        <w:adjustRightInd w:val="0"/>
        <w:spacing w:after="240" w:line="300" w:lineRule="atLeast"/>
        <w:rPr>
          <w:rFonts w:ascii="Verdana" w:hAnsi="Verdana"/>
          <w:u w:val="single"/>
        </w:rPr>
      </w:pPr>
      <w:r w:rsidRPr="00FA6940">
        <w:rPr>
          <w:rFonts w:ascii="Verdana" w:hAnsi="Verdana"/>
          <w:u w:val="single"/>
        </w:rPr>
        <w:t xml:space="preserve">Non-qualifiers </w:t>
      </w:r>
    </w:p>
    <w:p w:rsidR="00992938" w:rsidRDefault="00FA6940"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3A3816" w:rsidRPr="00992938">
        <w:rPr>
          <w:rFonts w:ascii="Verdana" w:hAnsi="Verdana"/>
        </w:rPr>
        <w:t>1</w:t>
      </w:r>
      <w:r w:rsidR="00CD6A2E" w:rsidRPr="00992938">
        <w:rPr>
          <w:rFonts w:ascii="Verdana" w:hAnsi="Verdana"/>
        </w:rPr>
        <w:t>7.4</w:t>
      </w:r>
      <w:r w:rsidR="00175739" w:rsidRPr="00992938">
        <w:rPr>
          <w:rFonts w:ascii="Verdana" w:hAnsi="Verdana"/>
        </w:rPr>
        <w:t xml:space="preserve"> per cent of </w:t>
      </w:r>
      <w:r w:rsidR="003A3816" w:rsidRPr="00992938">
        <w:rPr>
          <w:rFonts w:ascii="Verdana" w:hAnsi="Verdana"/>
        </w:rPr>
        <w:t xml:space="preserve">home </w:t>
      </w:r>
      <w:r w:rsidR="00175739" w:rsidRPr="00992938">
        <w:rPr>
          <w:rFonts w:ascii="Verdana" w:hAnsi="Verdana"/>
        </w:rPr>
        <w:t xml:space="preserve">full-time </w:t>
      </w:r>
      <w:r w:rsidR="003A3816" w:rsidRPr="00992938">
        <w:rPr>
          <w:rFonts w:ascii="Verdana" w:hAnsi="Verdana"/>
        </w:rPr>
        <w:t xml:space="preserve">first degree </w:t>
      </w:r>
      <w:r w:rsidR="00BF21CC" w:rsidRPr="00992938">
        <w:rPr>
          <w:rFonts w:ascii="Verdana" w:hAnsi="Verdana"/>
        </w:rPr>
        <w:t xml:space="preserve">2009-10 </w:t>
      </w:r>
      <w:r w:rsidR="00175739" w:rsidRPr="00992938">
        <w:rPr>
          <w:rFonts w:ascii="Verdana" w:hAnsi="Verdana"/>
        </w:rPr>
        <w:t>entrants</w:t>
      </w:r>
      <w:r w:rsidR="00A2412D" w:rsidRPr="00992938">
        <w:rPr>
          <w:rFonts w:ascii="Verdana" w:hAnsi="Verdana"/>
        </w:rPr>
        <w:t xml:space="preserve"> </w:t>
      </w:r>
      <w:r w:rsidR="00CD6A2E" w:rsidRPr="00992938">
        <w:rPr>
          <w:rFonts w:ascii="Verdana" w:hAnsi="Verdana"/>
        </w:rPr>
        <w:t xml:space="preserve">to UK higher education institutions </w:t>
      </w:r>
      <w:r w:rsidR="00175739" w:rsidRPr="00992938">
        <w:rPr>
          <w:rFonts w:ascii="Verdana" w:hAnsi="Verdana"/>
        </w:rPr>
        <w:t xml:space="preserve">are projected never to </w:t>
      </w:r>
      <w:r w:rsidR="00CD6A2E" w:rsidRPr="00992938">
        <w:rPr>
          <w:rFonts w:ascii="Verdana" w:hAnsi="Verdana"/>
        </w:rPr>
        <w:t xml:space="preserve">graduate, and 14.0 per cent are projected to never gain </w:t>
      </w:r>
      <w:r w:rsidR="00175739" w:rsidRPr="00992938">
        <w:rPr>
          <w:rFonts w:ascii="Verdana" w:hAnsi="Verdana"/>
        </w:rPr>
        <w:t>any HE qualification (</w:t>
      </w:r>
      <w:r w:rsidR="003A3816" w:rsidRPr="00992938">
        <w:rPr>
          <w:rFonts w:ascii="Verdana" w:hAnsi="Verdana"/>
        </w:rPr>
        <w:t>HESA, 2012)</w:t>
      </w:r>
      <w:r w:rsidR="00CD6A2E" w:rsidRPr="00992938">
        <w:rPr>
          <w:rFonts w:ascii="Verdana" w:hAnsi="Verdana"/>
        </w:rPr>
        <w:t xml:space="preserve">. There are no equivalent figures for part-time entrants, but </w:t>
      </w:r>
      <w:r w:rsidR="00871E76" w:rsidRPr="00992938">
        <w:rPr>
          <w:rFonts w:ascii="Verdana" w:hAnsi="Verdana"/>
        </w:rPr>
        <w:t xml:space="preserve">74 per cent of home part-time first degree 1996-97 entrants to UK higher education institutions </w:t>
      </w:r>
      <w:r w:rsidR="00CD6A2E" w:rsidRPr="00992938">
        <w:rPr>
          <w:rFonts w:ascii="Verdana" w:hAnsi="Verdana"/>
        </w:rPr>
        <w:t>still ha</w:t>
      </w:r>
      <w:r w:rsidR="00871E76" w:rsidRPr="00992938">
        <w:rPr>
          <w:rFonts w:ascii="Verdana" w:hAnsi="Verdana"/>
        </w:rPr>
        <w:t>d not graduated after 11 years</w:t>
      </w:r>
      <w:r w:rsidR="00CD6A2E" w:rsidRPr="00992938">
        <w:rPr>
          <w:rFonts w:ascii="Verdana" w:hAnsi="Verdana"/>
        </w:rPr>
        <w:t xml:space="preserve"> (HEFCE, 2</w:t>
      </w:r>
      <w:r w:rsidR="00871E76" w:rsidRPr="00992938">
        <w:rPr>
          <w:rFonts w:ascii="Verdana" w:hAnsi="Verdana"/>
        </w:rPr>
        <w:t>009).</w:t>
      </w:r>
    </w:p>
    <w:p w:rsidR="00992938" w:rsidRDefault="00992938"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92938">
        <w:rPr>
          <w:rFonts w:ascii="Verdana" w:hAnsi="Verdana"/>
        </w:rPr>
        <w:t xml:space="preserve">  </w:t>
      </w:r>
      <w:r w:rsidR="00871E76" w:rsidRPr="00992938">
        <w:rPr>
          <w:rFonts w:ascii="Verdana" w:hAnsi="Verdana"/>
        </w:rPr>
        <w:t>Non-completion, therefore, needs to be factored in when weighing the pros and cons</w:t>
      </w:r>
      <w:r w:rsidR="00CF6AA1" w:rsidRPr="00992938">
        <w:rPr>
          <w:rFonts w:ascii="Verdana" w:hAnsi="Verdana"/>
        </w:rPr>
        <w:t xml:space="preserve"> of going to university.  </w:t>
      </w:r>
      <w:r w:rsidR="0081451F" w:rsidRPr="00992938">
        <w:rPr>
          <w:rFonts w:ascii="Verdana" w:hAnsi="Verdana"/>
        </w:rPr>
        <w:t>However</w:t>
      </w:r>
      <w:r w:rsidR="00CA7364">
        <w:rPr>
          <w:rFonts w:ascii="Verdana" w:hAnsi="Verdana"/>
        </w:rPr>
        <w:t xml:space="preserve"> </w:t>
      </w:r>
      <w:r w:rsidR="00467587" w:rsidRPr="00992938">
        <w:rPr>
          <w:rFonts w:ascii="Verdana" w:hAnsi="Verdana"/>
        </w:rPr>
        <w:t xml:space="preserve">getting former students to respond to </w:t>
      </w:r>
      <w:r w:rsidR="00AB1005" w:rsidRPr="00992938">
        <w:rPr>
          <w:rFonts w:ascii="Verdana" w:hAnsi="Verdana"/>
        </w:rPr>
        <w:t>questionnaires</w:t>
      </w:r>
      <w:r w:rsidR="00467587" w:rsidRPr="00992938">
        <w:rPr>
          <w:rFonts w:ascii="Verdana" w:hAnsi="Verdana"/>
        </w:rPr>
        <w:t xml:space="preserve"> is </w:t>
      </w:r>
      <w:r w:rsidR="00AB1005" w:rsidRPr="00992938">
        <w:rPr>
          <w:rFonts w:ascii="Verdana" w:hAnsi="Verdana"/>
        </w:rPr>
        <w:t>not easy</w:t>
      </w:r>
      <w:r w:rsidR="00467587" w:rsidRPr="00992938">
        <w:rPr>
          <w:rFonts w:ascii="Verdana" w:hAnsi="Verdana"/>
        </w:rPr>
        <w:t>, and when they have not qualified it is even more difficult.</w:t>
      </w:r>
      <w:r w:rsidR="001B7ACE" w:rsidRPr="00992938">
        <w:rPr>
          <w:rFonts w:ascii="Verdana" w:hAnsi="Verdana"/>
        </w:rPr>
        <w:t xml:space="preserve"> A study </w:t>
      </w:r>
      <w:r w:rsidR="00CF0F6C" w:rsidRPr="00992938">
        <w:rPr>
          <w:rFonts w:ascii="Verdana" w:hAnsi="Verdana"/>
        </w:rPr>
        <w:t xml:space="preserve">seeking to record </w:t>
      </w:r>
      <w:r w:rsidR="00467587" w:rsidRPr="00992938">
        <w:rPr>
          <w:rFonts w:ascii="Verdana" w:hAnsi="Verdana"/>
        </w:rPr>
        <w:t xml:space="preserve">the experiences </w:t>
      </w:r>
      <w:r w:rsidR="00CA7364">
        <w:rPr>
          <w:rFonts w:ascii="Verdana" w:hAnsi="Verdana"/>
        </w:rPr>
        <w:t xml:space="preserve">of ‘drop outs’ </w:t>
      </w:r>
      <w:r w:rsidR="00467587" w:rsidRPr="00992938">
        <w:rPr>
          <w:rFonts w:ascii="Verdana" w:hAnsi="Verdana"/>
        </w:rPr>
        <w:t>after leaving</w:t>
      </w:r>
      <w:r w:rsidR="00DC72BC" w:rsidRPr="00992938">
        <w:rPr>
          <w:rFonts w:ascii="Verdana" w:hAnsi="Verdana"/>
        </w:rPr>
        <w:t>,</w:t>
      </w:r>
      <w:r w:rsidR="00467587" w:rsidRPr="00992938">
        <w:rPr>
          <w:rFonts w:ascii="Verdana" w:hAnsi="Verdana"/>
        </w:rPr>
        <w:t xml:space="preserve"> only achieved a 10 per cent response rate</w:t>
      </w:r>
      <w:r w:rsidR="00CA7364">
        <w:rPr>
          <w:rFonts w:ascii="Verdana" w:hAnsi="Verdana"/>
        </w:rPr>
        <w:t xml:space="preserve"> (Davies et al, 2003)</w:t>
      </w:r>
      <w:r w:rsidR="0081451F" w:rsidRPr="00992938">
        <w:rPr>
          <w:rFonts w:ascii="Verdana" w:hAnsi="Verdana"/>
        </w:rPr>
        <w:t>.</w:t>
      </w:r>
      <w:r w:rsidR="001B7ACE" w:rsidRPr="00992938">
        <w:rPr>
          <w:rFonts w:ascii="Verdana" w:hAnsi="Verdana"/>
        </w:rPr>
        <w:t xml:space="preserve"> </w:t>
      </w:r>
      <w:r w:rsidR="00467587" w:rsidRPr="00992938">
        <w:rPr>
          <w:rFonts w:ascii="Verdana" w:hAnsi="Verdana"/>
        </w:rPr>
        <w:t>It seems likely that the responders would, on average, have had better outcomes than the non-responders, but the</w:t>
      </w:r>
      <w:r w:rsidR="00CF0F6C" w:rsidRPr="00992938">
        <w:rPr>
          <w:rFonts w:ascii="Verdana" w:hAnsi="Verdana"/>
        </w:rPr>
        <w:t>y</w:t>
      </w:r>
      <w:r w:rsidR="00467587" w:rsidRPr="00992938">
        <w:rPr>
          <w:rFonts w:ascii="Verdana" w:hAnsi="Verdana"/>
        </w:rPr>
        <w:t xml:space="preserve"> were </w:t>
      </w:r>
      <w:r w:rsidR="00CF0F6C" w:rsidRPr="00992938">
        <w:rPr>
          <w:rFonts w:ascii="Verdana" w:hAnsi="Verdana"/>
        </w:rPr>
        <w:t xml:space="preserve">still much </w:t>
      </w:r>
      <w:r w:rsidR="00467587" w:rsidRPr="00992938">
        <w:rPr>
          <w:rFonts w:ascii="Verdana" w:hAnsi="Verdana"/>
        </w:rPr>
        <w:t xml:space="preserve">less successful </w:t>
      </w:r>
      <w:r w:rsidR="00CF0F6C" w:rsidRPr="00992938">
        <w:rPr>
          <w:rFonts w:ascii="Verdana" w:hAnsi="Verdana"/>
        </w:rPr>
        <w:t xml:space="preserve">on average </w:t>
      </w:r>
      <w:r w:rsidR="00467587" w:rsidRPr="00992938">
        <w:rPr>
          <w:rFonts w:ascii="Verdana" w:hAnsi="Verdana"/>
        </w:rPr>
        <w:t xml:space="preserve">than those who went on to graduate. Follow up telephone interviews </w:t>
      </w:r>
      <w:r w:rsidR="00DC72BC" w:rsidRPr="00992938">
        <w:rPr>
          <w:rFonts w:ascii="Verdana" w:hAnsi="Verdana"/>
        </w:rPr>
        <w:t xml:space="preserve">provided illustrative </w:t>
      </w:r>
      <w:r w:rsidR="00A06B1D" w:rsidRPr="00992938">
        <w:rPr>
          <w:rFonts w:ascii="Verdana" w:hAnsi="Verdana"/>
        </w:rPr>
        <w:t xml:space="preserve">details behind both successful and unsuccessfully outcomes, with some </w:t>
      </w:r>
      <w:r w:rsidR="00CF0F6C" w:rsidRPr="00992938">
        <w:rPr>
          <w:rFonts w:ascii="Verdana" w:hAnsi="Verdana"/>
        </w:rPr>
        <w:t xml:space="preserve">early </w:t>
      </w:r>
      <w:r w:rsidR="00A06B1D" w:rsidRPr="00992938">
        <w:rPr>
          <w:rFonts w:ascii="Verdana" w:hAnsi="Verdana"/>
        </w:rPr>
        <w:t>leavers having no regrets</w:t>
      </w:r>
      <w:r w:rsidR="00CF0F6C" w:rsidRPr="00992938">
        <w:rPr>
          <w:rFonts w:ascii="Verdana" w:hAnsi="Verdana"/>
        </w:rPr>
        <w:t>,</w:t>
      </w:r>
      <w:r w:rsidR="00A06B1D" w:rsidRPr="00992938">
        <w:rPr>
          <w:rFonts w:ascii="Verdana" w:hAnsi="Verdana"/>
        </w:rPr>
        <w:t xml:space="preserve"> while others thought that dropping out had been </w:t>
      </w:r>
      <w:r w:rsidR="006067AC">
        <w:rPr>
          <w:rFonts w:ascii="Verdana" w:hAnsi="Verdana"/>
        </w:rPr>
        <w:t>‘</w:t>
      </w:r>
      <w:r w:rsidR="00A06B1D" w:rsidRPr="00992938">
        <w:rPr>
          <w:rFonts w:ascii="Verdana" w:hAnsi="Verdana"/>
        </w:rPr>
        <w:t>like a big black mark</w:t>
      </w:r>
      <w:r w:rsidR="006067AC">
        <w:rPr>
          <w:rFonts w:ascii="Verdana" w:hAnsi="Verdana"/>
        </w:rPr>
        <w:t>’</w:t>
      </w:r>
      <w:r w:rsidR="00A06B1D" w:rsidRPr="00992938">
        <w:rPr>
          <w:rFonts w:ascii="Verdana" w:hAnsi="Verdana"/>
        </w:rPr>
        <w:t xml:space="preserve"> over them</w:t>
      </w:r>
      <w:r w:rsidR="00CF0F6C" w:rsidRPr="00992938">
        <w:rPr>
          <w:rFonts w:ascii="Verdana" w:hAnsi="Verdana"/>
        </w:rPr>
        <w:t xml:space="preserve">. </w:t>
      </w:r>
    </w:p>
    <w:p w:rsidR="00992938" w:rsidRDefault="00992938"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92938">
        <w:rPr>
          <w:rFonts w:ascii="Verdana" w:hAnsi="Verdana"/>
        </w:rPr>
        <w:t xml:space="preserve"> </w:t>
      </w:r>
      <w:r w:rsidR="00A06B1D" w:rsidRPr="00992938">
        <w:rPr>
          <w:rFonts w:ascii="Verdana" w:hAnsi="Verdana"/>
        </w:rPr>
        <w:t>Some general longitudinal sources enable non-</w:t>
      </w:r>
      <w:r w:rsidR="00AB1005" w:rsidRPr="00992938">
        <w:rPr>
          <w:rFonts w:ascii="Verdana" w:hAnsi="Verdana"/>
        </w:rPr>
        <w:t>completers</w:t>
      </w:r>
      <w:r w:rsidR="00A06B1D" w:rsidRPr="00992938">
        <w:rPr>
          <w:rFonts w:ascii="Verdana" w:hAnsi="Verdana"/>
        </w:rPr>
        <w:t xml:space="preserve"> to be identified, and </w:t>
      </w:r>
      <w:r w:rsidR="00BF1CEA" w:rsidRPr="00992938">
        <w:rPr>
          <w:rFonts w:ascii="Verdana" w:hAnsi="Verdana"/>
        </w:rPr>
        <w:t xml:space="preserve">the National Child Development Study (NCDS) of children born in 1958 has been used to estimate the returns </w:t>
      </w:r>
      <w:r w:rsidR="00393673" w:rsidRPr="00992938">
        <w:rPr>
          <w:rFonts w:ascii="Verdana" w:hAnsi="Verdana"/>
        </w:rPr>
        <w:t>on earnings at aged 33 (Blundell, et al, 2000)</w:t>
      </w:r>
      <w:r w:rsidR="00BF1CEA" w:rsidRPr="00992938">
        <w:rPr>
          <w:rFonts w:ascii="Verdana" w:hAnsi="Verdana"/>
        </w:rPr>
        <w:t xml:space="preserve">. After taking into account a wide range of factors, including family background </w:t>
      </w:r>
      <w:r w:rsidR="00BF1CEA" w:rsidRPr="00992938">
        <w:rPr>
          <w:rFonts w:ascii="Verdana" w:hAnsi="Verdana"/>
        </w:rPr>
        <w:lastRenderedPageBreak/>
        <w:t xml:space="preserve">and A-level grades, it was found that men who dropped out had average earnings 12.9 per cent lower than those </w:t>
      </w:r>
      <w:r w:rsidR="00393673" w:rsidRPr="00992938">
        <w:rPr>
          <w:rFonts w:ascii="Verdana" w:hAnsi="Verdana"/>
        </w:rPr>
        <w:t>with at least one A-level who did not go into higher education. The numbers identified were small, and the uncertainty correspondingly large (standard deviation 5.0 per cent). For women, there was no significant difference between the earnings of those who left early and the non-entrants.</w:t>
      </w:r>
    </w:p>
    <w:p w:rsidR="00992938" w:rsidRDefault="00992938"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92938">
        <w:rPr>
          <w:rFonts w:ascii="Verdana" w:hAnsi="Verdana"/>
        </w:rPr>
        <w:t xml:space="preserve"> </w:t>
      </w:r>
      <w:r w:rsidR="00393673" w:rsidRPr="00992938">
        <w:rPr>
          <w:rFonts w:ascii="Verdana" w:hAnsi="Verdana"/>
        </w:rPr>
        <w:t xml:space="preserve">Thus our knowledge of the labour market outcomes of those who do not complete is very limited, but that </w:t>
      </w:r>
      <w:r w:rsidR="00AB1005" w:rsidRPr="00992938">
        <w:rPr>
          <w:rFonts w:ascii="Verdana" w:hAnsi="Verdana"/>
        </w:rPr>
        <w:t>should not mean that we give the impression that non-qualifiers do not exist</w:t>
      </w:r>
      <w:r w:rsidR="00AC3B63" w:rsidRPr="00992938">
        <w:rPr>
          <w:rFonts w:ascii="Verdana" w:hAnsi="Verdana"/>
        </w:rPr>
        <w:t xml:space="preserve">. The move from calculating returns on ‘years of education’ to returns on specific qualifications is an improvement, but by effectively ignoring non-completion it does </w:t>
      </w:r>
      <w:r w:rsidR="00AC1667" w:rsidRPr="00992938">
        <w:rPr>
          <w:rFonts w:ascii="Verdana" w:hAnsi="Verdana"/>
        </w:rPr>
        <w:t>bias the returns to higher education upwards, and this should be more widely acknowledged.</w:t>
      </w:r>
      <w:r w:rsidR="00903E9C" w:rsidRPr="00992938">
        <w:rPr>
          <w:rFonts w:ascii="Verdana" w:hAnsi="Verdana"/>
        </w:rPr>
        <w:t xml:space="preserve"> In the longer term it may be possible a fuller picture of the outcomes after dropping out if the data protection issues in using information on loan repayments can be resolved. </w:t>
      </w:r>
    </w:p>
    <w:p w:rsidR="00992938" w:rsidRPr="00992938" w:rsidRDefault="00FC11AC" w:rsidP="00992938">
      <w:pPr>
        <w:pStyle w:val="ListParagraph"/>
        <w:autoSpaceDE w:val="0"/>
        <w:autoSpaceDN w:val="0"/>
        <w:adjustRightInd w:val="0"/>
        <w:spacing w:after="240" w:line="300" w:lineRule="atLeast"/>
        <w:ind w:left="0"/>
        <w:contextualSpacing w:val="0"/>
        <w:rPr>
          <w:rFonts w:ascii="Verdana" w:hAnsi="Verdana"/>
          <w:b/>
        </w:rPr>
      </w:pPr>
      <w:r w:rsidRPr="00992938">
        <w:rPr>
          <w:rFonts w:ascii="Verdana" w:hAnsi="Verdana"/>
          <w:b/>
        </w:rPr>
        <w:t xml:space="preserve">(2) Qualification and grade profiles of students with two or more A-levels or their equivalents </w:t>
      </w:r>
    </w:p>
    <w:p w:rsidR="00992938" w:rsidRDefault="00992938" w:rsidP="005741C9">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92938">
        <w:rPr>
          <w:rFonts w:ascii="Verdana" w:hAnsi="Verdana"/>
        </w:rPr>
        <w:t xml:space="preserve"> </w:t>
      </w:r>
      <w:r w:rsidR="00FC11AC" w:rsidRPr="00992938">
        <w:rPr>
          <w:rFonts w:ascii="Verdana" w:hAnsi="Verdana"/>
        </w:rPr>
        <w:t>The data used to create figures 1</w:t>
      </w:r>
      <w:r w:rsidR="00CA7364">
        <w:rPr>
          <w:rFonts w:ascii="Verdana" w:hAnsi="Verdana"/>
        </w:rPr>
        <w:t xml:space="preserve"> and</w:t>
      </w:r>
      <w:r w:rsidR="00FC11AC" w:rsidRPr="00992938">
        <w:rPr>
          <w:rFonts w:ascii="Verdana" w:hAnsi="Verdana"/>
        </w:rPr>
        <w:t xml:space="preserve"> 2 </w:t>
      </w:r>
      <w:r w:rsidR="00A02875" w:rsidRPr="00992938">
        <w:rPr>
          <w:rFonts w:ascii="Verdana" w:hAnsi="Verdana"/>
        </w:rPr>
        <w:t>are</w:t>
      </w:r>
      <w:r w:rsidR="00FC11AC" w:rsidRPr="00992938">
        <w:rPr>
          <w:rFonts w:ascii="Verdana" w:hAnsi="Verdana"/>
        </w:rPr>
        <w:t xml:space="preserve"> shown in Appendix 1. These data were first created by HEFCE in their analysis supporting the introduction of the new student control arrangements in 2012-13. These data were made available </w:t>
      </w:r>
      <w:r w:rsidR="00F439EB" w:rsidRPr="00992938">
        <w:rPr>
          <w:rFonts w:ascii="Verdana" w:hAnsi="Verdana"/>
        </w:rPr>
        <w:t xml:space="preserve">by HEFCE </w:t>
      </w:r>
      <w:r w:rsidR="00FC11AC" w:rsidRPr="00992938">
        <w:rPr>
          <w:rFonts w:ascii="Verdana" w:hAnsi="Verdana"/>
        </w:rPr>
        <w:t xml:space="preserve">on request </w:t>
      </w:r>
      <w:r w:rsidR="00F439EB" w:rsidRPr="00992938">
        <w:rPr>
          <w:rFonts w:ascii="Verdana" w:hAnsi="Verdana"/>
        </w:rPr>
        <w:t>from HEPI</w:t>
      </w:r>
      <w:r w:rsidR="00CA7364">
        <w:rPr>
          <w:rFonts w:ascii="Verdana" w:hAnsi="Verdana"/>
        </w:rPr>
        <w:t>,</w:t>
      </w:r>
      <w:r w:rsidR="00F439EB" w:rsidRPr="00992938">
        <w:rPr>
          <w:rFonts w:ascii="Verdana" w:hAnsi="Verdana"/>
        </w:rPr>
        <w:t xml:space="preserve"> </w:t>
      </w:r>
      <w:r w:rsidR="00FC11AC" w:rsidRPr="00992938">
        <w:rPr>
          <w:rFonts w:ascii="Verdana" w:hAnsi="Verdana"/>
        </w:rPr>
        <w:t>with the agreement of the Department for Education.</w:t>
      </w:r>
    </w:p>
    <w:p w:rsidR="00992938" w:rsidRDefault="00992938"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92938">
        <w:rPr>
          <w:rFonts w:ascii="Verdana" w:hAnsi="Verdana"/>
        </w:rPr>
        <w:t xml:space="preserve"> </w:t>
      </w:r>
      <w:r w:rsidR="005D2724" w:rsidRPr="00992938">
        <w:rPr>
          <w:rFonts w:ascii="Verdana" w:hAnsi="Verdana"/>
        </w:rPr>
        <w:t xml:space="preserve">The sources are the National Pupil Database (NPD), HESA </w:t>
      </w:r>
      <w:r w:rsidR="00805AEC" w:rsidRPr="00992938">
        <w:rPr>
          <w:rFonts w:ascii="Verdana" w:hAnsi="Verdana"/>
        </w:rPr>
        <w:t xml:space="preserve">(UK HEIs) </w:t>
      </w:r>
      <w:r w:rsidR="005D2724" w:rsidRPr="00992938">
        <w:rPr>
          <w:rFonts w:ascii="Verdana" w:hAnsi="Verdana"/>
        </w:rPr>
        <w:t>and ILR</w:t>
      </w:r>
      <w:r w:rsidR="00805AEC" w:rsidRPr="00992938">
        <w:rPr>
          <w:rFonts w:ascii="Verdana" w:hAnsi="Verdana"/>
        </w:rPr>
        <w:t xml:space="preserve"> (English FECs)</w:t>
      </w:r>
      <w:r w:rsidR="005D2724" w:rsidRPr="00992938">
        <w:rPr>
          <w:rFonts w:ascii="Verdana" w:hAnsi="Verdana"/>
        </w:rPr>
        <w:t>.</w:t>
      </w:r>
      <w:r w:rsidR="00805AEC" w:rsidRPr="00992938">
        <w:rPr>
          <w:rFonts w:ascii="Verdana" w:hAnsi="Verdana"/>
        </w:rPr>
        <w:t xml:space="preserve"> These were linked using HEFCE’s </w:t>
      </w:r>
      <w:r w:rsidR="00F439EB" w:rsidRPr="00992938">
        <w:rPr>
          <w:rFonts w:ascii="Verdana" w:hAnsi="Verdana"/>
        </w:rPr>
        <w:t>data matching</w:t>
      </w:r>
      <w:r w:rsidR="00805AEC" w:rsidRPr="00992938">
        <w:rPr>
          <w:rFonts w:ascii="Verdana" w:hAnsi="Verdana"/>
        </w:rPr>
        <w:t>. The HEFCE data provides a breakdown of the 2008 Key Stage 5 cohort of individuals by qualifications obtained, school type and the proportion who participated in higher education within two years of qualification (typically at the age of 18 or 19).</w:t>
      </w:r>
      <w:r w:rsidR="005741C9" w:rsidRPr="00992938">
        <w:rPr>
          <w:rFonts w:ascii="Verdana" w:hAnsi="Verdana"/>
        </w:rPr>
        <w:t xml:space="preserve"> For students with more than three A-levels the highest three grades were selected, without any </w:t>
      </w:r>
      <w:proofErr w:type="spellStart"/>
      <w:r w:rsidR="005741C9" w:rsidRPr="00992938">
        <w:rPr>
          <w:rFonts w:ascii="Verdana" w:hAnsi="Verdana"/>
        </w:rPr>
        <w:t>deduplication</w:t>
      </w:r>
      <w:proofErr w:type="spellEnd"/>
      <w:r w:rsidR="005741C9" w:rsidRPr="00992938">
        <w:rPr>
          <w:rFonts w:ascii="Verdana" w:hAnsi="Verdana"/>
        </w:rPr>
        <w:t xml:space="preserve"> of awards in similar subjects.</w:t>
      </w:r>
    </w:p>
    <w:p w:rsidR="00D95645" w:rsidRDefault="00D95645"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Entering higher education was defined as:-</w:t>
      </w:r>
    </w:p>
    <w:p w:rsidR="00D95645" w:rsidRPr="001B7423" w:rsidRDefault="00D95645" w:rsidP="00D95645">
      <w:pPr>
        <w:pStyle w:val="ListParagraph"/>
        <w:numPr>
          <w:ilvl w:val="0"/>
          <w:numId w:val="13"/>
        </w:numPr>
        <w:autoSpaceDE w:val="0"/>
        <w:autoSpaceDN w:val="0"/>
        <w:adjustRightInd w:val="0"/>
        <w:spacing w:after="240" w:line="300" w:lineRule="atLeast"/>
        <w:contextualSpacing w:val="0"/>
        <w:rPr>
          <w:rFonts w:ascii="Verdana" w:hAnsi="Verdana"/>
        </w:rPr>
      </w:pPr>
      <w:r w:rsidRPr="001B7423">
        <w:rPr>
          <w:rFonts w:ascii="Verdana" w:hAnsi="Verdana"/>
        </w:rPr>
        <w:t xml:space="preserve">Starting a course at leading to an HE qualification </w:t>
      </w:r>
      <w:r w:rsidR="001B7423" w:rsidRPr="001B7423">
        <w:rPr>
          <w:rFonts w:ascii="Verdana" w:hAnsi="Verdana"/>
        </w:rPr>
        <w:t xml:space="preserve">or credit(s) </w:t>
      </w:r>
      <w:r w:rsidRPr="001B7423">
        <w:rPr>
          <w:rFonts w:ascii="Verdana" w:hAnsi="Verdana"/>
        </w:rPr>
        <w:t>of any level</w:t>
      </w:r>
      <w:r w:rsidR="001B7423">
        <w:rPr>
          <w:rFonts w:ascii="Verdana" w:hAnsi="Verdana"/>
        </w:rPr>
        <w:t xml:space="preserve">. </w:t>
      </w:r>
      <w:r w:rsidRPr="001B7423">
        <w:rPr>
          <w:rFonts w:ascii="Verdana" w:hAnsi="Verdana"/>
        </w:rPr>
        <w:t>No minimum period of study.</w:t>
      </w:r>
    </w:p>
    <w:p w:rsidR="00D95645" w:rsidRDefault="00D95645" w:rsidP="00D95645">
      <w:pPr>
        <w:pStyle w:val="ListParagraph"/>
        <w:numPr>
          <w:ilvl w:val="0"/>
          <w:numId w:val="13"/>
        </w:numPr>
        <w:autoSpaceDE w:val="0"/>
        <w:autoSpaceDN w:val="0"/>
        <w:adjustRightInd w:val="0"/>
        <w:spacing w:after="240" w:line="300" w:lineRule="atLeast"/>
        <w:contextualSpacing w:val="0"/>
        <w:rPr>
          <w:rFonts w:ascii="Verdana" w:hAnsi="Verdana"/>
        </w:rPr>
      </w:pPr>
      <w:r>
        <w:rPr>
          <w:rFonts w:ascii="Verdana" w:hAnsi="Verdana"/>
        </w:rPr>
        <w:t>Full-time and part-time courses.</w:t>
      </w:r>
    </w:p>
    <w:p w:rsidR="00D95645" w:rsidRDefault="00D95645" w:rsidP="00D95645">
      <w:pPr>
        <w:pStyle w:val="ListParagraph"/>
        <w:numPr>
          <w:ilvl w:val="0"/>
          <w:numId w:val="13"/>
        </w:numPr>
        <w:autoSpaceDE w:val="0"/>
        <w:autoSpaceDN w:val="0"/>
        <w:adjustRightInd w:val="0"/>
        <w:spacing w:after="240" w:line="300" w:lineRule="atLeast"/>
        <w:contextualSpacing w:val="0"/>
        <w:rPr>
          <w:rFonts w:ascii="Verdana" w:hAnsi="Verdana"/>
        </w:rPr>
      </w:pPr>
      <w:r>
        <w:rPr>
          <w:rFonts w:ascii="Verdana" w:hAnsi="Verdana"/>
        </w:rPr>
        <w:t xml:space="preserve">All HE </w:t>
      </w:r>
      <w:proofErr w:type="gramStart"/>
      <w:r>
        <w:rPr>
          <w:rFonts w:ascii="Verdana" w:hAnsi="Verdana"/>
        </w:rPr>
        <w:t>study</w:t>
      </w:r>
      <w:proofErr w:type="gramEnd"/>
      <w:r>
        <w:rPr>
          <w:rFonts w:ascii="Verdana" w:hAnsi="Verdana"/>
        </w:rPr>
        <w:t xml:space="preserve"> reported through the ILR or HESA returns. This excludes registrations for courses:-</w:t>
      </w:r>
    </w:p>
    <w:p w:rsidR="00D95645" w:rsidRDefault="00D95645" w:rsidP="00D95645">
      <w:pPr>
        <w:pStyle w:val="ListParagraph"/>
        <w:numPr>
          <w:ilvl w:val="0"/>
          <w:numId w:val="7"/>
        </w:numPr>
        <w:autoSpaceDE w:val="0"/>
        <w:autoSpaceDN w:val="0"/>
        <w:adjustRightInd w:val="0"/>
        <w:spacing w:after="240" w:line="300" w:lineRule="atLeast"/>
        <w:contextualSpacing w:val="0"/>
        <w:rPr>
          <w:rFonts w:ascii="Verdana" w:hAnsi="Verdana"/>
        </w:rPr>
      </w:pPr>
      <w:r>
        <w:rPr>
          <w:rFonts w:ascii="Verdana" w:hAnsi="Verdana"/>
        </w:rPr>
        <w:t xml:space="preserve">at </w:t>
      </w:r>
      <w:r w:rsidR="00A7235B">
        <w:rPr>
          <w:rFonts w:ascii="Verdana" w:hAnsi="Verdana"/>
        </w:rPr>
        <w:t xml:space="preserve">all </w:t>
      </w:r>
      <w:r>
        <w:rPr>
          <w:rFonts w:ascii="Verdana" w:hAnsi="Verdana"/>
        </w:rPr>
        <w:t>institutions outside the UK;</w:t>
      </w:r>
    </w:p>
    <w:p w:rsidR="00D95645" w:rsidRDefault="00D95645" w:rsidP="00D95645">
      <w:pPr>
        <w:pStyle w:val="ListParagraph"/>
        <w:numPr>
          <w:ilvl w:val="0"/>
          <w:numId w:val="7"/>
        </w:numPr>
        <w:autoSpaceDE w:val="0"/>
        <w:autoSpaceDN w:val="0"/>
        <w:adjustRightInd w:val="0"/>
        <w:spacing w:after="240" w:line="300" w:lineRule="atLeast"/>
        <w:contextualSpacing w:val="0"/>
        <w:rPr>
          <w:rFonts w:ascii="Verdana" w:hAnsi="Verdana"/>
        </w:rPr>
      </w:pPr>
      <w:r>
        <w:rPr>
          <w:rFonts w:ascii="Verdana" w:hAnsi="Verdana"/>
        </w:rPr>
        <w:t>at further education colleges outside England</w:t>
      </w:r>
    </w:p>
    <w:p w:rsidR="00D95645" w:rsidRDefault="00D95645" w:rsidP="00D95645">
      <w:pPr>
        <w:pStyle w:val="ListParagraph"/>
        <w:numPr>
          <w:ilvl w:val="0"/>
          <w:numId w:val="7"/>
        </w:numPr>
        <w:autoSpaceDE w:val="0"/>
        <w:autoSpaceDN w:val="0"/>
        <w:adjustRightInd w:val="0"/>
        <w:spacing w:after="240" w:line="300" w:lineRule="atLeast"/>
        <w:contextualSpacing w:val="0"/>
        <w:rPr>
          <w:rFonts w:ascii="Verdana" w:hAnsi="Verdana"/>
        </w:rPr>
      </w:pPr>
      <w:r>
        <w:rPr>
          <w:rFonts w:ascii="Verdana" w:hAnsi="Verdana"/>
        </w:rPr>
        <w:t>at private institutions apart from the University of Buckingham</w:t>
      </w:r>
    </w:p>
    <w:p w:rsidR="00992938" w:rsidRDefault="00D95645"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lastRenderedPageBreak/>
        <w:t xml:space="preserve"> </w:t>
      </w:r>
      <w:r w:rsidR="00992938" w:rsidRPr="00992938">
        <w:rPr>
          <w:rFonts w:ascii="Verdana" w:hAnsi="Verdana"/>
        </w:rPr>
        <w:t xml:space="preserve"> </w:t>
      </w:r>
      <w:r w:rsidR="005741C9" w:rsidRPr="00992938">
        <w:rPr>
          <w:rFonts w:ascii="Verdana" w:hAnsi="Verdana"/>
        </w:rPr>
        <w:t>In addition, for those achieving three A-levels, data w</w:t>
      </w:r>
      <w:r w:rsidR="00A02875" w:rsidRPr="00992938">
        <w:rPr>
          <w:rFonts w:ascii="Verdana" w:hAnsi="Verdana"/>
        </w:rPr>
        <w:t>ere</w:t>
      </w:r>
      <w:r w:rsidR="005741C9" w:rsidRPr="00992938">
        <w:rPr>
          <w:rFonts w:ascii="Verdana" w:hAnsi="Verdana"/>
        </w:rPr>
        <w:t xml:space="preserve"> prepared combining the 2004 to 2008 Key Stage 5 cohort each being linked to </w:t>
      </w:r>
      <w:r w:rsidR="00F439EB" w:rsidRPr="00992938">
        <w:rPr>
          <w:rFonts w:ascii="Verdana" w:hAnsi="Verdana"/>
        </w:rPr>
        <w:t>H</w:t>
      </w:r>
      <w:r w:rsidR="00A02875" w:rsidRPr="00992938">
        <w:rPr>
          <w:rFonts w:ascii="Verdana" w:hAnsi="Verdana"/>
        </w:rPr>
        <w:t>E</w:t>
      </w:r>
      <w:r w:rsidR="00F439EB" w:rsidRPr="00992938">
        <w:rPr>
          <w:rFonts w:ascii="Verdana" w:hAnsi="Verdana"/>
        </w:rPr>
        <w:t xml:space="preserve"> records for the following two years</w:t>
      </w:r>
      <w:r w:rsidR="005741C9" w:rsidRPr="00992938">
        <w:rPr>
          <w:rFonts w:ascii="Verdana" w:hAnsi="Verdana"/>
        </w:rPr>
        <w:t>.  These data were not used in the analysis presented here</w:t>
      </w:r>
      <w:r w:rsidR="00F439EB" w:rsidRPr="00992938">
        <w:rPr>
          <w:rFonts w:ascii="Verdana" w:hAnsi="Verdana"/>
        </w:rPr>
        <w:t xml:space="preserve"> but are included in Appendix 1</w:t>
      </w:r>
      <w:r w:rsidR="005741C9" w:rsidRPr="00992938">
        <w:rPr>
          <w:rFonts w:ascii="Verdana" w:hAnsi="Verdana"/>
        </w:rPr>
        <w:t>.</w:t>
      </w:r>
    </w:p>
    <w:p w:rsidR="00992938" w:rsidRDefault="00992938"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92938">
        <w:rPr>
          <w:rFonts w:ascii="Verdana" w:hAnsi="Verdana"/>
        </w:rPr>
        <w:t xml:space="preserve"> </w:t>
      </w:r>
      <w:r w:rsidR="00D9226B" w:rsidRPr="00992938">
        <w:rPr>
          <w:rFonts w:ascii="Verdana" w:hAnsi="Verdana"/>
        </w:rPr>
        <w:t>The counts of students in Appendix 1 are all rounded to the nearest five.</w:t>
      </w:r>
    </w:p>
    <w:p w:rsidR="0012072D" w:rsidRPr="00992938" w:rsidRDefault="00992938"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12072D" w:rsidRPr="00992938">
        <w:rPr>
          <w:rFonts w:ascii="Verdana" w:hAnsi="Verdana"/>
        </w:rPr>
        <w:t>The selection of students with ‘two A-levels and their equivalents were made by excluding the following rows:-</w:t>
      </w:r>
    </w:p>
    <w:p w:rsidR="0012072D" w:rsidRPr="0012072D" w:rsidRDefault="0012072D" w:rsidP="0012072D">
      <w:pPr>
        <w:pStyle w:val="ListParagraph"/>
        <w:numPr>
          <w:ilvl w:val="0"/>
          <w:numId w:val="5"/>
        </w:numPr>
        <w:spacing w:line="300" w:lineRule="atLeast"/>
        <w:rPr>
          <w:rFonts w:ascii="Verdana" w:hAnsi="Verdana"/>
        </w:rPr>
      </w:pPr>
      <w:r w:rsidRPr="0012072D">
        <w:rPr>
          <w:rFonts w:ascii="Verdana" w:hAnsi="Verdana"/>
        </w:rPr>
        <w:t>One A-level – all grades</w:t>
      </w:r>
    </w:p>
    <w:p w:rsidR="0012072D" w:rsidRPr="0012072D" w:rsidRDefault="0012072D" w:rsidP="0012072D">
      <w:pPr>
        <w:pStyle w:val="ListParagraph"/>
        <w:numPr>
          <w:ilvl w:val="0"/>
          <w:numId w:val="5"/>
        </w:numPr>
        <w:spacing w:line="300" w:lineRule="atLeast"/>
        <w:rPr>
          <w:rFonts w:ascii="Verdana" w:hAnsi="Verdana"/>
        </w:rPr>
      </w:pPr>
      <w:r w:rsidRPr="0012072D">
        <w:rPr>
          <w:rFonts w:ascii="Verdana" w:hAnsi="Verdana"/>
        </w:rPr>
        <w:t>Tariff - AAB+ and not AAB+</w:t>
      </w:r>
    </w:p>
    <w:p w:rsidR="0012072D" w:rsidRPr="0012072D" w:rsidRDefault="0012072D" w:rsidP="0012072D">
      <w:pPr>
        <w:pStyle w:val="ListParagraph"/>
        <w:numPr>
          <w:ilvl w:val="0"/>
          <w:numId w:val="5"/>
        </w:numPr>
        <w:spacing w:line="300" w:lineRule="atLeast"/>
        <w:rPr>
          <w:rFonts w:ascii="Verdana" w:hAnsi="Verdana"/>
        </w:rPr>
      </w:pPr>
      <w:r w:rsidRPr="0012072D">
        <w:rPr>
          <w:rFonts w:ascii="Verdana" w:hAnsi="Verdana"/>
        </w:rPr>
        <w:t>BTEC National Diploma  - other</w:t>
      </w:r>
    </w:p>
    <w:p w:rsidR="0012072D" w:rsidRPr="0012072D" w:rsidRDefault="0012072D" w:rsidP="0012072D">
      <w:pPr>
        <w:pStyle w:val="ListParagraph"/>
        <w:numPr>
          <w:ilvl w:val="0"/>
          <w:numId w:val="5"/>
        </w:numPr>
        <w:spacing w:line="300" w:lineRule="atLeast"/>
        <w:rPr>
          <w:rFonts w:ascii="Verdana" w:hAnsi="Verdana"/>
        </w:rPr>
      </w:pPr>
      <w:r w:rsidRPr="0012072D">
        <w:rPr>
          <w:rFonts w:ascii="Verdana" w:hAnsi="Verdana"/>
        </w:rPr>
        <w:t>BTEC National Awards – all grades</w:t>
      </w:r>
    </w:p>
    <w:p w:rsidR="0012072D" w:rsidRDefault="0012072D" w:rsidP="00174383">
      <w:pPr>
        <w:spacing w:line="300" w:lineRule="atLeast"/>
        <w:rPr>
          <w:rFonts w:ascii="Verdana" w:hAnsi="Verdana"/>
        </w:rPr>
      </w:pPr>
      <w:r>
        <w:rPr>
          <w:rFonts w:ascii="Verdana" w:hAnsi="Verdana"/>
        </w:rPr>
        <w:t>Tariff was calculated using UCA</w:t>
      </w:r>
      <w:r w:rsidR="00E36C30">
        <w:rPr>
          <w:rFonts w:ascii="Verdana" w:hAnsi="Verdana"/>
        </w:rPr>
        <w:t>S</w:t>
      </w:r>
      <w:r>
        <w:rPr>
          <w:rFonts w:ascii="Verdana" w:hAnsi="Verdana"/>
        </w:rPr>
        <w:t xml:space="preserve"> tables. </w:t>
      </w:r>
      <w:hyperlink r:id="rId11" w:history="1">
        <w:r w:rsidRPr="00897A00">
          <w:rPr>
            <w:rStyle w:val="Hyperlink"/>
            <w:rFonts w:ascii="Verdana" w:hAnsi="Verdana"/>
          </w:rPr>
          <w:t>www.ucas.com/students/ucas_tariff/tarifftables/</w:t>
        </w:r>
      </w:hyperlink>
    </w:p>
    <w:p w:rsidR="0012072D" w:rsidRPr="00992938" w:rsidRDefault="004255B6" w:rsidP="00174383">
      <w:pPr>
        <w:spacing w:line="300" w:lineRule="atLeast"/>
        <w:rPr>
          <w:rFonts w:ascii="Verdana" w:hAnsi="Verdana"/>
          <w:b/>
        </w:rPr>
      </w:pPr>
      <w:r w:rsidRPr="00992938">
        <w:rPr>
          <w:rFonts w:ascii="Verdana" w:hAnsi="Verdana"/>
          <w:b/>
        </w:rPr>
        <w:t>(3) A-level</w:t>
      </w:r>
      <w:r w:rsidR="00A67ECB" w:rsidRPr="00992938">
        <w:rPr>
          <w:rFonts w:ascii="Verdana" w:hAnsi="Verdana"/>
          <w:b/>
        </w:rPr>
        <w:t xml:space="preserve"> subjects and grades, </w:t>
      </w:r>
      <w:r w:rsidRPr="00992938">
        <w:rPr>
          <w:rFonts w:ascii="Verdana" w:hAnsi="Verdana"/>
          <w:b/>
        </w:rPr>
        <w:t>and earnings</w:t>
      </w:r>
    </w:p>
    <w:p w:rsidR="00992938" w:rsidRDefault="00992938"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92938">
        <w:rPr>
          <w:rFonts w:ascii="Verdana" w:hAnsi="Verdana"/>
        </w:rPr>
        <w:t xml:space="preserve">  </w:t>
      </w:r>
      <w:r w:rsidR="00F272F8" w:rsidRPr="00992938">
        <w:rPr>
          <w:rFonts w:ascii="Verdana" w:hAnsi="Verdana"/>
        </w:rPr>
        <w:t xml:space="preserve">A-levels provide a public measure of ambitions and abilities so they </w:t>
      </w:r>
      <w:r w:rsidR="00A02875" w:rsidRPr="00992938">
        <w:rPr>
          <w:rFonts w:ascii="Verdana" w:hAnsi="Verdana"/>
        </w:rPr>
        <w:t>can have an</w:t>
      </w:r>
      <w:r w:rsidR="00F272F8" w:rsidRPr="00992938">
        <w:rPr>
          <w:rFonts w:ascii="Verdana" w:hAnsi="Verdana"/>
        </w:rPr>
        <w:t xml:space="preserve"> impact on earnings through the signal they provide to employers, as well as through any productivity gains the</w:t>
      </w:r>
      <w:r w:rsidR="009B136C" w:rsidRPr="00992938">
        <w:rPr>
          <w:rFonts w:ascii="Verdana" w:hAnsi="Verdana"/>
        </w:rPr>
        <w:t xml:space="preserve"> </w:t>
      </w:r>
      <w:r w:rsidR="00F272F8" w:rsidRPr="00992938">
        <w:rPr>
          <w:rFonts w:ascii="Verdana" w:hAnsi="Verdana"/>
        </w:rPr>
        <w:t xml:space="preserve">attributes </w:t>
      </w:r>
      <w:r w:rsidR="009B136C" w:rsidRPr="00992938">
        <w:rPr>
          <w:rFonts w:ascii="Verdana" w:hAnsi="Verdana"/>
        </w:rPr>
        <w:t xml:space="preserve">that successful A-level candidates </w:t>
      </w:r>
      <w:r w:rsidR="00F272F8" w:rsidRPr="00992938">
        <w:rPr>
          <w:rFonts w:ascii="Verdana" w:hAnsi="Verdana"/>
        </w:rPr>
        <w:t xml:space="preserve">bring. Still widely seen as the ‘gold standard’, they are used by employers </w:t>
      </w:r>
      <w:r w:rsidR="00581998" w:rsidRPr="00992938">
        <w:rPr>
          <w:rFonts w:ascii="Verdana" w:hAnsi="Verdana"/>
        </w:rPr>
        <w:t>even when recruiting graduates. (For some anecdotal evidence</w:t>
      </w:r>
      <w:r w:rsidR="00A17650" w:rsidRPr="00992938">
        <w:rPr>
          <w:rFonts w:ascii="Verdana" w:hAnsi="Verdana"/>
        </w:rPr>
        <w:t>,</w:t>
      </w:r>
      <w:r w:rsidR="00581998" w:rsidRPr="00992938">
        <w:rPr>
          <w:rFonts w:ascii="Verdana" w:hAnsi="Verdana"/>
        </w:rPr>
        <w:t xml:space="preserve"> see Hawes, 2008.) </w:t>
      </w:r>
    </w:p>
    <w:p w:rsidR="00992938" w:rsidRDefault="00992938"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992938">
        <w:rPr>
          <w:rFonts w:ascii="Verdana" w:hAnsi="Verdana"/>
        </w:rPr>
        <w:t xml:space="preserve"> </w:t>
      </w:r>
      <w:r w:rsidR="00581998" w:rsidRPr="00992938">
        <w:rPr>
          <w:rFonts w:ascii="Verdana" w:hAnsi="Verdana"/>
        </w:rPr>
        <w:t>Despite this, few studies include any measure of the qualifications and grades of A-levels and their equivalents. An analysis of National Child Development Study (NCDS) of children born in 1958 was used to estimate the returns on earnings at aged 33 (Blundell, et al, 2000)</w:t>
      </w:r>
      <w:r w:rsidR="00F71F54" w:rsidRPr="00992938">
        <w:rPr>
          <w:rFonts w:ascii="Verdana" w:hAnsi="Verdana"/>
        </w:rPr>
        <w:t>, and A-level score, along with an ability test score at 16, were added to the model specification after the inclusion of a wide range of family background</w:t>
      </w:r>
      <w:r w:rsidR="006A21D9" w:rsidRPr="00992938">
        <w:rPr>
          <w:rFonts w:ascii="Verdana" w:hAnsi="Verdana"/>
        </w:rPr>
        <w:t xml:space="preserve"> and </w:t>
      </w:r>
      <w:r w:rsidR="00F71F54" w:rsidRPr="00992938">
        <w:rPr>
          <w:rFonts w:ascii="Verdana" w:hAnsi="Verdana"/>
        </w:rPr>
        <w:t>demographic</w:t>
      </w:r>
      <w:r w:rsidR="006A21D9" w:rsidRPr="00992938">
        <w:rPr>
          <w:rFonts w:ascii="Verdana" w:hAnsi="Verdana"/>
        </w:rPr>
        <w:t xml:space="preserve"> variables</w:t>
      </w:r>
      <w:r w:rsidR="00F71F54" w:rsidRPr="00992938">
        <w:rPr>
          <w:rFonts w:ascii="Verdana" w:hAnsi="Verdana"/>
        </w:rPr>
        <w:t>, maths and ability scores at aged 7, and so on. A level score was significant and with the ability test score at 16 had the effect of reducing the returns to a first degree from 1</w:t>
      </w:r>
      <w:r w:rsidR="00390039" w:rsidRPr="00992938">
        <w:rPr>
          <w:rFonts w:ascii="Verdana" w:hAnsi="Verdana"/>
        </w:rPr>
        <w:t>7.1</w:t>
      </w:r>
      <w:r w:rsidR="00F71F54" w:rsidRPr="00992938">
        <w:rPr>
          <w:rFonts w:ascii="Verdana" w:hAnsi="Verdana"/>
        </w:rPr>
        <w:t xml:space="preserve"> to </w:t>
      </w:r>
      <w:r w:rsidR="00390039" w:rsidRPr="00992938">
        <w:rPr>
          <w:rFonts w:ascii="Verdana" w:hAnsi="Verdana"/>
        </w:rPr>
        <w:t>12.2</w:t>
      </w:r>
      <w:r w:rsidR="00F71F54" w:rsidRPr="00992938">
        <w:rPr>
          <w:rFonts w:ascii="Verdana" w:hAnsi="Verdana"/>
        </w:rPr>
        <w:t xml:space="preserve"> per cent for men and from 3</w:t>
      </w:r>
      <w:r w:rsidR="00390039" w:rsidRPr="00992938">
        <w:rPr>
          <w:rFonts w:ascii="Verdana" w:hAnsi="Verdana"/>
        </w:rPr>
        <w:t>6.7</w:t>
      </w:r>
      <w:r w:rsidR="00F71F54" w:rsidRPr="00992938">
        <w:rPr>
          <w:rFonts w:ascii="Verdana" w:hAnsi="Verdana"/>
        </w:rPr>
        <w:t xml:space="preserve"> to </w:t>
      </w:r>
      <w:r w:rsidR="00390039" w:rsidRPr="00992938">
        <w:rPr>
          <w:rFonts w:ascii="Verdana" w:hAnsi="Verdana"/>
        </w:rPr>
        <w:t>33.7</w:t>
      </w:r>
      <w:r w:rsidR="00F71F54" w:rsidRPr="00992938">
        <w:rPr>
          <w:rFonts w:ascii="Verdana" w:hAnsi="Verdana"/>
        </w:rPr>
        <w:t xml:space="preserve"> per cent for women. </w:t>
      </w:r>
      <w:r w:rsidR="00837CCD" w:rsidRPr="00992938">
        <w:rPr>
          <w:rFonts w:ascii="Verdana" w:hAnsi="Verdana"/>
        </w:rPr>
        <w:t xml:space="preserve">The comparator group were individuals with at least one A-level, lower than the </w:t>
      </w:r>
      <w:r w:rsidR="00A02875" w:rsidRPr="00992938">
        <w:rPr>
          <w:rFonts w:ascii="Verdana" w:hAnsi="Verdana"/>
        </w:rPr>
        <w:t xml:space="preserve">usual </w:t>
      </w:r>
      <w:r w:rsidR="00837CCD" w:rsidRPr="00992938">
        <w:rPr>
          <w:rFonts w:ascii="Verdana" w:hAnsi="Verdana"/>
        </w:rPr>
        <w:t xml:space="preserve">two A-level cut off, but ‘equivalent’ qualifications </w:t>
      </w:r>
      <w:r w:rsidR="00A02875" w:rsidRPr="00992938">
        <w:rPr>
          <w:rFonts w:ascii="Verdana" w:hAnsi="Verdana"/>
        </w:rPr>
        <w:t>do not seem to have been</w:t>
      </w:r>
      <w:r w:rsidR="00837CCD" w:rsidRPr="00992938">
        <w:rPr>
          <w:rFonts w:ascii="Verdana" w:hAnsi="Verdana"/>
        </w:rPr>
        <w:t xml:space="preserve"> included.</w:t>
      </w:r>
      <w:r w:rsidR="002F39FF" w:rsidRPr="00992938">
        <w:rPr>
          <w:rFonts w:ascii="Verdana" w:hAnsi="Verdana"/>
        </w:rPr>
        <w:t xml:space="preserve"> (A-level equivalent qualifications are identified in the NCDS data but the comparator group for this study is described only in terms of A-levels.)</w:t>
      </w:r>
      <w:r w:rsidR="00837CCD" w:rsidRPr="00992938">
        <w:rPr>
          <w:rFonts w:ascii="Verdana" w:hAnsi="Verdana"/>
        </w:rPr>
        <w:t xml:space="preserve"> The specification assumed a l</w:t>
      </w:r>
      <w:r w:rsidR="006A21D9" w:rsidRPr="00992938">
        <w:rPr>
          <w:rFonts w:ascii="Verdana" w:hAnsi="Verdana"/>
        </w:rPr>
        <w:t>inear effect with A-</w:t>
      </w:r>
      <w:r w:rsidR="00837CCD" w:rsidRPr="00992938">
        <w:rPr>
          <w:rFonts w:ascii="Verdana" w:hAnsi="Verdana"/>
        </w:rPr>
        <w:t xml:space="preserve">level points, which may not have fully captured their impact. No account was taken of A-level subject, though </w:t>
      </w:r>
      <w:r w:rsidR="000B13CA" w:rsidRPr="00992938">
        <w:rPr>
          <w:rFonts w:ascii="Verdana" w:hAnsi="Verdana"/>
        </w:rPr>
        <w:t xml:space="preserve">researchers using the same NCDS data set (along with a further analysis </w:t>
      </w:r>
      <w:r w:rsidR="00903E9C" w:rsidRPr="00992938">
        <w:rPr>
          <w:rFonts w:ascii="Verdana" w:hAnsi="Verdana"/>
        </w:rPr>
        <w:t xml:space="preserve">using a dataset of graduates and diplomats from 1980) found a </w:t>
      </w:r>
      <w:r w:rsidR="006067AC">
        <w:rPr>
          <w:rFonts w:ascii="Verdana" w:hAnsi="Verdana"/>
        </w:rPr>
        <w:t>‘</w:t>
      </w:r>
      <w:r w:rsidR="00903E9C" w:rsidRPr="00992938">
        <w:rPr>
          <w:rFonts w:ascii="Verdana" w:hAnsi="Verdana"/>
        </w:rPr>
        <w:t>large positive return on mathematics A-level, even after controlling for previous ability and further study at the graduate and postgraduate level</w:t>
      </w:r>
      <w:r w:rsidR="006067AC">
        <w:rPr>
          <w:rFonts w:ascii="Verdana" w:hAnsi="Verdana"/>
        </w:rPr>
        <w:t>’</w:t>
      </w:r>
      <w:r w:rsidR="003B2766" w:rsidRPr="00992938">
        <w:rPr>
          <w:rFonts w:ascii="Verdana" w:hAnsi="Verdana"/>
        </w:rPr>
        <w:t xml:space="preserve"> </w:t>
      </w:r>
      <w:r w:rsidR="00DD1869" w:rsidRPr="00992938">
        <w:rPr>
          <w:rFonts w:ascii="Verdana" w:hAnsi="Verdana"/>
        </w:rPr>
        <w:t xml:space="preserve">, (Dolton, et al, 2002). </w:t>
      </w:r>
      <w:r w:rsidR="00581998" w:rsidRPr="00992938">
        <w:rPr>
          <w:rFonts w:ascii="Verdana" w:hAnsi="Verdana"/>
        </w:rPr>
        <w:t xml:space="preserve"> </w:t>
      </w:r>
      <w:r w:rsidR="00DD1869" w:rsidRPr="00992938">
        <w:rPr>
          <w:rFonts w:ascii="Verdana" w:hAnsi="Verdana"/>
        </w:rPr>
        <w:t xml:space="preserve">The effect of introducing A-level subjects into the model of earnings is to reduce the return for a first degree for males from 12.2 per cent in the earlier study </w:t>
      </w:r>
      <w:r w:rsidR="00DD1869" w:rsidRPr="00992938">
        <w:rPr>
          <w:rFonts w:ascii="Verdana" w:hAnsi="Verdana"/>
        </w:rPr>
        <w:lastRenderedPageBreak/>
        <w:t xml:space="preserve">(Blundell, et al 2000) to 6.9 per cent, which </w:t>
      </w:r>
      <w:r w:rsidR="00A02875" w:rsidRPr="00992938">
        <w:rPr>
          <w:rFonts w:ascii="Verdana" w:hAnsi="Verdana"/>
        </w:rPr>
        <w:t>was</w:t>
      </w:r>
      <w:r w:rsidR="00DD1869" w:rsidRPr="00992938">
        <w:rPr>
          <w:rFonts w:ascii="Verdana" w:hAnsi="Verdana"/>
        </w:rPr>
        <w:t xml:space="preserve"> not significantly different from zero. This analysis is working at the limits of the data and it would be unwise to draw hard conclusions, but it does demonstrate that without data that would enable A-levels and their equivalents to be fully specified, the return estimates </w:t>
      </w:r>
      <w:r w:rsidR="00EF232D" w:rsidRPr="00992938">
        <w:rPr>
          <w:rFonts w:ascii="Verdana" w:hAnsi="Verdana"/>
        </w:rPr>
        <w:t xml:space="preserve">are likely to be </w:t>
      </w:r>
      <w:r w:rsidR="00DD1869" w:rsidRPr="00992938">
        <w:rPr>
          <w:rFonts w:ascii="Verdana" w:hAnsi="Verdana"/>
        </w:rPr>
        <w:t>biased.</w:t>
      </w:r>
    </w:p>
    <w:p w:rsidR="00F11E78" w:rsidRPr="00992938" w:rsidRDefault="00992938"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9B3CBD" w:rsidRPr="00992938">
        <w:rPr>
          <w:rFonts w:ascii="Verdana" w:hAnsi="Verdana"/>
        </w:rPr>
        <w:t>Datasets of graduates</w:t>
      </w:r>
      <w:r w:rsidR="00456366" w:rsidRPr="00992938">
        <w:rPr>
          <w:rFonts w:ascii="Verdana" w:hAnsi="Verdana"/>
        </w:rPr>
        <w:t>’</w:t>
      </w:r>
      <w:r w:rsidR="009B3CBD" w:rsidRPr="00992938">
        <w:rPr>
          <w:rFonts w:ascii="Verdana" w:hAnsi="Verdana"/>
        </w:rPr>
        <w:t xml:space="preserve"> earnings cannot provide estimates of absolute returns to higher education, but they can be used to estimate the relative returns for different subjects. The </w:t>
      </w:r>
      <w:r w:rsidR="00876E61" w:rsidRPr="00992938">
        <w:rPr>
          <w:rFonts w:ascii="Verdana" w:hAnsi="Verdana"/>
        </w:rPr>
        <w:t>L</w:t>
      </w:r>
      <w:r w:rsidR="009B3CBD" w:rsidRPr="00992938">
        <w:rPr>
          <w:rFonts w:ascii="Verdana" w:hAnsi="Verdana"/>
        </w:rPr>
        <w:t>ongitudinal D</w:t>
      </w:r>
      <w:r w:rsidR="00876E61" w:rsidRPr="00992938">
        <w:rPr>
          <w:rFonts w:ascii="Verdana" w:hAnsi="Verdana"/>
        </w:rPr>
        <w:t xml:space="preserve">estination of Leavers </w:t>
      </w:r>
      <w:r w:rsidR="00A762DA" w:rsidRPr="00992938">
        <w:rPr>
          <w:rFonts w:ascii="Verdana" w:hAnsi="Verdana"/>
        </w:rPr>
        <w:t>from Higher Education (LDLHE)</w:t>
      </w:r>
      <w:r w:rsidR="009B3CBD" w:rsidRPr="00992938">
        <w:rPr>
          <w:rFonts w:ascii="Verdana" w:hAnsi="Verdana"/>
        </w:rPr>
        <w:t xml:space="preserve"> which has a rich set of variables.</w:t>
      </w:r>
      <w:r w:rsidR="00A762DA" w:rsidRPr="00992938">
        <w:rPr>
          <w:rFonts w:ascii="Verdana" w:hAnsi="Verdana"/>
        </w:rPr>
        <w:t xml:space="preserve"> (For more about LDLHE see Endnote 6.) </w:t>
      </w:r>
      <w:r w:rsidR="009B3CBD" w:rsidRPr="00992938">
        <w:rPr>
          <w:rFonts w:ascii="Verdana" w:hAnsi="Verdana"/>
        </w:rPr>
        <w:t xml:space="preserve"> These data have been used (Chevalier, 2011) to estimate the relative returns of different subjects. The introduction of A-level points, after already controlling for the local labour market, demographics and family background is </w:t>
      </w:r>
      <w:r w:rsidR="00850F5C" w:rsidRPr="00992938">
        <w:rPr>
          <w:rFonts w:ascii="Verdana" w:hAnsi="Verdana"/>
        </w:rPr>
        <w:t>significant</w:t>
      </w:r>
      <w:r w:rsidR="009B3CBD" w:rsidRPr="00992938">
        <w:rPr>
          <w:rFonts w:ascii="Verdana" w:hAnsi="Verdana"/>
        </w:rPr>
        <w:t xml:space="preserve">. It can be illustrated by comparing economics with education. The mean A-level score </w:t>
      </w:r>
      <w:r w:rsidR="00F11E78" w:rsidRPr="00992938">
        <w:rPr>
          <w:rFonts w:ascii="Verdana" w:hAnsi="Verdana"/>
        </w:rPr>
        <w:t>for economics students was 24, for education 15.</w:t>
      </w:r>
    </w:p>
    <w:p w:rsidR="009B3CBD" w:rsidRDefault="00C868DC" w:rsidP="00174383">
      <w:pPr>
        <w:spacing w:line="300" w:lineRule="atLeast"/>
        <w:rPr>
          <w:rFonts w:ascii="Verdana" w:hAnsi="Verdana"/>
          <w:b/>
        </w:rPr>
      </w:pPr>
      <w:r>
        <w:rPr>
          <w:rFonts w:ascii="Verdana" w:hAnsi="Verdana"/>
          <w:b/>
        </w:rPr>
        <w:t>Table</w:t>
      </w:r>
      <w:r w:rsidR="00992938">
        <w:rPr>
          <w:rFonts w:ascii="Verdana" w:hAnsi="Verdana"/>
          <w:b/>
        </w:rPr>
        <w:t xml:space="preserve"> 3: </w:t>
      </w:r>
      <w:r w:rsidR="00F11E78" w:rsidRPr="00F11E78">
        <w:rPr>
          <w:rFonts w:ascii="Verdana" w:hAnsi="Verdana"/>
          <w:b/>
        </w:rPr>
        <w:t>Earnings for education graduates compared to economics graduates with and without controlling for A-level points.</w:t>
      </w:r>
      <w:r w:rsidR="009B3CBD" w:rsidRPr="00F11E78">
        <w:rPr>
          <w:rFonts w:ascii="Verdana" w:hAnsi="Verdana"/>
          <w:b/>
        </w:rPr>
        <w:t xml:space="preserve"> </w:t>
      </w:r>
    </w:p>
    <w:tbl>
      <w:tblPr>
        <w:tblStyle w:val="TableGrid"/>
        <w:tblW w:w="0" w:type="auto"/>
        <w:tblLook w:val="04A0" w:firstRow="1" w:lastRow="0" w:firstColumn="1" w:lastColumn="0" w:noHBand="0" w:noVBand="1"/>
      </w:tblPr>
      <w:tblGrid>
        <w:gridCol w:w="4621"/>
        <w:gridCol w:w="1866"/>
      </w:tblGrid>
      <w:tr w:rsidR="00F11E78" w:rsidTr="00850F5C">
        <w:tc>
          <w:tcPr>
            <w:tcW w:w="4621" w:type="dxa"/>
          </w:tcPr>
          <w:p w:rsidR="00F11E78" w:rsidRPr="00F11E78" w:rsidRDefault="00F11E78" w:rsidP="00174383">
            <w:pPr>
              <w:spacing w:line="300" w:lineRule="atLeast"/>
              <w:rPr>
                <w:rFonts w:ascii="Verdana" w:hAnsi="Verdana"/>
              </w:rPr>
            </w:pPr>
            <w:r w:rsidRPr="00F11E78">
              <w:rPr>
                <w:rFonts w:ascii="Verdana" w:hAnsi="Verdana"/>
              </w:rPr>
              <w:t>Without A-level points (spec 3)</w:t>
            </w:r>
          </w:p>
        </w:tc>
        <w:tc>
          <w:tcPr>
            <w:tcW w:w="1866" w:type="dxa"/>
          </w:tcPr>
          <w:p w:rsidR="00F11E78" w:rsidRPr="00850F5C" w:rsidRDefault="00850F5C" w:rsidP="00850F5C">
            <w:pPr>
              <w:spacing w:line="300" w:lineRule="atLeast"/>
              <w:jc w:val="right"/>
              <w:rPr>
                <w:rFonts w:ascii="Verdana" w:hAnsi="Verdana"/>
              </w:rPr>
            </w:pPr>
            <w:r w:rsidRPr="00850F5C">
              <w:rPr>
                <w:rFonts w:ascii="Verdana" w:hAnsi="Verdana"/>
              </w:rPr>
              <w:t>97.1%</w:t>
            </w:r>
          </w:p>
        </w:tc>
      </w:tr>
      <w:tr w:rsidR="00F11E78" w:rsidTr="00850F5C">
        <w:tc>
          <w:tcPr>
            <w:tcW w:w="4621" w:type="dxa"/>
          </w:tcPr>
          <w:p w:rsidR="00F11E78" w:rsidRPr="00F11E78" w:rsidRDefault="00F11E78" w:rsidP="00174383">
            <w:pPr>
              <w:spacing w:line="300" w:lineRule="atLeast"/>
              <w:rPr>
                <w:rFonts w:ascii="Verdana" w:hAnsi="Verdana"/>
              </w:rPr>
            </w:pPr>
            <w:r w:rsidRPr="00F11E78">
              <w:rPr>
                <w:rFonts w:ascii="Verdana" w:hAnsi="Verdana"/>
              </w:rPr>
              <w:t>With A-level points (spec 4)</w:t>
            </w:r>
          </w:p>
        </w:tc>
        <w:tc>
          <w:tcPr>
            <w:tcW w:w="1866" w:type="dxa"/>
          </w:tcPr>
          <w:p w:rsidR="00F11E78" w:rsidRPr="00850F5C" w:rsidRDefault="00850F5C" w:rsidP="00850F5C">
            <w:pPr>
              <w:spacing w:line="300" w:lineRule="atLeast"/>
              <w:jc w:val="right"/>
              <w:rPr>
                <w:rFonts w:ascii="Verdana" w:hAnsi="Verdana"/>
              </w:rPr>
            </w:pPr>
            <w:r w:rsidRPr="00850F5C">
              <w:rPr>
                <w:rFonts w:ascii="Verdana" w:hAnsi="Verdana"/>
              </w:rPr>
              <w:t>101.4%</w:t>
            </w:r>
          </w:p>
        </w:tc>
      </w:tr>
    </w:tbl>
    <w:p w:rsidR="00F11E78" w:rsidRPr="00456366" w:rsidRDefault="00456366" w:rsidP="00174383">
      <w:pPr>
        <w:spacing w:line="300" w:lineRule="atLeast"/>
        <w:rPr>
          <w:rFonts w:ascii="Verdana" w:hAnsi="Verdana"/>
          <w:sz w:val="18"/>
          <w:szCs w:val="18"/>
        </w:rPr>
      </w:pPr>
      <w:r w:rsidRPr="00456366">
        <w:rPr>
          <w:rFonts w:ascii="Verdana" w:hAnsi="Verdana"/>
          <w:sz w:val="18"/>
          <w:szCs w:val="18"/>
        </w:rPr>
        <w:t>Source: Chevalier, 2011, table 2</w:t>
      </w:r>
      <w:r>
        <w:rPr>
          <w:rFonts w:ascii="Verdana" w:hAnsi="Verdana"/>
          <w:sz w:val="18"/>
          <w:szCs w:val="18"/>
        </w:rPr>
        <w:t xml:space="preserve">. Calculated by: </w:t>
      </w:r>
      <w:proofErr w:type="gramStart"/>
      <w:r>
        <w:rPr>
          <w:rFonts w:ascii="Verdana" w:hAnsi="Verdana"/>
          <w:sz w:val="18"/>
          <w:szCs w:val="18"/>
        </w:rPr>
        <w:t>Exp(</w:t>
      </w:r>
      <w:proofErr w:type="gramEnd"/>
      <w:r>
        <w:rPr>
          <w:rFonts w:ascii="Verdana" w:hAnsi="Verdana"/>
          <w:sz w:val="18"/>
          <w:szCs w:val="18"/>
        </w:rPr>
        <w:t>education – economics).</w:t>
      </w:r>
    </w:p>
    <w:p w:rsidR="00C20B27" w:rsidRPr="00C868DC" w:rsidRDefault="00C20B27" w:rsidP="00174383">
      <w:pPr>
        <w:spacing w:line="300" w:lineRule="atLeast"/>
        <w:rPr>
          <w:rFonts w:ascii="Verdana" w:hAnsi="Verdana"/>
          <w:b/>
        </w:rPr>
      </w:pPr>
      <w:r w:rsidRPr="00C868DC">
        <w:rPr>
          <w:rFonts w:ascii="Verdana" w:hAnsi="Verdana"/>
          <w:b/>
        </w:rPr>
        <w:t>(4)</w:t>
      </w:r>
      <w:r w:rsidR="000B263B" w:rsidRPr="00C868DC">
        <w:rPr>
          <w:rFonts w:ascii="Verdana" w:hAnsi="Verdana"/>
          <w:b/>
        </w:rPr>
        <w:t xml:space="preserve"> Can limited data provide acceptable estimates?</w:t>
      </w:r>
    </w:p>
    <w:p w:rsidR="00C868DC" w:rsidRDefault="00C868DC" w:rsidP="00DF0574">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C868DC">
        <w:rPr>
          <w:rFonts w:ascii="Verdana" w:hAnsi="Verdana"/>
        </w:rPr>
        <w:t xml:space="preserve"> </w:t>
      </w:r>
      <w:r w:rsidR="003F52B5" w:rsidRPr="00C868DC">
        <w:rPr>
          <w:rFonts w:ascii="Verdana" w:hAnsi="Verdana"/>
        </w:rPr>
        <w:t>Datasets with rich information, like the NCDS, which are not repeated at regular intervals, do not allow researchers to look at the trends in the returns to higher education</w:t>
      </w:r>
      <w:r w:rsidR="00112AD7" w:rsidRPr="00C868DC">
        <w:rPr>
          <w:rFonts w:ascii="Verdana" w:hAnsi="Verdana"/>
        </w:rPr>
        <w:t>, or even get a single up-to-date estimate</w:t>
      </w:r>
      <w:r w:rsidR="003F52B5" w:rsidRPr="00C868DC">
        <w:rPr>
          <w:rFonts w:ascii="Verdana" w:hAnsi="Verdana"/>
        </w:rPr>
        <w:t>. Also the sample size makes it difficult to mine down to sub-groups, like particular qualifications</w:t>
      </w:r>
      <w:r w:rsidR="00540AA0" w:rsidRPr="00C868DC">
        <w:rPr>
          <w:rFonts w:ascii="Verdana" w:hAnsi="Verdana"/>
        </w:rPr>
        <w:t xml:space="preserve"> or subjects. For th</w:t>
      </w:r>
      <w:r w:rsidR="00A46682" w:rsidRPr="00C868DC">
        <w:rPr>
          <w:rFonts w:ascii="Verdana" w:hAnsi="Verdana"/>
        </w:rPr>
        <w:t>ese</w:t>
      </w:r>
      <w:r w:rsidR="00540AA0" w:rsidRPr="00C868DC">
        <w:rPr>
          <w:rFonts w:ascii="Verdana" w:hAnsi="Verdana"/>
        </w:rPr>
        <w:t xml:space="preserve"> reason</w:t>
      </w:r>
      <w:r w:rsidR="00A46682" w:rsidRPr="00C868DC">
        <w:rPr>
          <w:rFonts w:ascii="Verdana" w:hAnsi="Verdana"/>
        </w:rPr>
        <w:t>s</w:t>
      </w:r>
      <w:r w:rsidR="00540AA0" w:rsidRPr="00C868DC">
        <w:rPr>
          <w:rFonts w:ascii="Verdana" w:hAnsi="Verdana"/>
        </w:rPr>
        <w:t>, sources like the Labour Force Survey (LFS</w:t>
      </w:r>
      <w:r w:rsidR="00F71B4E" w:rsidRPr="00C868DC">
        <w:rPr>
          <w:rFonts w:ascii="Verdana" w:hAnsi="Verdana"/>
        </w:rPr>
        <w:t xml:space="preserve">) </w:t>
      </w:r>
      <w:r w:rsidR="00540AA0" w:rsidRPr="00C868DC">
        <w:rPr>
          <w:rFonts w:ascii="Verdana" w:hAnsi="Verdana"/>
        </w:rPr>
        <w:t xml:space="preserve">are </w:t>
      </w:r>
      <w:r w:rsidR="00DF0574" w:rsidRPr="00C868DC">
        <w:rPr>
          <w:rFonts w:ascii="Verdana" w:hAnsi="Verdana"/>
        </w:rPr>
        <w:t>often</w:t>
      </w:r>
      <w:r w:rsidR="00540AA0" w:rsidRPr="00C868DC">
        <w:rPr>
          <w:rFonts w:ascii="Verdana" w:hAnsi="Verdana"/>
        </w:rPr>
        <w:t xml:space="preserve"> used. </w:t>
      </w:r>
    </w:p>
    <w:p w:rsidR="00C868DC" w:rsidRDefault="00C868DC"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C868DC">
        <w:rPr>
          <w:rFonts w:ascii="Verdana" w:hAnsi="Verdana"/>
        </w:rPr>
        <w:t xml:space="preserve"> </w:t>
      </w:r>
      <w:r w:rsidR="00DF0574" w:rsidRPr="00C868DC">
        <w:rPr>
          <w:rFonts w:ascii="Verdana" w:hAnsi="Verdana"/>
        </w:rPr>
        <w:t xml:space="preserve">We have seen that the usual comparator group, those with </w:t>
      </w:r>
      <w:r w:rsidRPr="00C868DC">
        <w:rPr>
          <w:rFonts w:ascii="Verdana" w:hAnsi="Verdana"/>
        </w:rPr>
        <w:t xml:space="preserve">at least </w:t>
      </w:r>
      <w:r w:rsidR="00DF0574" w:rsidRPr="00C868DC">
        <w:rPr>
          <w:rFonts w:ascii="Verdana" w:hAnsi="Verdana"/>
        </w:rPr>
        <w:t xml:space="preserve">two A-levels </w:t>
      </w:r>
      <w:r w:rsidR="009711D4" w:rsidRPr="00C868DC">
        <w:rPr>
          <w:rFonts w:ascii="Verdana" w:hAnsi="Verdana"/>
        </w:rPr>
        <w:t>or</w:t>
      </w:r>
      <w:r w:rsidR="00DF0574" w:rsidRPr="00C868DC">
        <w:rPr>
          <w:rFonts w:ascii="Verdana" w:hAnsi="Verdana"/>
        </w:rPr>
        <w:t xml:space="preserve"> their equivalents who do not go on to higher education</w:t>
      </w:r>
      <w:r w:rsidR="00E309FA" w:rsidRPr="00C868DC">
        <w:rPr>
          <w:rFonts w:ascii="Verdana" w:hAnsi="Verdana"/>
        </w:rPr>
        <w:t>,</w:t>
      </w:r>
      <w:r w:rsidR="00DF0574" w:rsidRPr="00C868DC">
        <w:rPr>
          <w:rFonts w:ascii="Verdana" w:hAnsi="Verdana"/>
        </w:rPr>
        <w:t xml:space="preserve"> have a different qualification and grade profile from those who do. The LFS does not have data to capture these differences. </w:t>
      </w:r>
      <w:r w:rsidR="000D6243" w:rsidRPr="00C868DC">
        <w:rPr>
          <w:rFonts w:ascii="Verdana" w:hAnsi="Verdana"/>
        </w:rPr>
        <w:t>T</w:t>
      </w:r>
      <w:r w:rsidR="00DF0574" w:rsidRPr="00C868DC">
        <w:rPr>
          <w:rFonts w:ascii="Verdana" w:hAnsi="Verdana"/>
        </w:rPr>
        <w:t>he A-level equivalent</w:t>
      </w:r>
      <w:r w:rsidR="000D6243" w:rsidRPr="00C868DC">
        <w:rPr>
          <w:rFonts w:ascii="Verdana" w:hAnsi="Verdana"/>
        </w:rPr>
        <w:t xml:space="preserve"> qualification</w:t>
      </w:r>
      <w:r w:rsidR="00DF0574" w:rsidRPr="00C868DC">
        <w:rPr>
          <w:rFonts w:ascii="Verdana" w:hAnsi="Verdana"/>
        </w:rPr>
        <w:t>s</w:t>
      </w:r>
      <w:r w:rsidR="00E309FA" w:rsidRPr="00C868DC">
        <w:rPr>
          <w:rFonts w:ascii="Verdana" w:hAnsi="Verdana"/>
        </w:rPr>
        <w:t xml:space="preserve"> are not </w:t>
      </w:r>
      <w:r w:rsidR="000D6243" w:rsidRPr="00C868DC">
        <w:rPr>
          <w:rFonts w:ascii="Verdana" w:hAnsi="Verdana"/>
        </w:rPr>
        <w:t xml:space="preserve">even </w:t>
      </w:r>
      <w:r w:rsidR="00E309FA" w:rsidRPr="00C868DC">
        <w:rPr>
          <w:rFonts w:ascii="Verdana" w:hAnsi="Verdana"/>
        </w:rPr>
        <w:t>defined in the LFS;</w:t>
      </w:r>
      <w:r w:rsidR="00DF0574" w:rsidRPr="00C868DC">
        <w:rPr>
          <w:rFonts w:ascii="Verdana" w:hAnsi="Verdana"/>
        </w:rPr>
        <w:t xml:space="preserve"> it is left to the respondents to decide.</w:t>
      </w:r>
      <w:r w:rsidR="000D6243" w:rsidRPr="00C868DC">
        <w:rPr>
          <w:rFonts w:ascii="Verdana" w:hAnsi="Verdana"/>
        </w:rPr>
        <w:t xml:space="preserve"> </w:t>
      </w:r>
      <w:r w:rsidR="00DF0574" w:rsidRPr="00C868DC">
        <w:rPr>
          <w:rFonts w:ascii="Verdana" w:hAnsi="Verdana"/>
        </w:rPr>
        <w:t xml:space="preserve"> Further, </w:t>
      </w:r>
      <w:r w:rsidR="00202AB4" w:rsidRPr="00C868DC">
        <w:rPr>
          <w:rFonts w:ascii="Verdana" w:hAnsi="Verdana"/>
        </w:rPr>
        <w:t xml:space="preserve">it is not possible, or at least </w:t>
      </w:r>
      <w:r w:rsidR="00EF232D" w:rsidRPr="00C868DC">
        <w:rPr>
          <w:rFonts w:ascii="Verdana" w:hAnsi="Verdana"/>
        </w:rPr>
        <w:t xml:space="preserve">it is </w:t>
      </w:r>
      <w:r w:rsidR="00202AB4" w:rsidRPr="00C868DC">
        <w:rPr>
          <w:rFonts w:ascii="Verdana" w:hAnsi="Verdana"/>
        </w:rPr>
        <w:t xml:space="preserve">very difficult, to </w:t>
      </w:r>
      <w:r w:rsidR="00112AD7" w:rsidRPr="00C868DC">
        <w:rPr>
          <w:rFonts w:ascii="Verdana" w:hAnsi="Verdana"/>
        </w:rPr>
        <w:t>distinguish</w:t>
      </w:r>
      <w:r w:rsidR="00202AB4" w:rsidRPr="00C868DC">
        <w:rPr>
          <w:rFonts w:ascii="Verdana" w:hAnsi="Verdana"/>
        </w:rPr>
        <w:t xml:space="preserve"> between those</w:t>
      </w:r>
      <w:r w:rsidR="00DF0574" w:rsidRPr="00C868DC">
        <w:rPr>
          <w:rFonts w:ascii="Verdana" w:hAnsi="Verdana"/>
        </w:rPr>
        <w:t xml:space="preserve"> who have never gone to university and those who left without a qualification</w:t>
      </w:r>
      <w:r w:rsidR="00202AB4" w:rsidRPr="00C868DC">
        <w:rPr>
          <w:rFonts w:ascii="Verdana" w:hAnsi="Verdana"/>
        </w:rPr>
        <w:t>.</w:t>
      </w:r>
      <w:r w:rsidR="00E309FA" w:rsidRPr="00C868DC">
        <w:rPr>
          <w:rFonts w:ascii="Verdana" w:hAnsi="Verdana"/>
        </w:rPr>
        <w:t xml:space="preserve"> </w:t>
      </w:r>
      <w:r w:rsidR="00112AD7" w:rsidRPr="00C868DC">
        <w:rPr>
          <w:rFonts w:ascii="Verdana" w:hAnsi="Verdana"/>
        </w:rPr>
        <w:t xml:space="preserve"> </w:t>
      </w:r>
      <w:r w:rsidR="000D6243" w:rsidRPr="00C868DC">
        <w:rPr>
          <w:rFonts w:ascii="Verdana" w:hAnsi="Verdana"/>
        </w:rPr>
        <w:t>T</w:t>
      </w:r>
      <w:r w:rsidR="00112AD7" w:rsidRPr="00C868DC">
        <w:rPr>
          <w:rFonts w:ascii="Verdana" w:hAnsi="Verdana"/>
        </w:rPr>
        <w:t xml:space="preserve">he LFS has little information on the social background of individuals, which are known to be associated with both </w:t>
      </w:r>
      <w:proofErr w:type="gramStart"/>
      <w:r w:rsidR="00112AD7" w:rsidRPr="00C868DC">
        <w:rPr>
          <w:rFonts w:ascii="Verdana" w:hAnsi="Verdana"/>
        </w:rPr>
        <w:t>entry</w:t>
      </w:r>
      <w:proofErr w:type="gramEnd"/>
      <w:r w:rsidR="00112AD7" w:rsidRPr="00C868DC">
        <w:rPr>
          <w:rFonts w:ascii="Verdana" w:hAnsi="Verdana"/>
        </w:rPr>
        <w:t xml:space="preserve"> to higher education and to earnings.</w:t>
      </w:r>
    </w:p>
    <w:p w:rsidR="00C868DC" w:rsidRDefault="00C868DC"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C868DC">
        <w:rPr>
          <w:rFonts w:ascii="Verdana" w:hAnsi="Verdana"/>
        </w:rPr>
        <w:t xml:space="preserve">  </w:t>
      </w:r>
      <w:r w:rsidR="00DF0574" w:rsidRPr="00C868DC">
        <w:rPr>
          <w:rFonts w:ascii="Verdana" w:hAnsi="Verdana"/>
        </w:rPr>
        <w:t>It would seem unlikely that such a source could provide useful measures of returns.</w:t>
      </w:r>
      <w:r w:rsidR="00202AB4" w:rsidRPr="00C868DC">
        <w:rPr>
          <w:rFonts w:ascii="Verdana" w:hAnsi="Verdana"/>
        </w:rPr>
        <w:t xml:space="preserve"> Here we look some of the justifications </w:t>
      </w:r>
      <w:r w:rsidR="00112AD7" w:rsidRPr="00C868DC">
        <w:rPr>
          <w:rFonts w:ascii="Verdana" w:hAnsi="Verdana"/>
        </w:rPr>
        <w:t xml:space="preserve">that have been made for </w:t>
      </w:r>
      <w:r w:rsidR="00F40221" w:rsidRPr="00C868DC">
        <w:rPr>
          <w:rFonts w:ascii="Verdana" w:hAnsi="Verdana"/>
        </w:rPr>
        <w:t>the use of the LFS to estimate the returns from higher education qualifications compared to those with two or more A-levels or their equivalents.</w:t>
      </w:r>
    </w:p>
    <w:p w:rsidR="00E513C0" w:rsidRDefault="00E513C0" w:rsidP="00C868DC">
      <w:pPr>
        <w:pStyle w:val="ListParagraph"/>
        <w:autoSpaceDE w:val="0"/>
        <w:autoSpaceDN w:val="0"/>
        <w:adjustRightInd w:val="0"/>
        <w:spacing w:after="240" w:line="300" w:lineRule="atLeast"/>
        <w:ind w:left="0"/>
        <w:contextualSpacing w:val="0"/>
        <w:rPr>
          <w:rFonts w:ascii="Verdana" w:hAnsi="Verdana"/>
          <w:u w:val="single"/>
        </w:rPr>
      </w:pPr>
    </w:p>
    <w:p w:rsidR="00C868DC" w:rsidRPr="00CA7364" w:rsidRDefault="001B1326" w:rsidP="00C868DC">
      <w:pPr>
        <w:pStyle w:val="ListParagraph"/>
        <w:autoSpaceDE w:val="0"/>
        <w:autoSpaceDN w:val="0"/>
        <w:adjustRightInd w:val="0"/>
        <w:spacing w:after="240" w:line="300" w:lineRule="atLeast"/>
        <w:ind w:left="0"/>
        <w:contextualSpacing w:val="0"/>
        <w:rPr>
          <w:rFonts w:ascii="Verdana" w:hAnsi="Verdana"/>
          <w:u w:val="single"/>
        </w:rPr>
      </w:pPr>
      <w:r w:rsidRPr="00CA7364">
        <w:rPr>
          <w:rFonts w:ascii="Verdana" w:hAnsi="Verdana"/>
          <w:u w:val="single"/>
        </w:rPr>
        <w:lastRenderedPageBreak/>
        <w:t>London Economics</w:t>
      </w:r>
    </w:p>
    <w:p w:rsidR="00C868DC" w:rsidRDefault="00C868DC" w:rsidP="001C773A">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CA7364">
        <w:rPr>
          <w:rFonts w:ascii="Verdana" w:hAnsi="Verdana"/>
        </w:rPr>
        <w:t xml:space="preserve"> </w:t>
      </w:r>
      <w:r w:rsidR="00F40221" w:rsidRPr="00CA7364">
        <w:rPr>
          <w:rFonts w:ascii="Verdana" w:hAnsi="Verdana"/>
        </w:rPr>
        <w:t>The Department for Business Innovation and Skills (BIS) recently commissioned</w:t>
      </w:r>
      <w:r w:rsidR="00F40221" w:rsidRPr="00C868DC">
        <w:rPr>
          <w:rFonts w:ascii="Verdana" w:hAnsi="Verdana"/>
        </w:rPr>
        <w:t xml:space="preserve"> London Economics to carry out a study into the returns to higher education qualifications. (Conlon, et al, 2011). </w:t>
      </w:r>
      <w:r w:rsidR="00EF232D" w:rsidRPr="00C868DC">
        <w:rPr>
          <w:rFonts w:ascii="Verdana" w:hAnsi="Verdana"/>
        </w:rPr>
        <w:t xml:space="preserve">They used LFS data. </w:t>
      </w:r>
      <w:r w:rsidR="001E2CE7" w:rsidRPr="00C868DC">
        <w:rPr>
          <w:rFonts w:ascii="Verdana" w:hAnsi="Verdana"/>
        </w:rPr>
        <w:t>The</w:t>
      </w:r>
      <w:r w:rsidR="00506249" w:rsidRPr="00C868DC">
        <w:rPr>
          <w:rFonts w:ascii="Verdana" w:hAnsi="Verdana"/>
        </w:rPr>
        <w:t>ir</w:t>
      </w:r>
      <w:r w:rsidR="001E2CE7" w:rsidRPr="00C868DC">
        <w:rPr>
          <w:rFonts w:ascii="Verdana" w:hAnsi="Verdana"/>
        </w:rPr>
        <w:t xml:space="preserve"> justification is succinct; their approach ha</w:t>
      </w:r>
      <w:r w:rsidR="00EF232D" w:rsidRPr="00C868DC">
        <w:rPr>
          <w:rFonts w:ascii="Verdana" w:hAnsi="Verdana"/>
        </w:rPr>
        <w:t>d</w:t>
      </w:r>
      <w:r w:rsidR="001E2CE7" w:rsidRPr="00C868DC">
        <w:rPr>
          <w:rFonts w:ascii="Verdana" w:hAnsi="Verdana"/>
        </w:rPr>
        <w:t xml:space="preserve"> been </w:t>
      </w:r>
      <w:r w:rsidR="006067AC">
        <w:rPr>
          <w:rFonts w:ascii="Verdana" w:hAnsi="Verdana"/>
        </w:rPr>
        <w:t>‘</w:t>
      </w:r>
      <w:r w:rsidR="001E2CE7" w:rsidRPr="00C868DC">
        <w:rPr>
          <w:rFonts w:ascii="Verdana" w:hAnsi="Verdana"/>
        </w:rPr>
        <w:t>used widely in the academic literature</w:t>
      </w:r>
      <w:r w:rsidR="006067AC">
        <w:rPr>
          <w:rFonts w:ascii="Verdana" w:hAnsi="Verdana"/>
        </w:rPr>
        <w:t>’</w:t>
      </w:r>
      <w:r w:rsidR="001E2CE7" w:rsidRPr="00C868DC">
        <w:rPr>
          <w:rFonts w:ascii="Verdana" w:hAnsi="Verdana"/>
        </w:rPr>
        <w:t xml:space="preserve">.  There is no direct pointer to which academic literature they are referring to, but there is just one </w:t>
      </w:r>
      <w:r w:rsidR="0079295E" w:rsidRPr="00C868DC">
        <w:rPr>
          <w:rFonts w:ascii="Verdana" w:hAnsi="Verdana"/>
        </w:rPr>
        <w:t xml:space="preserve">reference to a study </w:t>
      </w:r>
      <w:r w:rsidR="001E2CE7" w:rsidRPr="00C868DC">
        <w:rPr>
          <w:rFonts w:ascii="Verdana" w:hAnsi="Verdana"/>
        </w:rPr>
        <w:t>estimating the returns to higher education</w:t>
      </w:r>
      <w:r w:rsidR="00A46682" w:rsidRPr="00C868DC">
        <w:rPr>
          <w:rFonts w:ascii="Verdana" w:hAnsi="Verdana"/>
        </w:rPr>
        <w:t>. This is the 2005 paper by O'Leary and Sloane.</w:t>
      </w:r>
    </w:p>
    <w:p w:rsidR="00C868DC" w:rsidRPr="00CA7364" w:rsidRDefault="001B1326" w:rsidP="00C868DC">
      <w:pPr>
        <w:pStyle w:val="ListParagraph"/>
        <w:autoSpaceDE w:val="0"/>
        <w:autoSpaceDN w:val="0"/>
        <w:adjustRightInd w:val="0"/>
        <w:spacing w:after="240" w:line="300" w:lineRule="atLeast"/>
        <w:ind w:left="0"/>
        <w:contextualSpacing w:val="0"/>
        <w:rPr>
          <w:rFonts w:ascii="Verdana" w:hAnsi="Verdana"/>
          <w:u w:val="single"/>
        </w:rPr>
      </w:pPr>
      <w:r w:rsidRPr="00CA7364">
        <w:rPr>
          <w:rFonts w:ascii="Verdana" w:hAnsi="Verdana"/>
          <w:u w:val="single"/>
        </w:rPr>
        <w:t xml:space="preserve">O’Leary and </w:t>
      </w:r>
      <w:proofErr w:type="spellStart"/>
      <w:r w:rsidRPr="00CA7364">
        <w:rPr>
          <w:rFonts w:ascii="Verdana" w:hAnsi="Verdana"/>
          <w:u w:val="single"/>
        </w:rPr>
        <w:t>Stoane</w:t>
      </w:r>
      <w:proofErr w:type="spellEnd"/>
      <w:r w:rsidRPr="00CA7364">
        <w:rPr>
          <w:rFonts w:ascii="Verdana" w:hAnsi="Verdana"/>
          <w:u w:val="single"/>
        </w:rPr>
        <w:t xml:space="preserve"> </w:t>
      </w:r>
    </w:p>
    <w:p w:rsidR="00C868DC" w:rsidRDefault="00C868DC"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CA7364">
        <w:rPr>
          <w:rFonts w:ascii="Verdana" w:hAnsi="Verdana"/>
        </w:rPr>
        <w:t xml:space="preserve"> </w:t>
      </w:r>
      <w:r w:rsidR="0079295E" w:rsidRPr="00CA7364">
        <w:rPr>
          <w:rFonts w:ascii="Verdana" w:hAnsi="Verdana"/>
        </w:rPr>
        <w:t xml:space="preserve">The O’Leary and </w:t>
      </w:r>
      <w:proofErr w:type="spellStart"/>
      <w:r w:rsidR="0079295E" w:rsidRPr="00CA7364">
        <w:rPr>
          <w:rFonts w:ascii="Verdana" w:hAnsi="Verdana"/>
        </w:rPr>
        <w:t>Stoane</w:t>
      </w:r>
      <w:proofErr w:type="spellEnd"/>
      <w:r w:rsidR="0079295E" w:rsidRPr="00CA7364">
        <w:rPr>
          <w:rFonts w:ascii="Verdana" w:hAnsi="Verdana"/>
        </w:rPr>
        <w:t xml:space="preserve"> paper uses the LFS. They supplement these data which</w:t>
      </w:r>
      <w:r w:rsidR="0079295E" w:rsidRPr="00C868DC">
        <w:rPr>
          <w:rFonts w:ascii="Verdana" w:hAnsi="Verdana"/>
        </w:rPr>
        <w:t xml:space="preserve"> an estimate of the ‘quality’ of the subjects taught </w:t>
      </w:r>
      <w:r w:rsidR="001C773A" w:rsidRPr="00C868DC">
        <w:rPr>
          <w:rFonts w:ascii="Verdana" w:hAnsi="Verdana"/>
        </w:rPr>
        <w:t>at HE level derived from admissions data. This measure give</w:t>
      </w:r>
      <w:r w:rsidR="00CA7364">
        <w:rPr>
          <w:rFonts w:ascii="Verdana" w:hAnsi="Verdana"/>
        </w:rPr>
        <w:t>s</w:t>
      </w:r>
      <w:r w:rsidR="001C773A" w:rsidRPr="00C868DC">
        <w:rPr>
          <w:rFonts w:ascii="Verdana" w:hAnsi="Verdana"/>
        </w:rPr>
        <w:t xml:space="preserve"> all students studying the same subject the same ‘ability’</w:t>
      </w:r>
      <w:r w:rsidR="00CA7364">
        <w:rPr>
          <w:rFonts w:ascii="Verdana" w:hAnsi="Verdana"/>
        </w:rPr>
        <w:t xml:space="preserve">. </w:t>
      </w:r>
      <w:r w:rsidR="001C773A" w:rsidRPr="00C868DC">
        <w:rPr>
          <w:rFonts w:ascii="Verdana" w:hAnsi="Verdana"/>
        </w:rPr>
        <w:t>No doubt mindful o</w:t>
      </w:r>
      <w:r w:rsidR="00C96A84" w:rsidRPr="00C868DC">
        <w:rPr>
          <w:rFonts w:ascii="Verdana" w:hAnsi="Verdana"/>
        </w:rPr>
        <w:t>f</w:t>
      </w:r>
      <w:r w:rsidR="001C773A" w:rsidRPr="00C868DC">
        <w:rPr>
          <w:rFonts w:ascii="Verdana" w:hAnsi="Verdana"/>
        </w:rPr>
        <w:t xml:space="preserve"> such</w:t>
      </w:r>
      <w:r w:rsidR="00CA7364">
        <w:rPr>
          <w:rFonts w:ascii="Verdana" w:hAnsi="Verdana"/>
        </w:rPr>
        <w:t xml:space="preserve"> limitations</w:t>
      </w:r>
      <w:r w:rsidR="001C773A" w:rsidRPr="00C868DC">
        <w:rPr>
          <w:rFonts w:ascii="Verdana" w:hAnsi="Verdana"/>
        </w:rPr>
        <w:t xml:space="preserve"> the authors write, </w:t>
      </w:r>
      <w:r w:rsidR="006067AC">
        <w:rPr>
          <w:rFonts w:ascii="Verdana" w:hAnsi="Verdana"/>
        </w:rPr>
        <w:t>‘</w:t>
      </w:r>
      <w:r w:rsidR="001C773A" w:rsidRPr="00C868DC">
        <w:rPr>
          <w:rFonts w:ascii="Verdana" w:hAnsi="Verdana"/>
        </w:rPr>
        <w:t xml:space="preserve">this does not control for all types of </w:t>
      </w:r>
      <w:proofErr w:type="spellStart"/>
      <w:r w:rsidR="001C773A" w:rsidRPr="00C868DC">
        <w:rPr>
          <w:rFonts w:ascii="Verdana" w:hAnsi="Verdana"/>
        </w:rPr>
        <w:t>endogeneity</w:t>
      </w:r>
      <w:proofErr w:type="spellEnd"/>
      <w:r w:rsidR="001C773A" w:rsidRPr="00C868DC">
        <w:rPr>
          <w:rFonts w:ascii="Verdana" w:hAnsi="Verdana"/>
        </w:rPr>
        <w:t xml:space="preserve">, but earlier studies suggest that biases introduced through failure to control for </w:t>
      </w:r>
      <w:proofErr w:type="spellStart"/>
      <w:r w:rsidR="001C773A" w:rsidRPr="00C868DC">
        <w:rPr>
          <w:rFonts w:ascii="Verdana" w:hAnsi="Verdana"/>
        </w:rPr>
        <w:t>endogeneity</w:t>
      </w:r>
      <w:proofErr w:type="spellEnd"/>
      <w:r w:rsidR="001C773A" w:rsidRPr="00C868DC">
        <w:rPr>
          <w:rFonts w:ascii="Verdana" w:hAnsi="Verdana"/>
        </w:rPr>
        <w:t xml:space="preserve"> tend to cancel one another out, so that OLS estimates are reasonably reliable.</w:t>
      </w:r>
      <w:r w:rsidR="006067AC">
        <w:rPr>
          <w:rFonts w:ascii="Verdana" w:hAnsi="Verdana"/>
        </w:rPr>
        <w:t>’</w:t>
      </w:r>
      <w:r w:rsidR="001C773A" w:rsidRPr="00C868DC">
        <w:rPr>
          <w:rFonts w:ascii="Verdana" w:hAnsi="Verdana"/>
        </w:rPr>
        <w:t xml:space="preserve"> They refer to Bonjour (</w:t>
      </w:r>
      <w:r w:rsidR="000D6243" w:rsidRPr="00C868DC">
        <w:rPr>
          <w:rFonts w:ascii="Verdana" w:hAnsi="Verdana"/>
        </w:rPr>
        <w:t>Bonjour et al, 2005) and Card (</w:t>
      </w:r>
      <w:r w:rsidR="001B1326" w:rsidRPr="00C868DC">
        <w:rPr>
          <w:rFonts w:ascii="Verdana" w:hAnsi="Verdana"/>
        </w:rPr>
        <w:t xml:space="preserve">Card, </w:t>
      </w:r>
      <w:r w:rsidR="000D6243" w:rsidRPr="00C868DC">
        <w:rPr>
          <w:rFonts w:ascii="Verdana" w:hAnsi="Verdana"/>
        </w:rPr>
        <w:t>1999) as ‘instances’ of such studies.</w:t>
      </w:r>
      <w:r w:rsidR="001C773A" w:rsidRPr="00C868DC">
        <w:rPr>
          <w:rFonts w:ascii="Verdana" w:hAnsi="Verdana"/>
        </w:rPr>
        <w:t xml:space="preserve"> </w:t>
      </w:r>
    </w:p>
    <w:p w:rsidR="00C868DC" w:rsidRDefault="00C868DC"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C868DC">
        <w:rPr>
          <w:rFonts w:ascii="Verdana" w:hAnsi="Verdana"/>
        </w:rPr>
        <w:t xml:space="preserve"> </w:t>
      </w:r>
      <w:r w:rsidR="000D6243" w:rsidRPr="00C868DC">
        <w:rPr>
          <w:rFonts w:ascii="Verdana" w:hAnsi="Verdana"/>
        </w:rPr>
        <w:t xml:space="preserve">The Bonjour study is based on </w:t>
      </w:r>
      <w:r w:rsidR="00F42A9E" w:rsidRPr="00C868DC">
        <w:rPr>
          <w:rFonts w:ascii="Verdana" w:hAnsi="Verdana"/>
        </w:rPr>
        <w:t xml:space="preserve">a sample </w:t>
      </w:r>
      <w:r w:rsidR="00BC69E4" w:rsidRPr="00C868DC">
        <w:rPr>
          <w:rFonts w:ascii="Verdana" w:hAnsi="Verdana"/>
        </w:rPr>
        <w:t xml:space="preserve">of 214 </w:t>
      </w:r>
      <w:r w:rsidR="00131689">
        <w:rPr>
          <w:rFonts w:ascii="Verdana" w:hAnsi="Verdana"/>
        </w:rPr>
        <w:t xml:space="preserve">pairs of identical </w:t>
      </w:r>
      <w:r w:rsidR="00BC69E4" w:rsidRPr="00C868DC">
        <w:rPr>
          <w:rFonts w:ascii="Verdana" w:hAnsi="Verdana"/>
        </w:rPr>
        <w:t>female twin</w:t>
      </w:r>
      <w:r w:rsidR="00131689">
        <w:rPr>
          <w:rFonts w:ascii="Verdana" w:hAnsi="Verdana"/>
        </w:rPr>
        <w:t>s</w:t>
      </w:r>
      <w:r w:rsidR="00BC69E4" w:rsidRPr="00C868DC">
        <w:rPr>
          <w:rFonts w:ascii="Verdana" w:hAnsi="Verdana"/>
        </w:rPr>
        <w:t>, more than half of whom ha</w:t>
      </w:r>
      <w:r w:rsidR="006F1856">
        <w:rPr>
          <w:rFonts w:ascii="Verdana" w:hAnsi="Verdana"/>
        </w:rPr>
        <w:t>d</w:t>
      </w:r>
      <w:r w:rsidR="00BC69E4" w:rsidRPr="00C868DC">
        <w:rPr>
          <w:rFonts w:ascii="Verdana" w:hAnsi="Verdana"/>
        </w:rPr>
        <w:t xml:space="preserve"> the same education level</w:t>
      </w:r>
      <w:r w:rsidR="00D42D70">
        <w:rPr>
          <w:rFonts w:ascii="Verdana" w:hAnsi="Verdana"/>
        </w:rPr>
        <w:t xml:space="preserve"> and</w:t>
      </w:r>
      <w:r w:rsidR="00131689">
        <w:rPr>
          <w:rFonts w:ascii="Verdana" w:hAnsi="Verdana"/>
        </w:rPr>
        <w:t xml:space="preserve"> so </w:t>
      </w:r>
      <w:r w:rsidR="006F1856">
        <w:rPr>
          <w:rFonts w:ascii="Verdana" w:hAnsi="Verdana"/>
        </w:rPr>
        <w:t xml:space="preserve">would not contribute to the </w:t>
      </w:r>
      <w:r w:rsidR="003A540A">
        <w:rPr>
          <w:rFonts w:ascii="Verdana" w:hAnsi="Verdana"/>
        </w:rPr>
        <w:t>within pair</w:t>
      </w:r>
      <w:r w:rsidR="006F1856">
        <w:rPr>
          <w:rFonts w:ascii="Verdana" w:hAnsi="Verdana"/>
        </w:rPr>
        <w:t xml:space="preserve"> </w:t>
      </w:r>
      <w:r w:rsidR="00D42D70">
        <w:rPr>
          <w:rFonts w:ascii="Verdana" w:hAnsi="Verdana"/>
        </w:rPr>
        <w:t>comparisons</w:t>
      </w:r>
      <w:r w:rsidR="00131689">
        <w:rPr>
          <w:rFonts w:ascii="Verdana" w:hAnsi="Verdana"/>
        </w:rPr>
        <w:t xml:space="preserve">. </w:t>
      </w:r>
      <w:r w:rsidR="00BC69E4" w:rsidRPr="00C868DC">
        <w:rPr>
          <w:rFonts w:ascii="Verdana" w:hAnsi="Verdana"/>
        </w:rPr>
        <w:t xml:space="preserve"> Such</w:t>
      </w:r>
      <w:r w:rsidR="000C0BF9" w:rsidRPr="00C868DC">
        <w:rPr>
          <w:rFonts w:ascii="Verdana" w:hAnsi="Verdana"/>
        </w:rPr>
        <w:t xml:space="preserve"> a small sample </w:t>
      </w:r>
      <w:r w:rsidR="00FE29BC" w:rsidRPr="00C868DC">
        <w:rPr>
          <w:rFonts w:ascii="Verdana" w:hAnsi="Verdana"/>
        </w:rPr>
        <w:t>leads to very wide confidence intervals. It is also</w:t>
      </w:r>
      <w:r w:rsidR="000C0BF9" w:rsidRPr="00C868DC">
        <w:rPr>
          <w:rFonts w:ascii="Verdana" w:hAnsi="Verdana"/>
        </w:rPr>
        <w:t xml:space="preserve"> vulnerable to outliers and, indeed, this has recently been shown to be the case (Amin, 2011). Using twin comparisons does not ensure that ‘all types of </w:t>
      </w:r>
      <w:proofErr w:type="spellStart"/>
      <w:r w:rsidR="000C0BF9" w:rsidRPr="00C868DC">
        <w:rPr>
          <w:rFonts w:ascii="Verdana" w:hAnsi="Verdana"/>
        </w:rPr>
        <w:t>endogeniety</w:t>
      </w:r>
      <w:proofErr w:type="spellEnd"/>
      <w:r w:rsidR="000C0BF9" w:rsidRPr="00C868DC">
        <w:rPr>
          <w:rFonts w:ascii="Verdana" w:hAnsi="Verdana"/>
        </w:rPr>
        <w:t>’ are controlled for, and though in this study there were also data on ability test scores, there is no certainty that these remove any remaining bias. The two biases which cancelled out were</w:t>
      </w:r>
      <w:r w:rsidR="0033271C" w:rsidRPr="00C868DC">
        <w:rPr>
          <w:rFonts w:ascii="Verdana" w:hAnsi="Verdana"/>
        </w:rPr>
        <w:t>:</w:t>
      </w:r>
      <w:r w:rsidR="00FE29BC" w:rsidRPr="00C868DC">
        <w:rPr>
          <w:rFonts w:ascii="Verdana" w:hAnsi="Verdana"/>
        </w:rPr>
        <w:t xml:space="preserve"> unobserved differences in what is usually called ‘ability’ and measurement error in reported qualifications. The first was investigated by looking at within twin differences and controlling with additional variables, the second by asking each twin to report on qualifications achieved by the other. Where these reports differ, clearly one must be wrong, but short of carrying o</w:t>
      </w:r>
      <w:r w:rsidR="0033271C" w:rsidRPr="00C868DC">
        <w:rPr>
          <w:rFonts w:ascii="Verdana" w:hAnsi="Verdana"/>
        </w:rPr>
        <w:t>ut a follow up audit we cannot be sure which</w:t>
      </w:r>
      <w:r w:rsidR="00EE68A6" w:rsidRPr="00C868DC">
        <w:rPr>
          <w:rFonts w:ascii="Verdana" w:hAnsi="Verdana"/>
        </w:rPr>
        <w:t>, if any,</w:t>
      </w:r>
      <w:r w:rsidR="0033271C" w:rsidRPr="00C868DC">
        <w:rPr>
          <w:rFonts w:ascii="Verdana" w:hAnsi="Verdana"/>
        </w:rPr>
        <w:t xml:space="preserve"> is right. By making a number of assumptions, the researchers produced estimates of the returns by using both self and other twin reports. It was these estimates that led to the conclusion that the biases cancelled out. However, we cannot be certain that these estimates </w:t>
      </w:r>
      <w:r w:rsidR="00EE68A6" w:rsidRPr="00C868DC">
        <w:rPr>
          <w:rFonts w:ascii="Verdana" w:hAnsi="Verdana"/>
        </w:rPr>
        <w:t xml:space="preserve">which attempt to allow for misreporting </w:t>
      </w:r>
      <w:r w:rsidR="0033271C" w:rsidRPr="00C868DC">
        <w:rPr>
          <w:rFonts w:ascii="Verdana" w:hAnsi="Verdana"/>
        </w:rPr>
        <w:t xml:space="preserve">are any better than </w:t>
      </w:r>
      <w:r w:rsidR="00EF232D" w:rsidRPr="00C868DC">
        <w:rPr>
          <w:rFonts w:ascii="Verdana" w:hAnsi="Verdana"/>
        </w:rPr>
        <w:t>those</w:t>
      </w:r>
      <w:r w:rsidR="0033271C" w:rsidRPr="00C868DC">
        <w:rPr>
          <w:rFonts w:ascii="Verdana" w:hAnsi="Verdana"/>
        </w:rPr>
        <w:t xml:space="preserve"> based on assuming that the self reported qualifications were accurate. Even if we </w:t>
      </w:r>
      <w:r w:rsidR="007656F1" w:rsidRPr="00C868DC">
        <w:rPr>
          <w:rFonts w:ascii="Verdana" w:hAnsi="Verdana"/>
        </w:rPr>
        <w:t xml:space="preserve">were to </w:t>
      </w:r>
      <w:r w:rsidR="0033271C" w:rsidRPr="00C868DC">
        <w:rPr>
          <w:rFonts w:ascii="Verdana" w:hAnsi="Verdana"/>
        </w:rPr>
        <w:t>accept the treatment of measurement error in this study</w:t>
      </w:r>
      <w:r w:rsidR="007656F1" w:rsidRPr="00C868DC">
        <w:rPr>
          <w:rFonts w:ascii="Verdana" w:hAnsi="Verdana"/>
        </w:rPr>
        <w:t>, it would not necessarily apply to the estimates by O’Leary and Stone. Though the twin study used information on reported qualifications, these were converted into assumed years of education and the returns were ‘per year of education’. This statistic will be sensitive to lower level qualifications which we might expect to be reported with lower accuracy.</w:t>
      </w:r>
    </w:p>
    <w:p w:rsidR="00C868DC" w:rsidRDefault="00C868DC" w:rsidP="00133E9C">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C868DC">
        <w:rPr>
          <w:rFonts w:ascii="Verdana" w:hAnsi="Verdana"/>
        </w:rPr>
        <w:lastRenderedPageBreak/>
        <w:t xml:space="preserve"> </w:t>
      </w:r>
      <w:r w:rsidR="007656F1" w:rsidRPr="00C868DC">
        <w:rPr>
          <w:rFonts w:ascii="Verdana" w:hAnsi="Verdana"/>
        </w:rPr>
        <w:t xml:space="preserve">The </w:t>
      </w:r>
      <w:r w:rsidR="006D7B13" w:rsidRPr="00C868DC">
        <w:rPr>
          <w:rFonts w:ascii="Verdana" w:hAnsi="Verdana"/>
        </w:rPr>
        <w:t>Card reference is to a review rather than a particular study, based mostly on US studies</w:t>
      </w:r>
      <w:r w:rsidR="001B1326" w:rsidRPr="00C868DC">
        <w:rPr>
          <w:rFonts w:ascii="Verdana" w:hAnsi="Verdana"/>
        </w:rPr>
        <w:t>, and is of limited relevance to the studies we are concerned with</w:t>
      </w:r>
      <w:r w:rsidR="006D7B13" w:rsidRPr="00C868DC">
        <w:rPr>
          <w:rFonts w:ascii="Verdana" w:hAnsi="Verdana"/>
        </w:rPr>
        <w:t>.</w:t>
      </w:r>
      <w:r w:rsidR="001B1326" w:rsidRPr="00C868DC">
        <w:rPr>
          <w:rFonts w:ascii="Verdana" w:hAnsi="Verdana"/>
        </w:rPr>
        <w:t xml:space="preserve"> Even leaving that aside, the cancelling out claim is not justified by the conclusion of this review that misreporting effects </w:t>
      </w:r>
      <w:r w:rsidR="006067AC">
        <w:rPr>
          <w:rFonts w:ascii="Verdana" w:hAnsi="Verdana"/>
        </w:rPr>
        <w:t>‘</w:t>
      </w:r>
      <w:r w:rsidR="001B1326" w:rsidRPr="00D42D70">
        <w:rPr>
          <w:rFonts w:ascii="Verdana" w:hAnsi="Verdana"/>
          <w:b/>
        </w:rPr>
        <w:t>partially</w:t>
      </w:r>
      <w:r w:rsidR="001B1326" w:rsidRPr="00C868DC">
        <w:rPr>
          <w:rFonts w:ascii="Verdana" w:hAnsi="Verdana"/>
        </w:rPr>
        <w:t xml:space="preserve"> offset the presumably positive biases</w:t>
      </w:r>
      <w:r w:rsidR="006067AC">
        <w:rPr>
          <w:rFonts w:ascii="Verdana" w:hAnsi="Verdana"/>
        </w:rPr>
        <w:t>’</w:t>
      </w:r>
      <w:r w:rsidR="001B1326" w:rsidRPr="00C868DC">
        <w:rPr>
          <w:rFonts w:ascii="Verdana" w:hAnsi="Verdana"/>
        </w:rPr>
        <w:t xml:space="preserve"> of unmeasured ability</w:t>
      </w:r>
      <w:r w:rsidR="00D42D70">
        <w:rPr>
          <w:rFonts w:ascii="Verdana" w:hAnsi="Verdana"/>
        </w:rPr>
        <w:t xml:space="preserve"> (emphasis added)</w:t>
      </w:r>
      <w:r w:rsidR="001B1326" w:rsidRPr="00C868DC">
        <w:rPr>
          <w:rFonts w:ascii="Verdana" w:hAnsi="Verdana"/>
        </w:rPr>
        <w:t xml:space="preserve">. </w:t>
      </w:r>
    </w:p>
    <w:p w:rsidR="00C868DC" w:rsidRPr="004939C2" w:rsidRDefault="004362BE" w:rsidP="00C868DC">
      <w:pPr>
        <w:pStyle w:val="ListParagraph"/>
        <w:autoSpaceDE w:val="0"/>
        <w:autoSpaceDN w:val="0"/>
        <w:adjustRightInd w:val="0"/>
        <w:spacing w:after="240" w:line="300" w:lineRule="atLeast"/>
        <w:ind w:left="0"/>
        <w:contextualSpacing w:val="0"/>
        <w:rPr>
          <w:rFonts w:ascii="Verdana" w:hAnsi="Verdana"/>
          <w:u w:val="single"/>
        </w:rPr>
      </w:pPr>
      <w:r w:rsidRPr="004939C2">
        <w:rPr>
          <w:rFonts w:ascii="Verdana" w:hAnsi="Verdana"/>
          <w:u w:val="single"/>
        </w:rPr>
        <w:t>Walker and</w:t>
      </w:r>
      <w:r w:rsidRPr="004939C2">
        <w:rPr>
          <w:rFonts w:ascii="Verdana" w:hAnsi="Verdana" w:cs="Verdana"/>
          <w:u w:val="single"/>
        </w:rPr>
        <w:t xml:space="preserve"> </w:t>
      </w:r>
      <w:proofErr w:type="spellStart"/>
      <w:r w:rsidRPr="004939C2">
        <w:rPr>
          <w:rFonts w:ascii="Verdana" w:hAnsi="Verdana" w:cs="Verdana"/>
          <w:u w:val="single"/>
        </w:rPr>
        <w:t>Zhub</w:t>
      </w:r>
      <w:proofErr w:type="spellEnd"/>
    </w:p>
    <w:p w:rsidR="00C868DC" w:rsidRDefault="00C868DC" w:rsidP="00133E9C">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4939C2">
        <w:rPr>
          <w:rFonts w:ascii="Verdana" w:hAnsi="Verdana" w:cs="Verdana"/>
        </w:rPr>
        <w:t xml:space="preserve"> </w:t>
      </w:r>
      <w:r w:rsidR="004362BE" w:rsidRPr="004939C2">
        <w:rPr>
          <w:rFonts w:ascii="Verdana" w:hAnsi="Verdana"/>
        </w:rPr>
        <w:t>The</w:t>
      </w:r>
      <w:r w:rsidR="00506249" w:rsidRPr="004939C2">
        <w:rPr>
          <w:rFonts w:ascii="Verdana" w:hAnsi="Verdana"/>
        </w:rPr>
        <w:t xml:space="preserve"> recent</w:t>
      </w:r>
      <w:r w:rsidR="004362BE" w:rsidRPr="004939C2">
        <w:rPr>
          <w:rFonts w:ascii="Verdana" w:hAnsi="Verdana"/>
        </w:rPr>
        <w:t xml:space="preserve"> Walker and </w:t>
      </w:r>
      <w:proofErr w:type="spellStart"/>
      <w:r w:rsidR="004362BE" w:rsidRPr="004939C2">
        <w:rPr>
          <w:rFonts w:ascii="Verdana" w:hAnsi="Verdana"/>
        </w:rPr>
        <w:t>Zhub</w:t>
      </w:r>
      <w:proofErr w:type="spellEnd"/>
      <w:r w:rsidR="004362BE" w:rsidRPr="004939C2">
        <w:rPr>
          <w:rFonts w:ascii="Verdana" w:hAnsi="Verdana"/>
        </w:rPr>
        <w:t xml:space="preserve"> study (Walker et al, 2011) was referred to in the discussion of the returns for studying different subjects. (See tables 1 and 2.) </w:t>
      </w:r>
      <w:r w:rsidR="00133E9C" w:rsidRPr="004939C2">
        <w:rPr>
          <w:rFonts w:ascii="Verdana" w:hAnsi="Verdana"/>
        </w:rPr>
        <w:t>They</w:t>
      </w:r>
      <w:r w:rsidR="00133E9C" w:rsidRPr="00C868DC">
        <w:rPr>
          <w:rFonts w:ascii="Verdana" w:hAnsi="Verdana"/>
        </w:rPr>
        <w:t xml:space="preserve"> judge that the bias in </w:t>
      </w:r>
      <w:r w:rsidR="004939C2">
        <w:rPr>
          <w:rFonts w:ascii="Verdana" w:hAnsi="Verdana"/>
        </w:rPr>
        <w:t xml:space="preserve">their estimate of the returns overall </w:t>
      </w:r>
      <w:r w:rsidR="0067782E" w:rsidRPr="00C868DC">
        <w:rPr>
          <w:rFonts w:ascii="Verdana" w:hAnsi="Verdana"/>
        </w:rPr>
        <w:t>are</w:t>
      </w:r>
      <w:r w:rsidR="00133E9C" w:rsidRPr="00C868DC">
        <w:rPr>
          <w:rFonts w:ascii="Verdana" w:hAnsi="Verdana"/>
        </w:rPr>
        <w:t xml:space="preserve"> likely to be small given their choice of </w:t>
      </w:r>
      <w:r w:rsidR="006067AC">
        <w:rPr>
          <w:rFonts w:ascii="Verdana" w:hAnsi="Verdana"/>
        </w:rPr>
        <w:t>‘</w:t>
      </w:r>
      <w:r w:rsidR="00133E9C" w:rsidRPr="00C868DC">
        <w:rPr>
          <w:rFonts w:ascii="Verdana" w:hAnsi="Verdana"/>
        </w:rPr>
        <w:t>control group</w:t>
      </w:r>
      <w:r w:rsidR="006067AC">
        <w:rPr>
          <w:rFonts w:ascii="Verdana" w:hAnsi="Verdana"/>
        </w:rPr>
        <w:t>’</w:t>
      </w:r>
      <w:r w:rsidR="00133E9C" w:rsidRPr="00C868DC">
        <w:rPr>
          <w:rFonts w:ascii="Verdana" w:hAnsi="Verdana"/>
        </w:rPr>
        <w:t xml:space="preserve">, that is those </w:t>
      </w:r>
      <w:r w:rsidR="0067782E" w:rsidRPr="00C868DC">
        <w:rPr>
          <w:rFonts w:ascii="Verdana" w:hAnsi="Verdana"/>
        </w:rPr>
        <w:t>whose highest qualification are</w:t>
      </w:r>
      <w:r w:rsidR="00133E9C" w:rsidRPr="00C868DC">
        <w:rPr>
          <w:rFonts w:ascii="Verdana" w:hAnsi="Verdana"/>
        </w:rPr>
        <w:t xml:space="preserve"> two or more A-levels or the equivalent</w:t>
      </w:r>
      <w:r w:rsidR="0067782E" w:rsidRPr="00C868DC">
        <w:rPr>
          <w:rFonts w:ascii="Verdana" w:hAnsi="Verdana"/>
        </w:rPr>
        <w:t>s</w:t>
      </w:r>
      <w:r w:rsidR="00133E9C" w:rsidRPr="00C868DC">
        <w:rPr>
          <w:rFonts w:ascii="Verdana" w:hAnsi="Verdana"/>
        </w:rPr>
        <w:t>. In support of this they cite the results by Blundell</w:t>
      </w:r>
      <w:r w:rsidR="00D102F8" w:rsidRPr="00C868DC">
        <w:rPr>
          <w:rFonts w:ascii="Verdana" w:hAnsi="Verdana"/>
        </w:rPr>
        <w:t xml:space="preserve"> (Blundell et al 2005)</w:t>
      </w:r>
      <w:r w:rsidR="00133E9C" w:rsidRPr="00C868DC">
        <w:rPr>
          <w:rFonts w:ascii="Verdana" w:hAnsi="Verdana"/>
        </w:rPr>
        <w:t xml:space="preserve">. </w:t>
      </w:r>
      <w:r w:rsidR="004939C2">
        <w:rPr>
          <w:rFonts w:ascii="Verdana" w:hAnsi="Verdana"/>
        </w:rPr>
        <w:t>(NB they also, in addition, discuss the possible biases in their estimates of subject specific returns</w:t>
      </w:r>
      <w:r w:rsidR="00BF3CA9">
        <w:rPr>
          <w:rFonts w:ascii="Verdana" w:hAnsi="Verdana"/>
        </w:rPr>
        <w:t>; th</w:t>
      </w:r>
      <w:r w:rsidR="006A13F4">
        <w:rPr>
          <w:rFonts w:ascii="Verdana" w:hAnsi="Verdana"/>
        </w:rPr>
        <w:t>e</w:t>
      </w:r>
      <w:r w:rsidR="00BF3CA9">
        <w:rPr>
          <w:rFonts w:ascii="Verdana" w:hAnsi="Verdana"/>
        </w:rPr>
        <w:t>s</w:t>
      </w:r>
      <w:r w:rsidR="006A13F4">
        <w:rPr>
          <w:rFonts w:ascii="Verdana" w:hAnsi="Verdana"/>
        </w:rPr>
        <w:t>e are</w:t>
      </w:r>
      <w:r w:rsidR="00BF3CA9">
        <w:rPr>
          <w:rFonts w:ascii="Verdana" w:hAnsi="Verdana"/>
        </w:rPr>
        <w:t xml:space="preserve"> not considered here.)</w:t>
      </w:r>
      <w:r w:rsidR="004939C2">
        <w:rPr>
          <w:rFonts w:ascii="Verdana" w:hAnsi="Verdana"/>
        </w:rPr>
        <w:t xml:space="preserve"> </w:t>
      </w:r>
    </w:p>
    <w:p w:rsidR="00C868DC" w:rsidRDefault="00C868DC" w:rsidP="00133E9C">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C868DC">
        <w:rPr>
          <w:rFonts w:ascii="Verdana" w:hAnsi="Verdana"/>
        </w:rPr>
        <w:t xml:space="preserve"> </w:t>
      </w:r>
      <w:r w:rsidR="00C071E0" w:rsidRPr="00C868DC">
        <w:rPr>
          <w:rFonts w:ascii="Verdana" w:hAnsi="Verdana"/>
        </w:rPr>
        <w:t xml:space="preserve">This </w:t>
      </w:r>
      <w:r w:rsidR="00D102F8" w:rsidRPr="00C868DC">
        <w:rPr>
          <w:rFonts w:ascii="Verdana" w:hAnsi="Verdana"/>
        </w:rPr>
        <w:t xml:space="preserve">2005 </w:t>
      </w:r>
      <w:r w:rsidR="00C071E0" w:rsidRPr="00C868DC">
        <w:rPr>
          <w:rFonts w:ascii="Verdana" w:hAnsi="Verdana"/>
        </w:rPr>
        <w:t xml:space="preserve">paper uses the same NCDS data as the earlier study </w:t>
      </w:r>
      <w:r w:rsidR="00D102F8" w:rsidRPr="00C868DC">
        <w:rPr>
          <w:rFonts w:ascii="Verdana" w:hAnsi="Verdana"/>
        </w:rPr>
        <w:t xml:space="preserve">discussed </w:t>
      </w:r>
      <w:r w:rsidR="00C071E0" w:rsidRPr="00C868DC">
        <w:rPr>
          <w:rFonts w:ascii="Verdana" w:hAnsi="Verdana"/>
        </w:rPr>
        <w:t xml:space="preserve">above (Blundell et al, 2000). </w:t>
      </w:r>
      <w:r w:rsidR="0067782E" w:rsidRPr="00C868DC">
        <w:rPr>
          <w:rFonts w:ascii="Verdana" w:hAnsi="Verdana"/>
        </w:rPr>
        <w:t xml:space="preserve">It is wider in scope than the earlier paper, estimating the returns to different qualification levels, and </w:t>
      </w:r>
      <w:r w:rsidR="00D102F8" w:rsidRPr="00C868DC">
        <w:rPr>
          <w:rFonts w:ascii="Verdana" w:hAnsi="Verdana"/>
        </w:rPr>
        <w:t xml:space="preserve">exploring different methodological approaches. Crucially, the estimates of returns to higher education do not include A-level points. </w:t>
      </w:r>
    </w:p>
    <w:p w:rsidR="00C868DC" w:rsidRDefault="00C868DC" w:rsidP="00133E9C">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C868DC">
        <w:rPr>
          <w:rFonts w:ascii="Verdana" w:hAnsi="Verdana"/>
        </w:rPr>
        <w:t xml:space="preserve"> </w:t>
      </w:r>
      <w:r w:rsidR="00EB1D57" w:rsidRPr="00C868DC">
        <w:rPr>
          <w:rFonts w:ascii="Verdana" w:hAnsi="Verdana"/>
        </w:rPr>
        <w:t>The closest statistic available to the comparisons in the Walker paper are between those with an HE qualification in total, which includes those with post graduate qualifications</w:t>
      </w:r>
      <w:r w:rsidR="00815028" w:rsidRPr="00C868DC">
        <w:rPr>
          <w:rFonts w:ascii="Verdana" w:hAnsi="Verdana"/>
        </w:rPr>
        <w:t>,</w:t>
      </w:r>
      <w:r w:rsidR="00EB1D57" w:rsidRPr="00C868DC">
        <w:rPr>
          <w:rFonts w:ascii="Verdana" w:hAnsi="Verdana"/>
        </w:rPr>
        <w:t xml:space="preserve"> and those with at least one A-level or equivalent. For this comparison </w:t>
      </w:r>
      <w:r w:rsidR="007A5A3A" w:rsidRPr="00C868DC">
        <w:rPr>
          <w:rFonts w:ascii="Verdana" w:hAnsi="Verdana"/>
        </w:rPr>
        <w:t>introducing variables unavailable from the LFS like test results and family background reduce</w:t>
      </w:r>
      <w:r w:rsidR="00EB1D57" w:rsidRPr="00C868DC">
        <w:rPr>
          <w:rFonts w:ascii="Verdana" w:hAnsi="Verdana"/>
        </w:rPr>
        <w:t>s</w:t>
      </w:r>
      <w:r w:rsidR="007A5A3A" w:rsidRPr="00C868DC">
        <w:rPr>
          <w:rFonts w:ascii="Verdana" w:hAnsi="Verdana"/>
        </w:rPr>
        <w:t xml:space="preserve"> the </w:t>
      </w:r>
      <w:r w:rsidR="00EB1D57" w:rsidRPr="00C868DC">
        <w:rPr>
          <w:rFonts w:ascii="Verdana" w:hAnsi="Verdana"/>
        </w:rPr>
        <w:t xml:space="preserve">OLS based </w:t>
      </w:r>
      <w:r w:rsidR="007A5A3A" w:rsidRPr="00C868DC">
        <w:rPr>
          <w:rFonts w:ascii="Verdana" w:hAnsi="Verdana"/>
        </w:rPr>
        <w:t xml:space="preserve">returns for men from 28.9 to 23.5 per cent. </w:t>
      </w:r>
      <w:r w:rsidR="00EB1D57" w:rsidRPr="00C868DC">
        <w:rPr>
          <w:rFonts w:ascii="Verdana" w:hAnsi="Verdana"/>
        </w:rPr>
        <w:t>The equivalent figure</w:t>
      </w:r>
      <w:r w:rsidR="002D5E73" w:rsidRPr="00C868DC">
        <w:rPr>
          <w:rFonts w:ascii="Verdana" w:hAnsi="Verdana"/>
        </w:rPr>
        <w:t>s</w:t>
      </w:r>
      <w:r w:rsidR="00EB1D57" w:rsidRPr="00C868DC">
        <w:rPr>
          <w:rFonts w:ascii="Verdana" w:hAnsi="Verdana"/>
        </w:rPr>
        <w:t xml:space="preserve"> for </w:t>
      </w:r>
      <w:r w:rsidR="00187A7A" w:rsidRPr="00C868DC">
        <w:rPr>
          <w:rFonts w:ascii="Verdana" w:hAnsi="Verdana"/>
        </w:rPr>
        <w:t>a</w:t>
      </w:r>
      <w:r w:rsidR="002D5E73" w:rsidRPr="00C868DC">
        <w:rPr>
          <w:rFonts w:ascii="Verdana" w:hAnsi="Verdana"/>
        </w:rPr>
        <w:t xml:space="preserve"> typical </w:t>
      </w:r>
      <w:r w:rsidR="00EB1D57" w:rsidRPr="00C868DC">
        <w:rPr>
          <w:rFonts w:ascii="Verdana" w:hAnsi="Verdana"/>
        </w:rPr>
        <w:t xml:space="preserve">comparison </w:t>
      </w:r>
      <w:r w:rsidR="002D5E73" w:rsidRPr="00C868DC">
        <w:rPr>
          <w:rFonts w:ascii="Verdana" w:hAnsi="Verdana"/>
        </w:rPr>
        <w:t xml:space="preserve">in the Walker paper, </w:t>
      </w:r>
      <w:r w:rsidR="00EB1D57" w:rsidRPr="00C868DC">
        <w:rPr>
          <w:rFonts w:ascii="Verdana" w:hAnsi="Verdana"/>
        </w:rPr>
        <w:t xml:space="preserve">between </w:t>
      </w:r>
      <w:r w:rsidR="002D5E73" w:rsidRPr="00C868DC">
        <w:rPr>
          <w:rFonts w:ascii="Verdana" w:hAnsi="Verdana"/>
        </w:rPr>
        <w:t>those with at least two A-levels or equivalent and a first degree, would show a smaller reduction, but since the A-level points are not included as a control variable, the size of this reduction does not indicate a lack of bias in the LFS estimates.</w:t>
      </w:r>
      <w:r w:rsidR="00815028" w:rsidRPr="00C868DC">
        <w:rPr>
          <w:rFonts w:ascii="Verdana" w:hAnsi="Verdana"/>
        </w:rPr>
        <w:t xml:space="preserve"> A better estimate of the bias would come from the 2000 study (Blundell et al, 2000) which showed that for men the return from a first degree compared to one A-level was 18.4 per cent with a LFS data type of specification and 12.2 per cent with a full set of control variables including A-level points.</w:t>
      </w:r>
    </w:p>
    <w:p w:rsidR="00C868DC" w:rsidRDefault="00C868DC" w:rsidP="00133E9C">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C868DC">
        <w:rPr>
          <w:rFonts w:ascii="Verdana" w:hAnsi="Verdana"/>
        </w:rPr>
        <w:t xml:space="preserve"> </w:t>
      </w:r>
      <w:r w:rsidR="007A5A3A" w:rsidRPr="00C868DC">
        <w:rPr>
          <w:rFonts w:ascii="Verdana" w:hAnsi="Verdana"/>
        </w:rPr>
        <w:t xml:space="preserve">It should also be </w:t>
      </w:r>
      <w:r w:rsidR="001A7EA2" w:rsidRPr="00C868DC">
        <w:rPr>
          <w:rFonts w:ascii="Verdana" w:hAnsi="Verdana"/>
        </w:rPr>
        <w:t xml:space="preserve">remembered that the </w:t>
      </w:r>
      <w:r w:rsidR="002D5E73" w:rsidRPr="00C868DC">
        <w:rPr>
          <w:rFonts w:ascii="Verdana" w:hAnsi="Verdana"/>
        </w:rPr>
        <w:t xml:space="preserve">NCDS </w:t>
      </w:r>
      <w:r w:rsidR="001A7EA2" w:rsidRPr="00C868DC">
        <w:rPr>
          <w:rFonts w:ascii="Verdana" w:hAnsi="Verdana"/>
        </w:rPr>
        <w:t>data relates to individual</w:t>
      </w:r>
      <w:r w:rsidR="00815028" w:rsidRPr="00C868DC">
        <w:rPr>
          <w:rFonts w:ascii="Verdana" w:hAnsi="Verdana"/>
        </w:rPr>
        <w:t>s</w:t>
      </w:r>
      <w:r w:rsidR="001A7EA2" w:rsidRPr="00C868DC">
        <w:rPr>
          <w:rFonts w:ascii="Verdana" w:hAnsi="Verdana"/>
        </w:rPr>
        <w:t xml:space="preserve"> born in 1958 who typically would have entered higher education in 19</w:t>
      </w:r>
      <w:r w:rsidR="006524E5" w:rsidRPr="00C868DC">
        <w:rPr>
          <w:rFonts w:ascii="Verdana" w:hAnsi="Verdana"/>
        </w:rPr>
        <w:t>74. We cannot draw hard conclusions from this cohort in deciding what the bias resulting from missing variables w</w:t>
      </w:r>
      <w:r w:rsidR="00815028" w:rsidRPr="00C868DC">
        <w:rPr>
          <w:rFonts w:ascii="Verdana" w:hAnsi="Verdana"/>
        </w:rPr>
        <w:t>ould</w:t>
      </w:r>
      <w:r w:rsidR="006524E5" w:rsidRPr="00C868DC">
        <w:rPr>
          <w:rFonts w:ascii="Verdana" w:hAnsi="Verdana"/>
        </w:rPr>
        <w:t xml:space="preserve"> be for those entering decades later.</w:t>
      </w:r>
      <w:r w:rsidR="00506249" w:rsidRPr="00C868DC">
        <w:rPr>
          <w:rFonts w:ascii="Verdana" w:hAnsi="Verdana"/>
        </w:rPr>
        <w:t xml:space="preserve"> See below for further discussion of the changes that have taken place.</w:t>
      </w:r>
      <w:r w:rsidRPr="00C868DC">
        <w:rPr>
          <w:rFonts w:ascii="Verdana" w:hAnsi="Verdana"/>
        </w:rPr>
        <w:t xml:space="preserve"> </w:t>
      </w:r>
    </w:p>
    <w:p w:rsidR="00C868DC" w:rsidRPr="00C868DC" w:rsidRDefault="00730C96" w:rsidP="00C868DC">
      <w:pPr>
        <w:pStyle w:val="ListParagraph"/>
        <w:autoSpaceDE w:val="0"/>
        <w:autoSpaceDN w:val="0"/>
        <w:adjustRightInd w:val="0"/>
        <w:spacing w:after="240" w:line="300" w:lineRule="atLeast"/>
        <w:ind w:left="0"/>
        <w:contextualSpacing w:val="0"/>
        <w:rPr>
          <w:rFonts w:ascii="Verdana" w:hAnsi="Verdana"/>
          <w:u w:val="single"/>
        </w:rPr>
      </w:pPr>
      <w:r w:rsidRPr="00C868DC">
        <w:rPr>
          <w:rFonts w:ascii="Verdana" w:hAnsi="Verdana"/>
          <w:u w:val="single"/>
        </w:rPr>
        <w:t>Review by the Centre for the Economics of Education</w:t>
      </w:r>
      <w:r w:rsidR="00FC2B8F" w:rsidRPr="00C868DC">
        <w:rPr>
          <w:rFonts w:ascii="Verdana" w:hAnsi="Verdana"/>
          <w:u w:val="single"/>
        </w:rPr>
        <w:t xml:space="preserve"> (CEE) </w:t>
      </w:r>
    </w:p>
    <w:p w:rsidR="0069141D" w:rsidRDefault="00C868DC" w:rsidP="00C868DC">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69141D">
        <w:rPr>
          <w:rFonts w:ascii="Verdana" w:hAnsi="Verdana"/>
        </w:rPr>
        <w:t xml:space="preserve">  </w:t>
      </w:r>
      <w:r w:rsidR="00730C96" w:rsidRPr="0069141D">
        <w:rPr>
          <w:rFonts w:ascii="Verdana" w:hAnsi="Verdana"/>
        </w:rPr>
        <w:t>The view that the LFS or similar data is good enough make unbiased estimates is not new</w:t>
      </w:r>
      <w:r w:rsidR="00D42D70">
        <w:rPr>
          <w:rFonts w:ascii="Verdana" w:hAnsi="Verdana"/>
        </w:rPr>
        <w:t xml:space="preserve"> and a</w:t>
      </w:r>
      <w:r w:rsidR="00FC2B8F" w:rsidRPr="0069141D">
        <w:rPr>
          <w:rFonts w:ascii="Verdana" w:hAnsi="Verdana"/>
        </w:rPr>
        <w:t xml:space="preserve"> review of the returns to higher education published </w:t>
      </w:r>
      <w:r w:rsidR="00FC2B8F" w:rsidRPr="0069141D">
        <w:rPr>
          <w:rFonts w:ascii="Verdana" w:hAnsi="Verdana"/>
        </w:rPr>
        <w:lastRenderedPageBreak/>
        <w:t>by the CEE (Chevalier, 20</w:t>
      </w:r>
      <w:r w:rsidR="0006043E" w:rsidRPr="0069141D">
        <w:rPr>
          <w:rFonts w:ascii="Verdana" w:hAnsi="Verdana"/>
        </w:rPr>
        <w:t>02</w:t>
      </w:r>
      <w:r w:rsidR="00FC2B8F" w:rsidRPr="0069141D">
        <w:rPr>
          <w:rFonts w:ascii="Verdana" w:hAnsi="Verdana"/>
        </w:rPr>
        <w:t xml:space="preserve">) concluded that, </w:t>
      </w:r>
      <w:r w:rsidR="006067AC">
        <w:rPr>
          <w:rFonts w:ascii="Verdana" w:hAnsi="Verdana"/>
        </w:rPr>
        <w:t>‘</w:t>
      </w:r>
      <w:r w:rsidR="00FC2B8F" w:rsidRPr="0069141D">
        <w:rPr>
          <w:rFonts w:ascii="Verdana" w:hAnsi="Verdana"/>
        </w:rPr>
        <w:t>the general consensus appears to be that OLS estimates provide acceptable estimates of the returns to qualifications.</w:t>
      </w:r>
      <w:r w:rsidR="006067AC">
        <w:rPr>
          <w:rFonts w:ascii="Verdana" w:hAnsi="Verdana"/>
        </w:rPr>
        <w:t>’</w:t>
      </w:r>
      <w:r w:rsidR="00FC2B8F" w:rsidRPr="0069141D">
        <w:rPr>
          <w:rFonts w:ascii="Verdana" w:hAnsi="Verdana"/>
        </w:rPr>
        <w:t xml:space="preserve"> On the face of it this makes no sense, the plausibility of any estimates would depend on the data that was used. </w:t>
      </w:r>
      <w:r w:rsidR="0006043E" w:rsidRPr="0069141D">
        <w:rPr>
          <w:rFonts w:ascii="Verdana" w:hAnsi="Verdana"/>
        </w:rPr>
        <w:t>From the context it appears that what the authors meant was that OLS estimates using data with limited information like the LFS</w:t>
      </w:r>
      <w:r w:rsidR="00FD325B" w:rsidRPr="0069141D">
        <w:rPr>
          <w:rFonts w:ascii="Verdana" w:hAnsi="Verdana"/>
        </w:rPr>
        <w:t xml:space="preserve">. In support of their conclusion the authors cite work by </w:t>
      </w:r>
      <w:proofErr w:type="spellStart"/>
      <w:r w:rsidR="005F5E52" w:rsidRPr="0069141D">
        <w:rPr>
          <w:rFonts w:ascii="Verdana" w:hAnsi="Verdana"/>
        </w:rPr>
        <w:t>Deard</w:t>
      </w:r>
      <w:r w:rsidR="004E5CBE" w:rsidRPr="0069141D">
        <w:rPr>
          <w:rFonts w:ascii="Verdana" w:hAnsi="Verdana"/>
        </w:rPr>
        <w:t>e</w:t>
      </w:r>
      <w:r w:rsidR="005F5E52" w:rsidRPr="0069141D">
        <w:rPr>
          <w:rFonts w:ascii="Verdana" w:hAnsi="Verdana"/>
        </w:rPr>
        <w:t>n</w:t>
      </w:r>
      <w:proofErr w:type="spellEnd"/>
      <w:r w:rsidR="005F5E52" w:rsidRPr="0069141D">
        <w:rPr>
          <w:rFonts w:ascii="Verdana" w:hAnsi="Verdana"/>
        </w:rPr>
        <w:t xml:space="preserve"> (</w:t>
      </w:r>
      <w:proofErr w:type="spellStart"/>
      <w:r w:rsidR="005F5E52" w:rsidRPr="0069141D">
        <w:rPr>
          <w:rFonts w:ascii="Verdana" w:hAnsi="Verdana"/>
        </w:rPr>
        <w:t>Deardon</w:t>
      </w:r>
      <w:proofErr w:type="spellEnd"/>
      <w:r w:rsidR="005F5E52" w:rsidRPr="0069141D">
        <w:rPr>
          <w:rFonts w:ascii="Verdana" w:hAnsi="Verdana"/>
        </w:rPr>
        <w:t>, 1999).</w:t>
      </w:r>
      <w:r w:rsidR="0006043E" w:rsidRPr="0069141D">
        <w:rPr>
          <w:rFonts w:ascii="Verdana" w:hAnsi="Verdana"/>
        </w:rPr>
        <w:t xml:space="preserve"> </w:t>
      </w:r>
      <w:r w:rsidR="00E16C86" w:rsidRPr="0069141D">
        <w:rPr>
          <w:rFonts w:ascii="Verdana" w:hAnsi="Verdana"/>
        </w:rPr>
        <w:t xml:space="preserve">This paper also </w:t>
      </w:r>
      <w:r w:rsidR="004E4FBE" w:rsidRPr="0069141D">
        <w:rPr>
          <w:rFonts w:ascii="Verdana" w:hAnsi="Verdana"/>
        </w:rPr>
        <w:t xml:space="preserve">uses the </w:t>
      </w:r>
      <w:r w:rsidR="00E16C86" w:rsidRPr="0069141D">
        <w:rPr>
          <w:rFonts w:ascii="Verdana" w:hAnsi="Verdana"/>
        </w:rPr>
        <w:t>NCDS data</w:t>
      </w:r>
      <w:r w:rsidR="004E4FBE" w:rsidRPr="0069141D">
        <w:rPr>
          <w:rFonts w:ascii="Verdana" w:hAnsi="Verdana"/>
        </w:rPr>
        <w:t xml:space="preserve">. </w:t>
      </w:r>
      <w:r w:rsidR="00D1635B" w:rsidRPr="0069141D">
        <w:rPr>
          <w:rFonts w:ascii="Verdana" w:hAnsi="Verdana"/>
        </w:rPr>
        <w:t xml:space="preserve">Reported educational outcomes in 1981 and 1991 are used to give </w:t>
      </w:r>
      <w:r w:rsidR="006067AC">
        <w:rPr>
          <w:rFonts w:ascii="Verdana" w:hAnsi="Verdana"/>
        </w:rPr>
        <w:t>‘</w:t>
      </w:r>
      <w:r w:rsidR="00D1635B" w:rsidRPr="0069141D">
        <w:rPr>
          <w:rFonts w:ascii="Verdana" w:hAnsi="Verdana"/>
        </w:rPr>
        <w:t>ball park figures</w:t>
      </w:r>
      <w:r w:rsidR="006067AC">
        <w:rPr>
          <w:rFonts w:ascii="Verdana" w:hAnsi="Verdana"/>
        </w:rPr>
        <w:t>’</w:t>
      </w:r>
      <w:r w:rsidR="00D1635B" w:rsidRPr="0069141D">
        <w:rPr>
          <w:rFonts w:ascii="Verdana" w:hAnsi="Verdana"/>
        </w:rPr>
        <w:t xml:space="preserve"> on the extent of measurement error, and the effect on return estimates is calculated. The effect of the bias resulting from part of the population not being in the workforce is also explored. </w:t>
      </w:r>
      <w:r w:rsidR="004E4FBE" w:rsidRPr="0069141D">
        <w:rPr>
          <w:rFonts w:ascii="Verdana" w:hAnsi="Verdana"/>
        </w:rPr>
        <w:t xml:space="preserve"> </w:t>
      </w:r>
      <w:r w:rsidR="00B4175A" w:rsidRPr="0069141D">
        <w:rPr>
          <w:rFonts w:ascii="Verdana" w:hAnsi="Verdana"/>
        </w:rPr>
        <w:t>The conclusion is that measurement error and compositional bias offset unobserved ‘ability’ and family background variables</w:t>
      </w:r>
      <w:r w:rsidR="00C35444" w:rsidRPr="0069141D">
        <w:rPr>
          <w:rFonts w:ascii="Verdana" w:hAnsi="Verdana"/>
        </w:rPr>
        <w:t xml:space="preserve">. </w:t>
      </w:r>
      <w:r w:rsidR="00B4175A" w:rsidRPr="0069141D">
        <w:rPr>
          <w:rFonts w:ascii="Verdana" w:hAnsi="Verdana"/>
        </w:rPr>
        <w:t xml:space="preserve">The estimates of measurement error depend on a number of assumptions; so the estimates of measurement error are themselves uncertain. Further work using the same data source concluded that </w:t>
      </w:r>
      <w:r w:rsidR="006067AC">
        <w:rPr>
          <w:rFonts w:ascii="Verdana" w:hAnsi="Verdana"/>
        </w:rPr>
        <w:t>‘</w:t>
      </w:r>
      <w:r w:rsidR="00B4175A" w:rsidRPr="0069141D">
        <w:rPr>
          <w:rFonts w:ascii="Verdana" w:hAnsi="Verdana"/>
        </w:rPr>
        <w:t>ignoring both ability and misreporting biases would lead to strongly</w:t>
      </w:r>
      <w:r w:rsidR="004E5CBE" w:rsidRPr="0069141D">
        <w:rPr>
          <w:rFonts w:ascii="Verdana" w:hAnsi="Verdana"/>
        </w:rPr>
        <w:t xml:space="preserve"> upward-biased estimates of returns</w:t>
      </w:r>
      <w:r w:rsidR="006067AC">
        <w:rPr>
          <w:rFonts w:ascii="Verdana" w:hAnsi="Verdana"/>
        </w:rPr>
        <w:t>’</w:t>
      </w:r>
      <w:r w:rsidR="004E5CBE" w:rsidRPr="0069141D">
        <w:rPr>
          <w:rFonts w:ascii="Verdana" w:hAnsi="Verdana"/>
        </w:rPr>
        <w:t>. The author suggests a rule of thumb to allow for this (</w:t>
      </w:r>
      <w:proofErr w:type="spellStart"/>
      <w:r w:rsidR="004E5CBE" w:rsidRPr="0069141D">
        <w:rPr>
          <w:rFonts w:ascii="Verdana" w:hAnsi="Verdana"/>
        </w:rPr>
        <w:t>Battistin</w:t>
      </w:r>
      <w:proofErr w:type="spellEnd"/>
      <w:r w:rsidR="004E5CBE" w:rsidRPr="0069141D">
        <w:rPr>
          <w:rFonts w:ascii="Verdana" w:hAnsi="Verdana"/>
        </w:rPr>
        <w:t xml:space="preserve"> E, 2012).  In the particular case of the returns to a first degree it would be unwise either to accept </w:t>
      </w:r>
      <w:proofErr w:type="spellStart"/>
      <w:r w:rsidR="004E5CBE" w:rsidRPr="0069141D">
        <w:rPr>
          <w:rFonts w:ascii="Verdana" w:hAnsi="Verdana"/>
        </w:rPr>
        <w:t>Dearden’s</w:t>
      </w:r>
      <w:proofErr w:type="spellEnd"/>
      <w:r w:rsidR="004E5CBE" w:rsidRPr="0069141D">
        <w:rPr>
          <w:rFonts w:ascii="Verdana" w:hAnsi="Verdana"/>
        </w:rPr>
        <w:t xml:space="preserve"> conclusions or </w:t>
      </w:r>
      <w:proofErr w:type="spellStart"/>
      <w:r w:rsidR="004E5CBE" w:rsidRPr="0069141D">
        <w:rPr>
          <w:rFonts w:ascii="Verdana" w:hAnsi="Verdana"/>
        </w:rPr>
        <w:t>Battistin’s</w:t>
      </w:r>
      <w:proofErr w:type="spellEnd"/>
      <w:r w:rsidR="004E5CBE" w:rsidRPr="0069141D">
        <w:rPr>
          <w:rFonts w:ascii="Verdana" w:hAnsi="Verdana"/>
        </w:rPr>
        <w:t xml:space="preserve"> rule of thumb because neither allow for A-level grades</w:t>
      </w:r>
      <w:r w:rsidR="0069141D" w:rsidRPr="0069141D">
        <w:rPr>
          <w:rFonts w:ascii="Verdana" w:hAnsi="Verdana"/>
        </w:rPr>
        <w:t>.</w:t>
      </w:r>
    </w:p>
    <w:p w:rsidR="00C868DC" w:rsidRPr="00D42D70" w:rsidRDefault="0006043E" w:rsidP="0069141D">
      <w:pPr>
        <w:pStyle w:val="ListParagraph"/>
        <w:autoSpaceDE w:val="0"/>
        <w:autoSpaceDN w:val="0"/>
        <w:adjustRightInd w:val="0"/>
        <w:spacing w:after="240" w:line="300" w:lineRule="atLeast"/>
        <w:ind w:left="0"/>
        <w:contextualSpacing w:val="0"/>
        <w:rPr>
          <w:rFonts w:ascii="Verdana" w:hAnsi="Verdana"/>
          <w:u w:val="single"/>
        </w:rPr>
      </w:pPr>
      <w:r w:rsidRPr="00D42D70">
        <w:rPr>
          <w:rFonts w:ascii="Verdana" w:hAnsi="Verdana"/>
          <w:u w:val="single"/>
        </w:rPr>
        <w:t xml:space="preserve">Changes in education since the NCDS cohort entered higher education </w:t>
      </w:r>
    </w:p>
    <w:p w:rsidR="00C868DC" w:rsidRDefault="00C868DC" w:rsidP="000F4BEF">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42D70">
        <w:rPr>
          <w:rFonts w:ascii="Verdana" w:hAnsi="Verdana"/>
        </w:rPr>
        <w:t xml:space="preserve"> </w:t>
      </w:r>
      <w:r w:rsidR="0006043E" w:rsidRPr="00D42D70">
        <w:rPr>
          <w:rFonts w:ascii="Verdana" w:hAnsi="Verdana"/>
        </w:rPr>
        <w:t xml:space="preserve">The NCDS is a valuable resource, and it is natural that it has been </w:t>
      </w:r>
      <w:r w:rsidR="00657B7D" w:rsidRPr="00D42D70">
        <w:rPr>
          <w:rFonts w:ascii="Verdana" w:hAnsi="Verdana"/>
        </w:rPr>
        <w:t xml:space="preserve">extensively </w:t>
      </w:r>
      <w:r w:rsidR="0006043E" w:rsidRPr="00D42D70">
        <w:rPr>
          <w:rFonts w:ascii="Verdana" w:hAnsi="Verdana"/>
        </w:rPr>
        <w:t>mined to reveal insights about education in general and higher education</w:t>
      </w:r>
      <w:r w:rsidR="0006043E" w:rsidRPr="00C868DC">
        <w:rPr>
          <w:rFonts w:ascii="Verdana" w:hAnsi="Verdana"/>
        </w:rPr>
        <w:t xml:space="preserve"> in particular. We have seen how it has been used to see to what extent factors missing from analysis based on more limited data may cancel out. Where those assessments </w:t>
      </w:r>
      <w:r w:rsidR="00D00C38" w:rsidRPr="00C868DC">
        <w:rPr>
          <w:rFonts w:ascii="Verdana" w:hAnsi="Verdana"/>
        </w:rPr>
        <w:t>d</w:t>
      </w:r>
      <w:r w:rsidR="0006043E" w:rsidRPr="00C868DC">
        <w:rPr>
          <w:rFonts w:ascii="Verdana" w:hAnsi="Verdana"/>
        </w:rPr>
        <w:t xml:space="preserve">o not include any control for A-level grades, it seems likely that the effect of </w:t>
      </w:r>
      <w:r w:rsidR="00DC2696" w:rsidRPr="00C868DC">
        <w:rPr>
          <w:rFonts w:ascii="Verdana" w:hAnsi="Verdana"/>
        </w:rPr>
        <w:t>missing measures of ‘ability’ will be underestimated, but there is also a more general concern about using this source to come to conclusions about the fitness of the LFS to estimate returns for more recent cohorts. Since the NCDS cohort entered HE, typically in 1976, not only has the HE participation rate more than doubled, the proportion of subsequent cohorts achieving a range of qualifications has increased, along with the average age leaving full time education (Devereux</w:t>
      </w:r>
      <w:r w:rsidR="00351163" w:rsidRPr="00C868DC">
        <w:rPr>
          <w:rFonts w:ascii="Verdana" w:hAnsi="Verdana"/>
        </w:rPr>
        <w:t xml:space="preserve"> et al</w:t>
      </w:r>
      <w:r w:rsidR="00DC2696" w:rsidRPr="00C868DC">
        <w:rPr>
          <w:rFonts w:ascii="Verdana" w:hAnsi="Verdana"/>
        </w:rPr>
        <w:t xml:space="preserve">, 2011). In comparing those with degrees to those with two or more A-levels we are looking at a much larger proportion of the population. The relative growth of these groups is also potentially important </w:t>
      </w:r>
      <w:r w:rsidR="00351163" w:rsidRPr="00C868DC">
        <w:rPr>
          <w:rFonts w:ascii="Verdana" w:hAnsi="Verdana"/>
        </w:rPr>
        <w:t xml:space="preserve">when considering the differences between these two groups. Figure </w:t>
      </w:r>
      <w:r w:rsidR="001746B8" w:rsidRPr="00C868DC">
        <w:rPr>
          <w:rFonts w:ascii="Verdana" w:hAnsi="Verdana"/>
        </w:rPr>
        <w:t>3</w:t>
      </w:r>
      <w:r w:rsidR="00351163" w:rsidRPr="00C868DC">
        <w:rPr>
          <w:rFonts w:ascii="Verdana" w:hAnsi="Verdana"/>
        </w:rPr>
        <w:t xml:space="preserve"> shows the ratio of those achieving a first degree with those achieving at least two A-levels or their equivalent.</w:t>
      </w:r>
    </w:p>
    <w:p w:rsidR="000F4BEF" w:rsidRPr="00C868DC" w:rsidRDefault="00C868DC" w:rsidP="000F4BEF">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0F4BEF" w:rsidRPr="00C868DC">
        <w:rPr>
          <w:rFonts w:ascii="Verdana" w:hAnsi="Verdana"/>
        </w:rPr>
        <w:t xml:space="preserve">We can see that the growth in the proportion of those achieving at least a first degree (they may also have postgraduate qualifications) is greater than the growth in those with at least two A-levels or their equivalent (they may also have a higher education qualification). This could be driven by an increase in those following a non-traditional route to a degree courses without A-levels or their equivalent, from the conversion of many HND courses to degree </w:t>
      </w:r>
      <w:r w:rsidR="000F4BEF" w:rsidRPr="00C868DC">
        <w:rPr>
          <w:rFonts w:ascii="Verdana" w:hAnsi="Verdana"/>
        </w:rPr>
        <w:lastRenderedPageBreak/>
        <w:t>programmes, and from an increase in the proportion of those with A-levels going on to higher education. All of these have the potential to alter the differences between graduates and the usual comparator group, those with at least two A-levels but no higher education qualifications. We should not assume, therefore, that results based on the 1958 cohort are necessarily relevant to those born twenty years later.</w:t>
      </w:r>
    </w:p>
    <w:p w:rsidR="00351163" w:rsidRPr="000F4BEF" w:rsidRDefault="000F4BEF" w:rsidP="00133E9C">
      <w:pPr>
        <w:spacing w:line="300" w:lineRule="atLeast"/>
        <w:rPr>
          <w:rFonts w:ascii="Verdana" w:hAnsi="Verdana"/>
          <w:b/>
          <w:i/>
        </w:rPr>
      </w:pPr>
      <w:r>
        <w:rPr>
          <w:rFonts w:ascii="Verdana" w:hAnsi="Verdana"/>
        </w:rPr>
        <w:t xml:space="preserve"> </w:t>
      </w:r>
      <w:r w:rsidR="00351163" w:rsidRPr="00351163">
        <w:rPr>
          <w:rFonts w:ascii="Verdana" w:hAnsi="Verdana"/>
          <w:b/>
        </w:rPr>
        <w:t xml:space="preserve">Figure </w:t>
      </w:r>
      <w:r w:rsidR="00905026">
        <w:rPr>
          <w:rFonts w:ascii="Verdana" w:hAnsi="Verdana"/>
          <w:b/>
        </w:rPr>
        <w:t>3</w:t>
      </w:r>
      <w:r w:rsidR="00351163" w:rsidRPr="00351163">
        <w:rPr>
          <w:rFonts w:ascii="Verdana" w:hAnsi="Verdana"/>
          <w:b/>
        </w:rPr>
        <w:t xml:space="preserve">: </w:t>
      </w:r>
      <w:r w:rsidR="001746B8">
        <w:rPr>
          <w:rFonts w:ascii="Verdana" w:hAnsi="Verdana"/>
          <w:b/>
        </w:rPr>
        <w:t>%</w:t>
      </w:r>
      <w:r w:rsidR="00351163" w:rsidRPr="00351163">
        <w:rPr>
          <w:rFonts w:ascii="Verdana" w:hAnsi="Verdana"/>
          <w:b/>
        </w:rPr>
        <w:t xml:space="preserve"> first degree to </w:t>
      </w:r>
      <w:r w:rsidR="001746B8">
        <w:rPr>
          <w:rFonts w:ascii="Verdana" w:hAnsi="Verdana"/>
          <w:b/>
        </w:rPr>
        <w:t>% with 2+</w:t>
      </w:r>
      <w:r w:rsidR="00351163" w:rsidRPr="00351163">
        <w:rPr>
          <w:rFonts w:ascii="Verdana" w:hAnsi="Verdana"/>
          <w:b/>
        </w:rPr>
        <w:t xml:space="preserve"> A-levels by year of birth</w:t>
      </w:r>
      <w:r w:rsidR="001746B8" w:rsidRPr="000F4BEF">
        <w:rPr>
          <w:rFonts w:ascii="Verdana" w:hAnsi="Verdana"/>
          <w:b/>
          <w:i/>
          <w:noProof/>
          <w:lang w:val="en-US"/>
        </w:rPr>
        <w:drawing>
          <wp:inline distT="0" distB="0" distL="0" distR="0">
            <wp:extent cx="5638800" cy="36385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51163" w:rsidRPr="00D00C38" w:rsidRDefault="00351163" w:rsidP="00133E9C">
      <w:pPr>
        <w:spacing w:line="300" w:lineRule="atLeast"/>
        <w:rPr>
          <w:rFonts w:ascii="Verdana" w:hAnsi="Verdana"/>
          <w:sz w:val="18"/>
          <w:szCs w:val="18"/>
        </w:rPr>
      </w:pPr>
      <w:r w:rsidRPr="00D00C38">
        <w:rPr>
          <w:rFonts w:ascii="Verdana" w:hAnsi="Verdana"/>
          <w:sz w:val="18"/>
          <w:szCs w:val="18"/>
          <w:u w:val="single"/>
        </w:rPr>
        <w:t xml:space="preserve">Figure </w:t>
      </w:r>
      <w:r w:rsidR="00905026">
        <w:rPr>
          <w:rFonts w:ascii="Verdana" w:hAnsi="Verdana"/>
          <w:sz w:val="18"/>
          <w:szCs w:val="18"/>
          <w:u w:val="single"/>
        </w:rPr>
        <w:t>3</w:t>
      </w:r>
      <w:r w:rsidRPr="00D00C38">
        <w:rPr>
          <w:rFonts w:ascii="Verdana" w:hAnsi="Verdana"/>
          <w:sz w:val="18"/>
          <w:szCs w:val="18"/>
          <w:u w:val="single"/>
        </w:rPr>
        <w:t xml:space="preserve"> note</w:t>
      </w:r>
      <w:r w:rsidR="001746B8">
        <w:rPr>
          <w:rFonts w:ascii="Verdana" w:hAnsi="Verdana"/>
          <w:sz w:val="18"/>
          <w:szCs w:val="18"/>
          <w:u w:val="single"/>
        </w:rPr>
        <w:t xml:space="preserve"> </w:t>
      </w:r>
      <w:r w:rsidRPr="00D00C38">
        <w:rPr>
          <w:rFonts w:ascii="Verdana" w:hAnsi="Verdana"/>
          <w:sz w:val="18"/>
          <w:szCs w:val="18"/>
        </w:rPr>
        <w:t>Data kindly provided by Professor Devereux taken from figures 3 and 4 of his 2011 paper (Devereux et al, 2011).</w:t>
      </w:r>
    </w:p>
    <w:p w:rsidR="00A867AB" w:rsidRPr="00A11794" w:rsidRDefault="00A11794" w:rsidP="00174383">
      <w:pPr>
        <w:spacing w:line="300" w:lineRule="atLeast"/>
        <w:rPr>
          <w:rFonts w:ascii="Verdana" w:hAnsi="Verdana"/>
          <w:b/>
        </w:rPr>
      </w:pPr>
      <w:r w:rsidRPr="00A11794">
        <w:rPr>
          <w:rFonts w:ascii="Verdana" w:hAnsi="Verdana"/>
          <w:b/>
        </w:rPr>
        <w:t xml:space="preserve">(5) </w:t>
      </w:r>
      <w:r w:rsidR="00912062" w:rsidRPr="00A11794">
        <w:rPr>
          <w:rFonts w:ascii="Verdana" w:hAnsi="Verdana"/>
          <w:b/>
        </w:rPr>
        <w:t>Allowing for unobserved variables</w:t>
      </w:r>
    </w:p>
    <w:p w:rsidR="0069141D" w:rsidRDefault="0069141D"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69141D">
        <w:rPr>
          <w:rFonts w:ascii="Verdana" w:hAnsi="Verdana"/>
        </w:rPr>
        <w:t xml:space="preserve">  </w:t>
      </w:r>
      <w:r w:rsidR="009D4B3C" w:rsidRPr="0069141D">
        <w:rPr>
          <w:rFonts w:ascii="Verdana" w:hAnsi="Verdana"/>
        </w:rPr>
        <w:t xml:space="preserve">In principle the same kind of comparison that is made by random sampling can be achieved through the use of instrumental variables. For such variables to be valid they </w:t>
      </w:r>
      <w:r w:rsidR="00225811" w:rsidRPr="0069141D">
        <w:rPr>
          <w:rFonts w:ascii="Verdana" w:hAnsi="Verdana"/>
        </w:rPr>
        <w:t xml:space="preserve">must </w:t>
      </w:r>
      <w:r w:rsidR="009D4B3C" w:rsidRPr="0069141D">
        <w:rPr>
          <w:rFonts w:ascii="Verdana" w:hAnsi="Verdana"/>
        </w:rPr>
        <w:t xml:space="preserve">correlated with the </w:t>
      </w:r>
      <w:r w:rsidR="00225811" w:rsidRPr="0069141D">
        <w:rPr>
          <w:rFonts w:ascii="Verdana" w:hAnsi="Verdana"/>
        </w:rPr>
        <w:t xml:space="preserve">predictive variable, in this case a </w:t>
      </w:r>
      <w:r w:rsidR="009D4B3C" w:rsidRPr="0069141D">
        <w:rPr>
          <w:rFonts w:ascii="Verdana" w:hAnsi="Verdana"/>
        </w:rPr>
        <w:t xml:space="preserve">measure of education, but uncorrelated with </w:t>
      </w:r>
      <w:r w:rsidR="00225811" w:rsidRPr="0069141D">
        <w:rPr>
          <w:rFonts w:ascii="Verdana" w:hAnsi="Verdana"/>
        </w:rPr>
        <w:t>the outcome, in this case earnings</w:t>
      </w:r>
      <w:r w:rsidR="00D21D4C" w:rsidRPr="0069141D">
        <w:rPr>
          <w:rFonts w:ascii="Verdana" w:hAnsi="Verdana"/>
        </w:rPr>
        <w:t xml:space="preserve">, conditional on all the other covariates. The second conditions cannot be established with certainty, and it therefore only makes sense </w:t>
      </w:r>
      <w:r w:rsidR="00225811" w:rsidRPr="0069141D">
        <w:rPr>
          <w:rFonts w:ascii="Verdana" w:hAnsi="Verdana"/>
        </w:rPr>
        <w:t xml:space="preserve">to attempt IV estimation </w:t>
      </w:r>
      <w:r w:rsidR="00D21D4C" w:rsidRPr="0069141D">
        <w:rPr>
          <w:rFonts w:ascii="Verdana" w:hAnsi="Verdana"/>
        </w:rPr>
        <w:t xml:space="preserve">when the nature </w:t>
      </w:r>
      <w:r w:rsidR="00225811" w:rsidRPr="0069141D">
        <w:rPr>
          <w:rFonts w:ascii="Verdana" w:hAnsi="Verdana"/>
        </w:rPr>
        <w:t xml:space="preserve">of the </w:t>
      </w:r>
      <w:r w:rsidR="00D21D4C" w:rsidRPr="0069141D">
        <w:rPr>
          <w:rFonts w:ascii="Verdana" w:hAnsi="Verdana"/>
        </w:rPr>
        <w:t xml:space="preserve">IV is such that it can be expected to have this property, like, for example, when </w:t>
      </w:r>
      <w:r w:rsidR="00225811" w:rsidRPr="0069141D">
        <w:rPr>
          <w:rFonts w:ascii="Verdana" w:hAnsi="Verdana"/>
        </w:rPr>
        <w:t xml:space="preserve">a </w:t>
      </w:r>
      <w:r w:rsidR="00D21D4C" w:rsidRPr="0069141D">
        <w:rPr>
          <w:rFonts w:ascii="Verdana" w:hAnsi="Verdana"/>
        </w:rPr>
        <w:t xml:space="preserve">regulation </w:t>
      </w:r>
      <w:r w:rsidR="00225811" w:rsidRPr="0069141D">
        <w:rPr>
          <w:rFonts w:ascii="Verdana" w:hAnsi="Verdana"/>
        </w:rPr>
        <w:t>or</w:t>
      </w:r>
      <w:r w:rsidR="00D21D4C" w:rsidRPr="0069141D">
        <w:rPr>
          <w:rFonts w:ascii="Verdana" w:hAnsi="Verdana"/>
        </w:rPr>
        <w:t xml:space="preserve"> the law is changed giving a sudden change in education which is clearly independent of the choices made by individuals. </w:t>
      </w:r>
      <w:r w:rsidR="00D42D70">
        <w:rPr>
          <w:rFonts w:ascii="Verdana" w:hAnsi="Verdana"/>
        </w:rPr>
        <w:t>For example, i</w:t>
      </w:r>
      <w:r w:rsidR="00D21D4C" w:rsidRPr="0069141D">
        <w:rPr>
          <w:rFonts w:ascii="Verdana" w:hAnsi="Verdana"/>
        </w:rPr>
        <w:t>n the UK the rai</w:t>
      </w:r>
      <w:r w:rsidR="00225811" w:rsidRPr="0069141D">
        <w:rPr>
          <w:rFonts w:ascii="Verdana" w:hAnsi="Verdana"/>
        </w:rPr>
        <w:t>sing of the school leaving age from 15 to 16</w:t>
      </w:r>
      <w:r w:rsidR="00D42D70">
        <w:rPr>
          <w:rFonts w:ascii="Verdana" w:hAnsi="Verdana"/>
        </w:rPr>
        <w:t xml:space="preserve"> </w:t>
      </w:r>
      <w:r w:rsidR="00D21D4C" w:rsidRPr="0069141D">
        <w:rPr>
          <w:rFonts w:ascii="Verdana" w:hAnsi="Verdana"/>
        </w:rPr>
        <w:t>ha</w:t>
      </w:r>
      <w:r w:rsidR="00D42D70">
        <w:rPr>
          <w:rFonts w:ascii="Verdana" w:hAnsi="Verdana"/>
        </w:rPr>
        <w:t>s been extensively us</w:t>
      </w:r>
      <w:r w:rsidR="00D21D4C" w:rsidRPr="0069141D">
        <w:rPr>
          <w:rFonts w:ascii="Verdana" w:hAnsi="Verdana"/>
        </w:rPr>
        <w:t xml:space="preserve">ed as </w:t>
      </w:r>
      <w:r w:rsidR="00D42D70">
        <w:rPr>
          <w:rFonts w:ascii="Verdana" w:hAnsi="Verdana"/>
        </w:rPr>
        <w:t xml:space="preserve">an </w:t>
      </w:r>
      <w:r w:rsidR="00D21D4C" w:rsidRPr="0069141D">
        <w:rPr>
          <w:rFonts w:ascii="Verdana" w:hAnsi="Verdana"/>
        </w:rPr>
        <w:t xml:space="preserve">IV. Even where the IV is valid, the values calculated will relate to those </w:t>
      </w:r>
      <w:r w:rsidR="00225811" w:rsidRPr="0069141D">
        <w:rPr>
          <w:rFonts w:ascii="Verdana" w:hAnsi="Verdana"/>
        </w:rPr>
        <w:t>a</w:t>
      </w:r>
      <w:r w:rsidR="00D21D4C" w:rsidRPr="0069141D">
        <w:rPr>
          <w:rFonts w:ascii="Verdana" w:hAnsi="Verdana"/>
        </w:rPr>
        <w:t>ffected by the change, so for example</w:t>
      </w:r>
      <w:r w:rsidR="00225811" w:rsidRPr="0069141D">
        <w:rPr>
          <w:rFonts w:ascii="Verdana" w:hAnsi="Verdana"/>
        </w:rPr>
        <w:t xml:space="preserve">, those students who would have continued at school beyond 15, even without the </w:t>
      </w:r>
      <w:r w:rsidR="00225811" w:rsidRPr="0069141D">
        <w:rPr>
          <w:rFonts w:ascii="Verdana" w:hAnsi="Verdana"/>
        </w:rPr>
        <w:lastRenderedPageBreak/>
        <w:t>change in the law, would not be included in the estimate</w:t>
      </w:r>
      <w:r w:rsidR="00657B7D" w:rsidRPr="0069141D">
        <w:rPr>
          <w:rFonts w:ascii="Verdana" w:hAnsi="Verdana"/>
        </w:rPr>
        <w:t xml:space="preserve"> based on the raising of the school leaving age.</w:t>
      </w:r>
    </w:p>
    <w:p w:rsidR="0069141D" w:rsidRDefault="0069141D"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69141D">
        <w:rPr>
          <w:rFonts w:ascii="Verdana" w:hAnsi="Verdana"/>
        </w:rPr>
        <w:t xml:space="preserve"> </w:t>
      </w:r>
      <w:r w:rsidR="00225811" w:rsidRPr="0069141D">
        <w:rPr>
          <w:rFonts w:ascii="Verdana" w:hAnsi="Verdana"/>
        </w:rPr>
        <w:t xml:space="preserve">In the UK, there are no obvious candidates to support an IV estimation of the returns to higher education, but recently there has been an attempt to </w:t>
      </w:r>
      <w:r w:rsidR="00793EEE" w:rsidRPr="0069141D">
        <w:rPr>
          <w:rFonts w:ascii="Verdana" w:hAnsi="Verdana"/>
        </w:rPr>
        <w:t>find the returns per year of full-time education, including higher education, using the rapid expansion that took place between 1989 and 19</w:t>
      </w:r>
      <w:r w:rsidR="00280AB5" w:rsidRPr="0069141D">
        <w:rPr>
          <w:rFonts w:ascii="Verdana" w:hAnsi="Verdana"/>
        </w:rPr>
        <w:t>9</w:t>
      </w:r>
      <w:r w:rsidR="00793EEE" w:rsidRPr="0069141D">
        <w:rPr>
          <w:rFonts w:ascii="Verdana" w:hAnsi="Verdana"/>
        </w:rPr>
        <w:t xml:space="preserve">4 </w:t>
      </w:r>
      <w:r w:rsidR="00280AB5" w:rsidRPr="0069141D">
        <w:rPr>
          <w:rFonts w:ascii="Verdana" w:hAnsi="Verdana"/>
        </w:rPr>
        <w:t xml:space="preserve">when higher education participation more than doubled </w:t>
      </w:r>
      <w:r w:rsidR="00793EEE" w:rsidRPr="0069141D">
        <w:rPr>
          <w:rFonts w:ascii="Verdana" w:hAnsi="Verdana"/>
        </w:rPr>
        <w:t xml:space="preserve">(Devereux et al, 2011). </w:t>
      </w:r>
      <w:r w:rsidR="00280AB5" w:rsidRPr="0069141D">
        <w:rPr>
          <w:rFonts w:ascii="Verdana" w:hAnsi="Verdana"/>
        </w:rPr>
        <w:t xml:space="preserve">The idea is that the change in funding and student number controls, and the changes in the examination system led to changes in education levels unrelated unobserved factors causing student to go on to higher education. Because the proportions leaving school after 16 and the proportions gaining A-levels also grew, the change was not confined to one small section of the population, though those would have gone on to higher education prior to the expansion would not be included in the estimate. The most troubling part of this estimation is that </w:t>
      </w:r>
      <w:r w:rsidR="000D602D" w:rsidRPr="0069141D">
        <w:rPr>
          <w:rFonts w:ascii="Verdana" w:hAnsi="Verdana"/>
        </w:rPr>
        <w:t>we have to assume that an extrapolation of earnings from before the expansion will show us what would have happened had the expansion not taken place</w:t>
      </w:r>
      <w:r w:rsidR="008047B5" w:rsidRPr="0069141D">
        <w:rPr>
          <w:rFonts w:ascii="Verdana" w:hAnsi="Verdana"/>
        </w:rPr>
        <w:t>.</w:t>
      </w:r>
      <w:r w:rsidR="000D602D" w:rsidRPr="0069141D">
        <w:rPr>
          <w:rFonts w:ascii="Verdana" w:hAnsi="Verdana"/>
        </w:rPr>
        <w:t xml:space="preserve"> The need for this assumption brings some uncertainty to the results, </w:t>
      </w:r>
      <w:r w:rsidR="00630238" w:rsidRPr="0069141D">
        <w:rPr>
          <w:rFonts w:ascii="Verdana" w:hAnsi="Verdana"/>
        </w:rPr>
        <w:t>especially as</w:t>
      </w:r>
      <w:r w:rsidR="000D602D" w:rsidRPr="0069141D">
        <w:rPr>
          <w:rFonts w:ascii="Verdana" w:hAnsi="Verdana"/>
        </w:rPr>
        <w:t xml:space="preserve"> </w:t>
      </w:r>
      <w:r w:rsidR="00630238" w:rsidRPr="0069141D">
        <w:rPr>
          <w:rFonts w:ascii="Verdana" w:hAnsi="Verdana"/>
        </w:rPr>
        <w:t>the first ‘expansion’ graduates came into the labour market just as the economy came out of recession</w:t>
      </w:r>
      <w:r w:rsidR="008047B5" w:rsidRPr="0069141D">
        <w:rPr>
          <w:rFonts w:ascii="Verdana" w:hAnsi="Verdana"/>
        </w:rPr>
        <w:t>, and the cohorts that followed came into a rapidly changing labour market.</w:t>
      </w:r>
    </w:p>
    <w:p w:rsidR="0069141D" w:rsidRDefault="00A762DA" w:rsidP="0069141D">
      <w:pPr>
        <w:pStyle w:val="ListParagraph"/>
        <w:autoSpaceDE w:val="0"/>
        <w:autoSpaceDN w:val="0"/>
        <w:adjustRightInd w:val="0"/>
        <w:spacing w:after="240" w:line="300" w:lineRule="atLeast"/>
        <w:ind w:left="0"/>
        <w:contextualSpacing w:val="0"/>
        <w:rPr>
          <w:rFonts w:ascii="Verdana" w:hAnsi="Verdana"/>
          <w:b/>
        </w:rPr>
      </w:pPr>
      <w:r w:rsidRPr="0069141D">
        <w:rPr>
          <w:rFonts w:ascii="Verdana" w:hAnsi="Verdana"/>
          <w:b/>
        </w:rPr>
        <w:t xml:space="preserve">(6) </w:t>
      </w:r>
      <w:r w:rsidR="00912062" w:rsidRPr="0069141D">
        <w:rPr>
          <w:rFonts w:ascii="Verdana" w:hAnsi="Verdana"/>
          <w:b/>
        </w:rPr>
        <w:t>Returns by subject</w:t>
      </w:r>
    </w:p>
    <w:p w:rsidR="00F417DC" w:rsidRPr="0069141D" w:rsidRDefault="00590271"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A67ECB" w:rsidRPr="0069141D">
        <w:rPr>
          <w:rFonts w:ascii="Verdana" w:hAnsi="Verdana"/>
        </w:rPr>
        <w:t xml:space="preserve">The values </w:t>
      </w:r>
      <w:r>
        <w:rPr>
          <w:rFonts w:ascii="Verdana" w:hAnsi="Verdana"/>
        </w:rPr>
        <w:t xml:space="preserve">in tables 1 and 2 </w:t>
      </w:r>
      <w:r w:rsidR="00A67ECB" w:rsidRPr="0069141D">
        <w:rPr>
          <w:rFonts w:ascii="Verdana" w:hAnsi="Verdana"/>
        </w:rPr>
        <w:t xml:space="preserve">were calculated from values in </w:t>
      </w:r>
      <w:r w:rsidR="00F417DC" w:rsidRPr="0069141D">
        <w:rPr>
          <w:rFonts w:ascii="Verdana" w:hAnsi="Verdana"/>
        </w:rPr>
        <w:t xml:space="preserve">table 2 of </w:t>
      </w:r>
      <w:r w:rsidR="006067AC">
        <w:rPr>
          <w:rFonts w:ascii="Verdana" w:hAnsi="Verdana"/>
        </w:rPr>
        <w:t>‘</w:t>
      </w:r>
      <w:r w:rsidR="00F417DC" w:rsidRPr="0069141D">
        <w:rPr>
          <w:rFonts w:ascii="Verdana" w:hAnsi="Verdana"/>
        </w:rPr>
        <w:t>Differences by degree</w:t>
      </w:r>
      <w:r w:rsidR="006067AC">
        <w:rPr>
          <w:rFonts w:ascii="Verdana" w:hAnsi="Verdana"/>
        </w:rPr>
        <w:t>’</w:t>
      </w:r>
      <w:proofErr w:type="gramStart"/>
      <w:r w:rsidR="00E142D6" w:rsidRPr="0069141D">
        <w:rPr>
          <w:rFonts w:ascii="Verdana" w:hAnsi="Verdana"/>
        </w:rPr>
        <w:t>,</w:t>
      </w:r>
      <w:r w:rsidR="00F417DC" w:rsidRPr="0069141D">
        <w:rPr>
          <w:rFonts w:ascii="Verdana" w:hAnsi="Verdana"/>
        </w:rPr>
        <w:t>(</w:t>
      </w:r>
      <w:proofErr w:type="gramEnd"/>
      <w:r w:rsidR="00F417DC" w:rsidRPr="0069141D">
        <w:rPr>
          <w:rFonts w:ascii="Verdana" w:hAnsi="Verdana"/>
        </w:rPr>
        <w:t>Walker et al, 2011). The differentials were calculated as:-</w:t>
      </w:r>
    </w:p>
    <w:p w:rsidR="00A67ECB" w:rsidRDefault="00F417DC" w:rsidP="00174383">
      <w:pPr>
        <w:spacing w:line="300" w:lineRule="atLeast"/>
        <w:rPr>
          <w:rFonts w:ascii="Verdana" w:hAnsi="Verdana"/>
        </w:rPr>
      </w:pPr>
      <w:r>
        <w:rPr>
          <w:rFonts w:ascii="Verdana" w:hAnsi="Verdana"/>
        </w:rPr>
        <w:t xml:space="preserve"> </w:t>
      </w:r>
      <w:r w:rsidR="000D5AA4">
        <w:rPr>
          <w:rFonts w:ascii="Verdana" w:hAnsi="Verdana"/>
        </w:rPr>
        <w:tab/>
      </w:r>
      <w:proofErr w:type="gramStart"/>
      <w:r>
        <w:rPr>
          <w:rFonts w:ascii="Verdana" w:hAnsi="Verdana"/>
        </w:rPr>
        <w:t>exp</w:t>
      </w:r>
      <w:proofErr w:type="gramEnd"/>
      <w:r>
        <w:rPr>
          <w:rFonts w:ascii="Verdana" w:hAnsi="Verdana"/>
        </w:rPr>
        <w:t>(‘first degree’ – ‘2+ A-level’) -1.</w:t>
      </w:r>
    </w:p>
    <w:p w:rsidR="00F417DC" w:rsidRDefault="00F417DC" w:rsidP="00174383">
      <w:pPr>
        <w:spacing w:line="300" w:lineRule="atLeast"/>
        <w:rPr>
          <w:rFonts w:ascii="Verdana" w:hAnsi="Verdana"/>
        </w:rPr>
      </w:pPr>
      <w:r>
        <w:rPr>
          <w:rFonts w:ascii="Verdana" w:hAnsi="Verdana"/>
        </w:rPr>
        <w:t>Note that the figures in the text of the paper we calculated as:</w:t>
      </w:r>
    </w:p>
    <w:p w:rsidR="00F417DC" w:rsidRPr="00A67ECB" w:rsidRDefault="00F417DC" w:rsidP="000D5AA4">
      <w:pPr>
        <w:spacing w:line="300" w:lineRule="atLeast"/>
        <w:ind w:firstLine="720"/>
        <w:rPr>
          <w:rFonts w:ascii="Verdana" w:hAnsi="Verdana"/>
        </w:rPr>
      </w:pPr>
      <w:r>
        <w:rPr>
          <w:rFonts w:ascii="Verdana" w:hAnsi="Verdana"/>
        </w:rPr>
        <w:t>‘</w:t>
      </w:r>
      <w:proofErr w:type="gramStart"/>
      <w:r>
        <w:rPr>
          <w:rFonts w:ascii="Verdana" w:hAnsi="Verdana"/>
        </w:rPr>
        <w:t>first</w:t>
      </w:r>
      <w:proofErr w:type="gramEnd"/>
      <w:r>
        <w:rPr>
          <w:rFonts w:ascii="Verdana" w:hAnsi="Verdana"/>
        </w:rPr>
        <w:t xml:space="preserve"> degree’ – ‘2+ A-level’</w:t>
      </w:r>
    </w:p>
    <w:p w:rsidR="00A67ECB" w:rsidRDefault="00F417DC" w:rsidP="00174383">
      <w:pPr>
        <w:spacing w:line="300" w:lineRule="atLeast"/>
        <w:rPr>
          <w:rFonts w:ascii="Verdana" w:hAnsi="Verdana"/>
          <w:u w:val="single"/>
        </w:rPr>
      </w:pPr>
      <w:r>
        <w:rPr>
          <w:rFonts w:ascii="Verdana" w:hAnsi="Verdana"/>
          <w:u w:val="single"/>
        </w:rPr>
        <w:t>Reasons for student choice</w:t>
      </w:r>
      <w:r w:rsidR="00590271">
        <w:rPr>
          <w:rFonts w:ascii="Verdana" w:hAnsi="Verdana"/>
          <w:u w:val="single"/>
        </w:rPr>
        <w:t xml:space="preserve"> of subject</w:t>
      </w:r>
    </w:p>
    <w:p w:rsidR="00590271" w:rsidRDefault="00590271" w:rsidP="00487AEE">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90271">
        <w:rPr>
          <w:rFonts w:ascii="Verdana" w:hAnsi="Verdana"/>
        </w:rPr>
        <w:t xml:space="preserve">  </w:t>
      </w:r>
      <w:r w:rsidR="00F417DC" w:rsidRPr="00590271">
        <w:rPr>
          <w:rFonts w:ascii="Verdana" w:hAnsi="Verdana"/>
        </w:rPr>
        <w:t xml:space="preserve">The explanation in terms of student impatience is from Walker, </w:t>
      </w:r>
      <w:r w:rsidR="0061048A" w:rsidRPr="00590271">
        <w:rPr>
          <w:rFonts w:ascii="Verdana" w:hAnsi="Verdana"/>
        </w:rPr>
        <w:t>(Walker, 2011).</w:t>
      </w:r>
      <w:r w:rsidR="0069141D" w:rsidRPr="00590271">
        <w:rPr>
          <w:rFonts w:ascii="Verdana" w:hAnsi="Verdana"/>
        </w:rPr>
        <w:t xml:space="preserve"> </w:t>
      </w:r>
      <w:r w:rsidR="00D86CB3" w:rsidRPr="00590271">
        <w:rPr>
          <w:rFonts w:ascii="Verdana" w:hAnsi="Verdana"/>
        </w:rPr>
        <w:t>Davies</w:t>
      </w:r>
      <w:r w:rsidR="0061048A" w:rsidRPr="00590271">
        <w:rPr>
          <w:rFonts w:ascii="Verdana" w:hAnsi="Verdana"/>
        </w:rPr>
        <w:t xml:space="preserve"> (Davies et </w:t>
      </w:r>
      <w:r w:rsidR="00D86CB3" w:rsidRPr="00590271">
        <w:rPr>
          <w:rFonts w:ascii="Verdana" w:hAnsi="Verdana"/>
        </w:rPr>
        <w:t>al</w:t>
      </w:r>
      <w:r w:rsidR="0061048A" w:rsidRPr="00590271">
        <w:rPr>
          <w:rFonts w:ascii="Verdana" w:hAnsi="Verdana"/>
        </w:rPr>
        <w:t xml:space="preserve">, </w:t>
      </w:r>
      <w:r w:rsidR="00D86CB3" w:rsidRPr="00590271">
        <w:rPr>
          <w:rFonts w:ascii="Verdana" w:hAnsi="Verdana"/>
        </w:rPr>
        <w:t>2012) provide</w:t>
      </w:r>
      <w:r w:rsidR="00D07703" w:rsidRPr="00590271">
        <w:rPr>
          <w:rFonts w:ascii="Verdana" w:hAnsi="Verdana"/>
        </w:rPr>
        <w:t>s</w:t>
      </w:r>
      <w:r w:rsidR="00D86CB3" w:rsidRPr="00590271">
        <w:rPr>
          <w:rFonts w:ascii="Verdana" w:hAnsi="Verdana"/>
        </w:rPr>
        <w:t xml:space="preserve"> a useful review of the evidence of the motivations of students in choosing subjects, as well as reporting further analysis. This shows the complexity of the choice and how the criteria differ for different individuals</w:t>
      </w:r>
      <w:r w:rsidR="00760A32" w:rsidRPr="00590271">
        <w:rPr>
          <w:rFonts w:ascii="Verdana" w:hAnsi="Verdana"/>
        </w:rPr>
        <w:t>, reflecting their different interests and values</w:t>
      </w:r>
      <w:r w:rsidR="00D86CB3" w:rsidRPr="00590271">
        <w:rPr>
          <w:rFonts w:ascii="Verdana" w:hAnsi="Verdana"/>
        </w:rPr>
        <w:t xml:space="preserve">.  Overall </w:t>
      </w:r>
      <w:r w:rsidR="00760A32" w:rsidRPr="00590271">
        <w:rPr>
          <w:rFonts w:ascii="Verdana" w:hAnsi="Verdana"/>
        </w:rPr>
        <w:t>of the six motivations they put to students ‘opportunity to make a positive contribution to society/environment’ was the most frequently selected as ‘very important’ in their choice of which subject to study (32 per cent) , whilst ‘salary’  was judged very important be the least (18 per cent).</w:t>
      </w:r>
      <w:r w:rsidR="00D86CB3" w:rsidRPr="00590271">
        <w:rPr>
          <w:rFonts w:ascii="Verdana" w:hAnsi="Verdana"/>
        </w:rPr>
        <w:t xml:space="preserve"> </w:t>
      </w:r>
      <w:r w:rsidR="003007AD" w:rsidRPr="00590271">
        <w:rPr>
          <w:rFonts w:ascii="Verdana" w:hAnsi="Verdana"/>
        </w:rPr>
        <w:t>The relative importance of salary differed for different groups, being more important for males than females for example.</w:t>
      </w:r>
    </w:p>
    <w:p w:rsidR="00590271" w:rsidRPr="00D42D70" w:rsidRDefault="0061048A" w:rsidP="00590271">
      <w:pPr>
        <w:pStyle w:val="ListParagraph"/>
        <w:autoSpaceDE w:val="0"/>
        <w:autoSpaceDN w:val="0"/>
        <w:adjustRightInd w:val="0"/>
        <w:spacing w:after="240" w:line="300" w:lineRule="atLeast"/>
        <w:ind w:left="0"/>
        <w:contextualSpacing w:val="0"/>
        <w:rPr>
          <w:rFonts w:ascii="Verdana" w:hAnsi="Verdana"/>
          <w:u w:val="single"/>
        </w:rPr>
      </w:pPr>
      <w:r w:rsidRPr="00D42D70">
        <w:rPr>
          <w:rFonts w:ascii="Verdana" w:hAnsi="Verdana"/>
          <w:u w:val="single"/>
        </w:rPr>
        <w:lastRenderedPageBreak/>
        <w:t>Using the</w:t>
      </w:r>
      <w:r w:rsidR="00A762DA" w:rsidRPr="00D42D70">
        <w:rPr>
          <w:rFonts w:ascii="Verdana" w:hAnsi="Verdana"/>
          <w:u w:val="single"/>
        </w:rPr>
        <w:t xml:space="preserve"> Long</w:t>
      </w:r>
      <w:r w:rsidR="00487AEE" w:rsidRPr="00D42D70">
        <w:rPr>
          <w:rFonts w:ascii="Verdana" w:hAnsi="Verdana"/>
          <w:u w:val="single"/>
        </w:rPr>
        <w:t>i</w:t>
      </w:r>
      <w:r w:rsidR="00A762DA" w:rsidRPr="00D42D70">
        <w:rPr>
          <w:rFonts w:ascii="Verdana" w:hAnsi="Verdana"/>
          <w:u w:val="single"/>
        </w:rPr>
        <w:t>tudinal</w:t>
      </w:r>
      <w:r w:rsidR="00487AEE" w:rsidRPr="00D42D70">
        <w:rPr>
          <w:rFonts w:ascii="Verdana" w:hAnsi="Verdana"/>
          <w:u w:val="single"/>
        </w:rPr>
        <w:t xml:space="preserve"> Desti</w:t>
      </w:r>
      <w:r w:rsidR="00A762DA" w:rsidRPr="00D42D70">
        <w:rPr>
          <w:rFonts w:ascii="Verdana" w:hAnsi="Verdana"/>
          <w:u w:val="single"/>
        </w:rPr>
        <w:t>nation of Leavers from Higher Education (LDLHE)</w:t>
      </w:r>
      <w:r w:rsidRPr="00D42D70">
        <w:rPr>
          <w:rFonts w:ascii="Verdana" w:hAnsi="Verdana"/>
          <w:u w:val="single"/>
        </w:rPr>
        <w:t xml:space="preserve"> to determine relative returns by subject</w:t>
      </w:r>
    </w:p>
    <w:p w:rsidR="00590271" w:rsidRDefault="00590271" w:rsidP="00760A32">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42D70">
        <w:rPr>
          <w:rFonts w:ascii="Verdana" w:hAnsi="Verdana"/>
        </w:rPr>
        <w:t xml:space="preserve"> </w:t>
      </w:r>
      <w:r w:rsidR="008F0519">
        <w:rPr>
          <w:rFonts w:ascii="Verdana" w:hAnsi="Verdana"/>
        </w:rPr>
        <w:t xml:space="preserve">If the estimation is limited to the relative returns between subjects, then graduate surveys can be used. </w:t>
      </w:r>
      <w:r w:rsidR="00487AEE" w:rsidRPr="00D42D70">
        <w:rPr>
          <w:rFonts w:ascii="Verdana" w:hAnsi="Verdana"/>
        </w:rPr>
        <w:t>In recent years a much richer and complete data set has become available through</w:t>
      </w:r>
      <w:r w:rsidR="00487AEE" w:rsidRPr="00590271">
        <w:rPr>
          <w:rFonts w:ascii="Verdana" w:hAnsi="Verdana"/>
        </w:rPr>
        <w:t xml:space="preserve"> a follow up survey to the Destination of Leavers from Higher Education, the Longitudinal Destination of Leavers from Higher Education (LDLHE). This is a follow up survey carried out about three and a half years after students qualify from UK higher education institutions. It covers all institutions and is linked to both the DLHE, carried out about six months after qualifying</w:t>
      </w:r>
      <w:r w:rsidR="00EF4E21" w:rsidRPr="00590271">
        <w:rPr>
          <w:rFonts w:ascii="Verdana" w:hAnsi="Verdana"/>
        </w:rPr>
        <w:t xml:space="preserve">, and the HESA student record. This provides a wealth of accurate data, giving the potential to control for </w:t>
      </w:r>
      <w:r w:rsidR="008649EE" w:rsidRPr="00590271">
        <w:rPr>
          <w:rFonts w:ascii="Verdana" w:hAnsi="Verdana"/>
        </w:rPr>
        <w:t xml:space="preserve">a </w:t>
      </w:r>
      <w:r w:rsidR="00EF4E21" w:rsidRPr="00590271">
        <w:rPr>
          <w:rFonts w:ascii="Verdana" w:hAnsi="Verdana"/>
        </w:rPr>
        <w:t>wide range of factors as well as assessing the impact of response bias. In November 2006 the first DLHE was carried out following up the leavers from 2002-03. It has been repeated every other year with the fourth survey planned for November 2012. As the student data has improved, so the data available for LD</w:t>
      </w:r>
      <w:r w:rsidR="008649EE" w:rsidRPr="00590271">
        <w:rPr>
          <w:rFonts w:ascii="Verdana" w:hAnsi="Verdana"/>
        </w:rPr>
        <w:t>L</w:t>
      </w:r>
      <w:r w:rsidR="00EF4E21" w:rsidRPr="00590271">
        <w:rPr>
          <w:rFonts w:ascii="Verdana" w:hAnsi="Verdana"/>
        </w:rPr>
        <w:t xml:space="preserve">HE has improved, though with a delay. Additional data obtained through linking with pupil data, including full details of prior qualifications, will become available for the 2014 LDLHE. </w:t>
      </w:r>
      <w:r w:rsidR="00BC27D3" w:rsidRPr="00590271">
        <w:rPr>
          <w:rFonts w:ascii="Verdana" w:hAnsi="Verdana"/>
        </w:rPr>
        <w:t xml:space="preserve"> While these data are superior to what has been available hitherto, it should be appreciated that in providing information on higher education qualifiers three and a half years after qualifying, we still do not have an estimate of lifetime earnings.  Also those who leave without qualifications are not surveyed</w:t>
      </w:r>
      <w:r w:rsidR="008649EE" w:rsidRPr="00590271">
        <w:rPr>
          <w:rFonts w:ascii="Verdana" w:hAnsi="Verdana"/>
        </w:rPr>
        <w:t>.</w:t>
      </w:r>
    </w:p>
    <w:p w:rsidR="00590271" w:rsidRDefault="00590271" w:rsidP="00760A32">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90271">
        <w:rPr>
          <w:rFonts w:ascii="Verdana" w:hAnsi="Verdana"/>
        </w:rPr>
        <w:t xml:space="preserve"> </w:t>
      </w:r>
      <w:r w:rsidR="008649EE" w:rsidRPr="00590271">
        <w:rPr>
          <w:rFonts w:ascii="Verdana" w:hAnsi="Verdana"/>
        </w:rPr>
        <w:t>The first LDLHE of 2002-03 leavers was a</w:t>
      </w:r>
      <w:r w:rsidR="0061048A" w:rsidRPr="00590271">
        <w:rPr>
          <w:rFonts w:ascii="Verdana" w:hAnsi="Verdana"/>
        </w:rPr>
        <w:t>nalysis by Chevalier (Chevalier, 2011)</w:t>
      </w:r>
      <w:r w:rsidR="008649EE" w:rsidRPr="00590271">
        <w:rPr>
          <w:rFonts w:ascii="Verdana" w:hAnsi="Verdana"/>
        </w:rPr>
        <w:t xml:space="preserve">. He showed that graduates in </w:t>
      </w:r>
      <w:r w:rsidR="0061048A" w:rsidRPr="00590271">
        <w:rPr>
          <w:rFonts w:ascii="Verdana" w:hAnsi="Verdana"/>
        </w:rPr>
        <w:t>economics ha</w:t>
      </w:r>
      <w:r w:rsidR="008649EE" w:rsidRPr="00590271">
        <w:rPr>
          <w:rFonts w:ascii="Verdana" w:hAnsi="Verdana"/>
        </w:rPr>
        <w:t>d</w:t>
      </w:r>
      <w:r w:rsidR="0061048A" w:rsidRPr="00590271">
        <w:rPr>
          <w:rFonts w:ascii="Verdana" w:hAnsi="Verdana"/>
        </w:rPr>
        <w:t xml:space="preserve"> the second highest returns </w:t>
      </w:r>
      <w:r w:rsidR="008649EE" w:rsidRPr="00590271">
        <w:rPr>
          <w:rFonts w:ascii="Verdana" w:hAnsi="Verdana"/>
        </w:rPr>
        <w:t xml:space="preserve">measured </w:t>
      </w:r>
      <w:r w:rsidR="0061048A" w:rsidRPr="00590271">
        <w:rPr>
          <w:rFonts w:ascii="Verdana" w:hAnsi="Verdana"/>
        </w:rPr>
        <w:t>with no controls (</w:t>
      </w:r>
      <w:r w:rsidR="008649EE" w:rsidRPr="00590271">
        <w:rPr>
          <w:rFonts w:ascii="Verdana" w:hAnsi="Verdana"/>
        </w:rPr>
        <w:t xml:space="preserve">table 2, </w:t>
      </w:r>
      <w:r w:rsidR="0061048A" w:rsidRPr="00590271">
        <w:rPr>
          <w:rFonts w:ascii="Verdana" w:hAnsi="Verdana"/>
        </w:rPr>
        <w:t>specification 1) and the ninth highest return with his preferred model (</w:t>
      </w:r>
      <w:r w:rsidR="008649EE" w:rsidRPr="00590271">
        <w:rPr>
          <w:rFonts w:ascii="Verdana" w:hAnsi="Verdana"/>
        </w:rPr>
        <w:t xml:space="preserve">table 2, </w:t>
      </w:r>
      <w:r w:rsidR="0061048A" w:rsidRPr="00590271">
        <w:rPr>
          <w:rFonts w:ascii="Verdana" w:hAnsi="Verdana"/>
        </w:rPr>
        <w:t>specification 6).</w:t>
      </w:r>
      <w:r w:rsidR="00890867" w:rsidRPr="00590271">
        <w:rPr>
          <w:rFonts w:ascii="Verdana" w:hAnsi="Verdana"/>
        </w:rPr>
        <w:t xml:space="preserve"> This study also shows that with</w:t>
      </w:r>
      <w:r w:rsidR="0068493F" w:rsidRPr="00590271">
        <w:rPr>
          <w:rFonts w:ascii="Verdana" w:hAnsi="Verdana"/>
        </w:rPr>
        <w:t>in</w:t>
      </w:r>
      <w:r w:rsidR="00890867" w:rsidRPr="00590271">
        <w:rPr>
          <w:rFonts w:ascii="Verdana" w:hAnsi="Verdana"/>
        </w:rPr>
        <w:t xml:space="preserve"> subject differences were larger than between subject differences.</w:t>
      </w:r>
    </w:p>
    <w:p w:rsidR="009D6AC8" w:rsidRPr="00590271" w:rsidRDefault="00590271" w:rsidP="00760A32">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890867" w:rsidRPr="00590271">
        <w:rPr>
          <w:rFonts w:ascii="Verdana" w:hAnsi="Verdana"/>
        </w:rPr>
        <w:t xml:space="preserve">It is likely that at least part of the remaining differences in earnings in the full specification were due to unobserved characteristics of the individuals who chose one subject rather than another. The reasons students give for entering HE and for choosing a subject suggest this is the case. Table </w:t>
      </w:r>
      <w:r w:rsidR="00E06C92" w:rsidRPr="00590271">
        <w:rPr>
          <w:rFonts w:ascii="Verdana" w:hAnsi="Verdana"/>
        </w:rPr>
        <w:t>4</w:t>
      </w:r>
      <w:r w:rsidR="00890867" w:rsidRPr="00590271">
        <w:rPr>
          <w:rFonts w:ascii="Verdana" w:hAnsi="Verdana"/>
        </w:rPr>
        <w:t xml:space="preserve"> shows some </w:t>
      </w:r>
      <w:r w:rsidR="00BB09FB" w:rsidRPr="00590271">
        <w:rPr>
          <w:rFonts w:ascii="Verdana" w:hAnsi="Verdana"/>
        </w:rPr>
        <w:t>r</w:t>
      </w:r>
      <w:r w:rsidR="00890867" w:rsidRPr="00590271">
        <w:rPr>
          <w:rFonts w:ascii="Verdana" w:hAnsi="Verdana"/>
        </w:rPr>
        <w:t xml:space="preserve">esults </w:t>
      </w:r>
      <w:r w:rsidR="00001409" w:rsidRPr="00590271">
        <w:rPr>
          <w:rFonts w:ascii="Verdana" w:hAnsi="Verdana"/>
        </w:rPr>
        <w:t xml:space="preserve">from </w:t>
      </w:r>
      <w:r w:rsidR="00890867" w:rsidRPr="00590271">
        <w:rPr>
          <w:rFonts w:ascii="Verdana" w:hAnsi="Verdana"/>
        </w:rPr>
        <w:t>a large scale survey (Pur</w:t>
      </w:r>
      <w:r w:rsidR="0068493F" w:rsidRPr="00590271">
        <w:rPr>
          <w:rFonts w:ascii="Verdana" w:hAnsi="Verdana"/>
        </w:rPr>
        <w:t>cell et al, 2008</w:t>
      </w:r>
      <w:r w:rsidR="00890867" w:rsidRPr="00590271">
        <w:rPr>
          <w:rFonts w:ascii="Verdana" w:hAnsi="Verdana"/>
        </w:rPr>
        <w:t>).</w:t>
      </w:r>
    </w:p>
    <w:p w:rsidR="00E513C0" w:rsidRDefault="00E513C0">
      <w:pPr>
        <w:rPr>
          <w:rFonts w:ascii="Verdana" w:hAnsi="Verdana"/>
          <w:b/>
        </w:rPr>
      </w:pPr>
      <w:r>
        <w:rPr>
          <w:rFonts w:ascii="Verdana" w:hAnsi="Verdana"/>
          <w:b/>
        </w:rPr>
        <w:br w:type="page"/>
      </w:r>
    </w:p>
    <w:p w:rsidR="00B01E7B" w:rsidRPr="008649EE" w:rsidRDefault="00E06C92" w:rsidP="00760A32">
      <w:pPr>
        <w:spacing w:line="300" w:lineRule="atLeast"/>
        <w:rPr>
          <w:rFonts w:ascii="Verdana" w:hAnsi="Verdana"/>
          <w:b/>
        </w:rPr>
      </w:pPr>
      <w:r>
        <w:rPr>
          <w:rFonts w:ascii="Verdana" w:hAnsi="Verdana"/>
          <w:b/>
        </w:rPr>
        <w:lastRenderedPageBreak/>
        <w:t>Table 4</w:t>
      </w:r>
      <w:r w:rsidR="00001409" w:rsidRPr="008649EE">
        <w:rPr>
          <w:rFonts w:ascii="Verdana" w:hAnsi="Verdana"/>
          <w:b/>
        </w:rPr>
        <w:t>: Evidence for the selection of subject by unobs</w:t>
      </w:r>
      <w:r w:rsidR="0070211E" w:rsidRPr="008649EE">
        <w:rPr>
          <w:rFonts w:ascii="Verdana" w:hAnsi="Verdana"/>
          <w:b/>
        </w:rPr>
        <w:t>er</w:t>
      </w:r>
      <w:r w:rsidR="00001409" w:rsidRPr="008649EE">
        <w:rPr>
          <w:rFonts w:ascii="Verdana" w:hAnsi="Verdana"/>
          <w:b/>
        </w:rPr>
        <w:t>ved variables related to earnings</w:t>
      </w:r>
      <w:r w:rsidR="0070211E" w:rsidRPr="008649EE">
        <w:rPr>
          <w:rFonts w:ascii="Verdana" w:hAnsi="Verdana"/>
          <w:b/>
        </w:rPr>
        <w:t>.</w:t>
      </w:r>
    </w:p>
    <w:tbl>
      <w:tblPr>
        <w:tblStyle w:val="TableGrid"/>
        <w:tblW w:w="9253" w:type="dxa"/>
        <w:tblLayout w:type="fixed"/>
        <w:tblLook w:val="04A0" w:firstRow="1" w:lastRow="0" w:firstColumn="1" w:lastColumn="0" w:noHBand="0" w:noVBand="1"/>
      </w:tblPr>
      <w:tblGrid>
        <w:gridCol w:w="3510"/>
        <w:gridCol w:w="1207"/>
        <w:gridCol w:w="1134"/>
        <w:gridCol w:w="1134"/>
        <w:gridCol w:w="1134"/>
        <w:gridCol w:w="1134"/>
      </w:tblGrid>
      <w:tr w:rsidR="0070211E" w:rsidTr="00A463D6">
        <w:tc>
          <w:tcPr>
            <w:tcW w:w="3510" w:type="dxa"/>
          </w:tcPr>
          <w:p w:rsidR="0070211E" w:rsidRDefault="0070211E" w:rsidP="00760A32">
            <w:pPr>
              <w:spacing w:line="300" w:lineRule="atLeast"/>
              <w:rPr>
                <w:rFonts w:ascii="Verdana" w:hAnsi="Verdana"/>
              </w:rPr>
            </w:pPr>
          </w:p>
          <w:p w:rsidR="0070211E" w:rsidRDefault="0070211E" w:rsidP="00760A32">
            <w:pPr>
              <w:spacing w:line="300" w:lineRule="atLeast"/>
              <w:rPr>
                <w:rFonts w:ascii="Verdana" w:hAnsi="Verdana"/>
              </w:rPr>
            </w:pPr>
          </w:p>
        </w:tc>
        <w:tc>
          <w:tcPr>
            <w:tcW w:w="2341" w:type="dxa"/>
            <w:gridSpan w:val="2"/>
          </w:tcPr>
          <w:p w:rsidR="0070211E" w:rsidRDefault="0070211E" w:rsidP="00760A32">
            <w:pPr>
              <w:spacing w:line="300" w:lineRule="atLeast"/>
              <w:rPr>
                <w:rFonts w:ascii="Verdana" w:hAnsi="Verdana"/>
              </w:rPr>
            </w:pPr>
            <w:r>
              <w:rPr>
                <w:rFonts w:ascii="Verdana" w:hAnsi="Verdana"/>
              </w:rPr>
              <w:t>Career orientated</w:t>
            </w:r>
          </w:p>
        </w:tc>
        <w:tc>
          <w:tcPr>
            <w:tcW w:w="3402" w:type="dxa"/>
            <w:gridSpan w:val="3"/>
          </w:tcPr>
          <w:p w:rsidR="0070211E" w:rsidRDefault="0070211E" w:rsidP="0070211E">
            <w:pPr>
              <w:spacing w:line="300" w:lineRule="atLeast"/>
              <w:jc w:val="center"/>
              <w:rPr>
                <w:rFonts w:ascii="Verdana" w:hAnsi="Verdana"/>
              </w:rPr>
            </w:pPr>
            <w:r>
              <w:rPr>
                <w:rFonts w:ascii="Verdana" w:hAnsi="Verdana"/>
              </w:rPr>
              <w:t>Learning orientated</w:t>
            </w:r>
          </w:p>
        </w:tc>
      </w:tr>
      <w:tr w:rsidR="00A463D6" w:rsidTr="008040C0">
        <w:tc>
          <w:tcPr>
            <w:tcW w:w="3510" w:type="dxa"/>
          </w:tcPr>
          <w:p w:rsidR="00A463D6" w:rsidRDefault="00A463D6" w:rsidP="00760A32">
            <w:pPr>
              <w:spacing w:line="300" w:lineRule="atLeast"/>
              <w:rPr>
                <w:rFonts w:ascii="Verdana" w:hAnsi="Verdana"/>
              </w:rPr>
            </w:pPr>
            <w:r>
              <w:rPr>
                <w:rFonts w:ascii="Verdana" w:hAnsi="Verdana"/>
              </w:rPr>
              <w:t>A-level grades</w:t>
            </w:r>
          </w:p>
          <w:p w:rsidR="00A463D6" w:rsidRDefault="00A463D6" w:rsidP="00760A32">
            <w:pPr>
              <w:spacing w:line="300" w:lineRule="atLeast"/>
              <w:rPr>
                <w:rFonts w:ascii="Verdana" w:hAnsi="Verdana"/>
              </w:rPr>
            </w:pPr>
          </w:p>
        </w:tc>
        <w:tc>
          <w:tcPr>
            <w:tcW w:w="1207" w:type="dxa"/>
          </w:tcPr>
          <w:p w:rsidR="00A463D6" w:rsidRDefault="00A463D6" w:rsidP="00A463D6">
            <w:pPr>
              <w:spacing w:line="300" w:lineRule="atLeast"/>
              <w:jc w:val="center"/>
              <w:rPr>
                <w:rFonts w:ascii="Verdana" w:hAnsi="Verdana"/>
              </w:rPr>
            </w:pPr>
            <w:r>
              <w:rPr>
                <w:rFonts w:ascii="Verdana" w:hAnsi="Verdana"/>
              </w:rPr>
              <w:t>Low</w:t>
            </w:r>
          </w:p>
        </w:tc>
        <w:tc>
          <w:tcPr>
            <w:tcW w:w="1134" w:type="dxa"/>
          </w:tcPr>
          <w:p w:rsidR="00A463D6" w:rsidRDefault="00A463D6" w:rsidP="00A463D6">
            <w:pPr>
              <w:spacing w:line="300" w:lineRule="atLeast"/>
              <w:jc w:val="center"/>
              <w:rPr>
                <w:rFonts w:ascii="Verdana" w:hAnsi="Verdana"/>
              </w:rPr>
            </w:pPr>
            <w:r>
              <w:rPr>
                <w:rFonts w:ascii="Verdana" w:hAnsi="Verdana"/>
              </w:rPr>
              <w:t>High</w:t>
            </w:r>
          </w:p>
        </w:tc>
        <w:tc>
          <w:tcPr>
            <w:tcW w:w="1134" w:type="dxa"/>
          </w:tcPr>
          <w:p w:rsidR="00A463D6" w:rsidRDefault="00A463D6" w:rsidP="00A463D6">
            <w:pPr>
              <w:spacing w:line="300" w:lineRule="atLeast"/>
              <w:jc w:val="center"/>
              <w:rPr>
                <w:rFonts w:ascii="Verdana" w:hAnsi="Verdana"/>
              </w:rPr>
            </w:pPr>
            <w:r>
              <w:rPr>
                <w:rFonts w:ascii="Verdana" w:hAnsi="Verdana"/>
              </w:rPr>
              <w:t>Low</w:t>
            </w:r>
          </w:p>
        </w:tc>
        <w:tc>
          <w:tcPr>
            <w:tcW w:w="2268" w:type="dxa"/>
            <w:gridSpan w:val="2"/>
          </w:tcPr>
          <w:p w:rsidR="00A463D6" w:rsidRDefault="00A463D6" w:rsidP="00A463D6">
            <w:pPr>
              <w:spacing w:line="300" w:lineRule="atLeast"/>
              <w:jc w:val="center"/>
              <w:rPr>
                <w:rFonts w:ascii="Verdana" w:hAnsi="Verdana"/>
              </w:rPr>
            </w:pPr>
            <w:r>
              <w:rPr>
                <w:rFonts w:ascii="Verdana" w:hAnsi="Verdana"/>
              </w:rPr>
              <w:t>High</w:t>
            </w:r>
          </w:p>
        </w:tc>
      </w:tr>
      <w:tr w:rsidR="0070211E" w:rsidTr="00A463D6">
        <w:tc>
          <w:tcPr>
            <w:tcW w:w="3510" w:type="dxa"/>
          </w:tcPr>
          <w:p w:rsidR="0070211E" w:rsidRDefault="0070211E" w:rsidP="00760A32">
            <w:pPr>
              <w:spacing w:line="300" w:lineRule="atLeast"/>
              <w:rPr>
                <w:rFonts w:ascii="Verdana" w:hAnsi="Verdana"/>
              </w:rPr>
            </w:pPr>
            <w:r>
              <w:rPr>
                <w:rFonts w:ascii="Verdana" w:hAnsi="Verdana"/>
              </w:rPr>
              <w:t>Subject</w:t>
            </w:r>
          </w:p>
          <w:p w:rsidR="0070211E" w:rsidRDefault="0070211E" w:rsidP="00760A32">
            <w:pPr>
              <w:spacing w:line="300" w:lineRule="atLeast"/>
              <w:rPr>
                <w:rFonts w:ascii="Verdana" w:hAnsi="Verdana"/>
              </w:rPr>
            </w:pPr>
          </w:p>
        </w:tc>
        <w:tc>
          <w:tcPr>
            <w:tcW w:w="1207" w:type="dxa"/>
          </w:tcPr>
          <w:p w:rsidR="0070211E" w:rsidRPr="00A463D6" w:rsidRDefault="00A463D6" w:rsidP="00760A32">
            <w:pPr>
              <w:spacing w:line="300" w:lineRule="atLeast"/>
              <w:rPr>
                <w:rFonts w:ascii="Verdana" w:hAnsi="Verdana"/>
                <w:sz w:val="16"/>
                <w:szCs w:val="16"/>
              </w:rPr>
            </w:pPr>
            <w:r w:rsidRPr="00A463D6">
              <w:rPr>
                <w:rFonts w:ascii="Verdana" w:hAnsi="Verdana"/>
                <w:sz w:val="16"/>
                <w:szCs w:val="16"/>
              </w:rPr>
              <w:t>Education</w:t>
            </w:r>
          </w:p>
        </w:tc>
        <w:tc>
          <w:tcPr>
            <w:tcW w:w="1134" w:type="dxa"/>
          </w:tcPr>
          <w:p w:rsidR="0070211E" w:rsidRPr="00A463D6" w:rsidRDefault="00A463D6" w:rsidP="00760A32">
            <w:pPr>
              <w:spacing w:line="300" w:lineRule="atLeast"/>
              <w:rPr>
                <w:rFonts w:ascii="Verdana" w:hAnsi="Verdana"/>
                <w:sz w:val="16"/>
                <w:szCs w:val="16"/>
              </w:rPr>
            </w:pPr>
            <w:r w:rsidRPr="00A463D6">
              <w:rPr>
                <w:rFonts w:ascii="Verdana" w:hAnsi="Verdana"/>
                <w:sz w:val="16"/>
                <w:szCs w:val="16"/>
              </w:rPr>
              <w:t>Law</w:t>
            </w:r>
          </w:p>
        </w:tc>
        <w:tc>
          <w:tcPr>
            <w:tcW w:w="1134" w:type="dxa"/>
          </w:tcPr>
          <w:p w:rsidR="0070211E" w:rsidRPr="00A463D6" w:rsidRDefault="00A463D6" w:rsidP="00760A32">
            <w:pPr>
              <w:spacing w:line="300" w:lineRule="atLeast"/>
              <w:rPr>
                <w:rFonts w:ascii="Verdana" w:hAnsi="Verdana"/>
                <w:sz w:val="16"/>
                <w:szCs w:val="16"/>
              </w:rPr>
            </w:pPr>
            <w:r w:rsidRPr="00A463D6">
              <w:rPr>
                <w:rFonts w:ascii="Verdana" w:hAnsi="Verdana"/>
                <w:sz w:val="16"/>
                <w:szCs w:val="16"/>
              </w:rPr>
              <w:t>Creative Arts</w:t>
            </w:r>
          </w:p>
        </w:tc>
        <w:tc>
          <w:tcPr>
            <w:tcW w:w="1134" w:type="dxa"/>
          </w:tcPr>
          <w:p w:rsidR="0070211E" w:rsidRPr="00A463D6" w:rsidRDefault="00A463D6" w:rsidP="00760A32">
            <w:pPr>
              <w:spacing w:line="300" w:lineRule="atLeast"/>
              <w:rPr>
                <w:rFonts w:ascii="Verdana" w:hAnsi="Verdana"/>
                <w:sz w:val="16"/>
                <w:szCs w:val="16"/>
              </w:rPr>
            </w:pPr>
            <w:r w:rsidRPr="00A463D6">
              <w:rPr>
                <w:rFonts w:ascii="Verdana" w:hAnsi="Verdana"/>
                <w:sz w:val="16"/>
                <w:szCs w:val="16"/>
              </w:rPr>
              <w:t>History, Philosophy</w:t>
            </w:r>
          </w:p>
        </w:tc>
        <w:tc>
          <w:tcPr>
            <w:tcW w:w="1134" w:type="dxa"/>
          </w:tcPr>
          <w:p w:rsidR="0070211E" w:rsidRPr="00A463D6" w:rsidRDefault="00A463D6" w:rsidP="00760A32">
            <w:pPr>
              <w:spacing w:line="300" w:lineRule="atLeast"/>
              <w:rPr>
                <w:rFonts w:ascii="Verdana" w:hAnsi="Verdana"/>
                <w:sz w:val="16"/>
                <w:szCs w:val="16"/>
              </w:rPr>
            </w:pPr>
            <w:r>
              <w:rPr>
                <w:rFonts w:ascii="Verdana" w:hAnsi="Verdana"/>
                <w:sz w:val="16"/>
                <w:szCs w:val="16"/>
              </w:rPr>
              <w:t>Linguistics, Classics</w:t>
            </w:r>
          </w:p>
        </w:tc>
      </w:tr>
      <w:tr w:rsidR="0070211E" w:rsidTr="00A463D6">
        <w:tc>
          <w:tcPr>
            <w:tcW w:w="3510" w:type="dxa"/>
          </w:tcPr>
          <w:p w:rsidR="0070211E" w:rsidRDefault="0070211E" w:rsidP="0070211E">
            <w:pPr>
              <w:spacing w:line="300" w:lineRule="atLeast"/>
              <w:rPr>
                <w:rFonts w:ascii="Verdana" w:hAnsi="Verdana"/>
              </w:rPr>
            </w:pPr>
            <w:r>
              <w:rPr>
                <w:rFonts w:ascii="Verdana" w:hAnsi="Verdana"/>
              </w:rPr>
              <w:t xml:space="preserve">Entered HE to </w:t>
            </w:r>
            <w:r w:rsidR="006067AC">
              <w:rPr>
                <w:rFonts w:ascii="Verdana" w:hAnsi="Verdana"/>
              </w:rPr>
              <w:t>‘</w:t>
            </w:r>
            <w:r>
              <w:rPr>
                <w:rFonts w:ascii="Verdana" w:hAnsi="Verdana"/>
              </w:rPr>
              <w:t>to get a good job</w:t>
            </w:r>
            <w:r w:rsidR="006067AC">
              <w:rPr>
                <w:rFonts w:ascii="Verdana" w:hAnsi="Verdana"/>
              </w:rPr>
              <w:t>’</w:t>
            </w:r>
          </w:p>
          <w:p w:rsidR="0070211E" w:rsidRDefault="0070211E" w:rsidP="0070211E">
            <w:pPr>
              <w:spacing w:line="300" w:lineRule="atLeast"/>
              <w:rPr>
                <w:rFonts w:ascii="Verdana" w:hAnsi="Verdana"/>
              </w:rPr>
            </w:pPr>
            <w:r>
              <w:rPr>
                <w:rFonts w:ascii="Verdana" w:hAnsi="Verdana"/>
              </w:rPr>
              <w:t xml:space="preserve"> </w:t>
            </w:r>
          </w:p>
        </w:tc>
        <w:tc>
          <w:tcPr>
            <w:tcW w:w="1207" w:type="dxa"/>
          </w:tcPr>
          <w:p w:rsidR="0070211E" w:rsidRDefault="0070211E" w:rsidP="00760A32">
            <w:pPr>
              <w:spacing w:line="300" w:lineRule="atLeast"/>
              <w:rPr>
                <w:rFonts w:ascii="Verdana" w:hAnsi="Verdana"/>
              </w:rPr>
            </w:pPr>
          </w:p>
          <w:p w:rsidR="0068493F" w:rsidRDefault="0068493F" w:rsidP="00760A32">
            <w:pPr>
              <w:spacing w:line="300" w:lineRule="atLeast"/>
              <w:rPr>
                <w:rFonts w:ascii="Verdana" w:hAnsi="Verdana"/>
              </w:rPr>
            </w:pPr>
            <w:r>
              <w:rPr>
                <w:rFonts w:ascii="Verdana" w:hAnsi="Verdana"/>
              </w:rPr>
              <w:t>85%</w:t>
            </w:r>
          </w:p>
        </w:tc>
        <w:tc>
          <w:tcPr>
            <w:tcW w:w="1134" w:type="dxa"/>
          </w:tcPr>
          <w:p w:rsidR="0070211E" w:rsidRDefault="0070211E" w:rsidP="00760A32">
            <w:pPr>
              <w:spacing w:line="300" w:lineRule="atLeast"/>
              <w:rPr>
                <w:rFonts w:ascii="Verdana" w:hAnsi="Verdana"/>
              </w:rPr>
            </w:pPr>
          </w:p>
          <w:p w:rsidR="0068493F" w:rsidRDefault="0068493F" w:rsidP="00760A32">
            <w:pPr>
              <w:spacing w:line="300" w:lineRule="atLeast"/>
              <w:rPr>
                <w:rFonts w:ascii="Verdana" w:hAnsi="Verdana"/>
              </w:rPr>
            </w:pPr>
            <w:r>
              <w:rPr>
                <w:rFonts w:ascii="Verdana" w:hAnsi="Verdana"/>
              </w:rPr>
              <w:t>83%</w:t>
            </w:r>
          </w:p>
        </w:tc>
        <w:tc>
          <w:tcPr>
            <w:tcW w:w="1134" w:type="dxa"/>
          </w:tcPr>
          <w:p w:rsidR="0070211E" w:rsidRDefault="0070211E" w:rsidP="00760A32">
            <w:pPr>
              <w:spacing w:line="300" w:lineRule="atLeast"/>
              <w:rPr>
                <w:rFonts w:ascii="Verdana" w:hAnsi="Verdana"/>
              </w:rPr>
            </w:pPr>
          </w:p>
          <w:p w:rsidR="0068493F" w:rsidRDefault="0068493F" w:rsidP="00760A32">
            <w:pPr>
              <w:spacing w:line="300" w:lineRule="atLeast"/>
              <w:rPr>
                <w:rFonts w:ascii="Verdana" w:hAnsi="Verdana"/>
              </w:rPr>
            </w:pPr>
            <w:r>
              <w:rPr>
                <w:rFonts w:ascii="Verdana" w:hAnsi="Verdana"/>
              </w:rPr>
              <w:t>70%</w:t>
            </w:r>
          </w:p>
        </w:tc>
        <w:tc>
          <w:tcPr>
            <w:tcW w:w="1134" w:type="dxa"/>
          </w:tcPr>
          <w:p w:rsidR="0070211E" w:rsidRDefault="0070211E" w:rsidP="00760A32">
            <w:pPr>
              <w:spacing w:line="300" w:lineRule="atLeast"/>
              <w:rPr>
                <w:rFonts w:ascii="Verdana" w:hAnsi="Verdana"/>
              </w:rPr>
            </w:pPr>
          </w:p>
          <w:p w:rsidR="0068493F" w:rsidRDefault="0068493F" w:rsidP="00760A32">
            <w:pPr>
              <w:spacing w:line="300" w:lineRule="atLeast"/>
              <w:rPr>
                <w:rFonts w:ascii="Verdana" w:hAnsi="Verdana"/>
              </w:rPr>
            </w:pPr>
            <w:r>
              <w:rPr>
                <w:rFonts w:ascii="Verdana" w:hAnsi="Verdana"/>
              </w:rPr>
              <w:t>73%</w:t>
            </w:r>
          </w:p>
        </w:tc>
        <w:tc>
          <w:tcPr>
            <w:tcW w:w="1134" w:type="dxa"/>
          </w:tcPr>
          <w:p w:rsidR="0070211E" w:rsidRDefault="0070211E" w:rsidP="00760A32">
            <w:pPr>
              <w:spacing w:line="300" w:lineRule="atLeast"/>
              <w:rPr>
                <w:rFonts w:ascii="Verdana" w:hAnsi="Verdana"/>
              </w:rPr>
            </w:pPr>
          </w:p>
          <w:p w:rsidR="0068493F" w:rsidRDefault="0068493F" w:rsidP="00760A32">
            <w:pPr>
              <w:spacing w:line="300" w:lineRule="atLeast"/>
              <w:rPr>
                <w:rFonts w:ascii="Verdana" w:hAnsi="Verdana"/>
              </w:rPr>
            </w:pPr>
            <w:r>
              <w:rPr>
                <w:rFonts w:ascii="Verdana" w:hAnsi="Verdana"/>
              </w:rPr>
              <w:t>77%</w:t>
            </w:r>
          </w:p>
        </w:tc>
      </w:tr>
      <w:tr w:rsidR="0070211E" w:rsidTr="00A463D6">
        <w:tc>
          <w:tcPr>
            <w:tcW w:w="3510" w:type="dxa"/>
          </w:tcPr>
          <w:p w:rsidR="0070211E" w:rsidRDefault="0070211E" w:rsidP="00760A32">
            <w:pPr>
              <w:spacing w:line="300" w:lineRule="atLeast"/>
              <w:rPr>
                <w:rFonts w:ascii="Verdana" w:hAnsi="Verdana"/>
              </w:rPr>
            </w:pPr>
            <w:r>
              <w:rPr>
                <w:rFonts w:ascii="Verdana" w:hAnsi="Verdana"/>
              </w:rPr>
              <w:t xml:space="preserve">Chose subject because </w:t>
            </w:r>
            <w:r w:rsidR="006067AC">
              <w:rPr>
                <w:rFonts w:ascii="Verdana" w:hAnsi="Verdana"/>
              </w:rPr>
              <w:t>‘</w:t>
            </w:r>
            <w:r>
              <w:rPr>
                <w:rFonts w:ascii="Verdana" w:hAnsi="Verdana"/>
              </w:rPr>
              <w:t>enjoyed studying it</w:t>
            </w:r>
            <w:r w:rsidR="006067AC">
              <w:rPr>
                <w:rFonts w:ascii="Verdana" w:hAnsi="Verdana"/>
              </w:rPr>
              <w:t>’</w:t>
            </w:r>
          </w:p>
          <w:p w:rsidR="0070211E" w:rsidRDefault="0070211E" w:rsidP="00760A32">
            <w:pPr>
              <w:spacing w:line="300" w:lineRule="atLeast"/>
              <w:rPr>
                <w:rFonts w:ascii="Verdana" w:hAnsi="Verdana"/>
              </w:rPr>
            </w:pPr>
          </w:p>
        </w:tc>
        <w:tc>
          <w:tcPr>
            <w:tcW w:w="1207" w:type="dxa"/>
          </w:tcPr>
          <w:p w:rsidR="0070211E" w:rsidRDefault="0070211E" w:rsidP="00760A32">
            <w:pPr>
              <w:spacing w:line="300" w:lineRule="atLeast"/>
              <w:rPr>
                <w:rFonts w:ascii="Verdana" w:hAnsi="Verdana"/>
              </w:rPr>
            </w:pPr>
          </w:p>
          <w:p w:rsidR="0068493F" w:rsidRDefault="0068493F" w:rsidP="00760A32">
            <w:pPr>
              <w:spacing w:line="300" w:lineRule="atLeast"/>
              <w:rPr>
                <w:rFonts w:ascii="Verdana" w:hAnsi="Verdana"/>
              </w:rPr>
            </w:pPr>
            <w:r>
              <w:rPr>
                <w:rFonts w:ascii="Verdana" w:hAnsi="Verdana"/>
              </w:rPr>
              <w:t>56%</w:t>
            </w:r>
          </w:p>
        </w:tc>
        <w:tc>
          <w:tcPr>
            <w:tcW w:w="1134" w:type="dxa"/>
          </w:tcPr>
          <w:p w:rsidR="0070211E" w:rsidRDefault="0070211E" w:rsidP="00760A32">
            <w:pPr>
              <w:spacing w:line="300" w:lineRule="atLeast"/>
              <w:rPr>
                <w:rFonts w:ascii="Verdana" w:hAnsi="Verdana"/>
              </w:rPr>
            </w:pPr>
          </w:p>
          <w:p w:rsidR="0068493F" w:rsidRDefault="0068493F" w:rsidP="00760A32">
            <w:pPr>
              <w:spacing w:line="300" w:lineRule="atLeast"/>
              <w:rPr>
                <w:rFonts w:ascii="Verdana" w:hAnsi="Verdana"/>
              </w:rPr>
            </w:pPr>
            <w:r>
              <w:rPr>
                <w:rFonts w:ascii="Verdana" w:hAnsi="Verdana"/>
              </w:rPr>
              <w:t>60%</w:t>
            </w:r>
          </w:p>
        </w:tc>
        <w:tc>
          <w:tcPr>
            <w:tcW w:w="1134" w:type="dxa"/>
          </w:tcPr>
          <w:p w:rsidR="0070211E" w:rsidRDefault="0070211E" w:rsidP="00760A32">
            <w:pPr>
              <w:spacing w:line="300" w:lineRule="atLeast"/>
              <w:rPr>
                <w:rFonts w:ascii="Verdana" w:hAnsi="Verdana"/>
              </w:rPr>
            </w:pPr>
          </w:p>
          <w:p w:rsidR="0068493F" w:rsidRDefault="0068493F" w:rsidP="00760A32">
            <w:pPr>
              <w:spacing w:line="300" w:lineRule="atLeast"/>
              <w:rPr>
                <w:rFonts w:ascii="Verdana" w:hAnsi="Verdana"/>
              </w:rPr>
            </w:pPr>
            <w:r>
              <w:rPr>
                <w:rFonts w:ascii="Verdana" w:hAnsi="Verdana"/>
              </w:rPr>
              <w:t>90%</w:t>
            </w:r>
          </w:p>
        </w:tc>
        <w:tc>
          <w:tcPr>
            <w:tcW w:w="1134" w:type="dxa"/>
          </w:tcPr>
          <w:p w:rsidR="0070211E" w:rsidRDefault="0070211E" w:rsidP="00760A32">
            <w:pPr>
              <w:spacing w:line="300" w:lineRule="atLeast"/>
              <w:rPr>
                <w:rFonts w:ascii="Verdana" w:hAnsi="Verdana"/>
              </w:rPr>
            </w:pPr>
          </w:p>
          <w:p w:rsidR="0068493F" w:rsidRDefault="0068493F" w:rsidP="00760A32">
            <w:pPr>
              <w:spacing w:line="300" w:lineRule="atLeast"/>
              <w:rPr>
                <w:rFonts w:ascii="Verdana" w:hAnsi="Verdana"/>
              </w:rPr>
            </w:pPr>
            <w:r>
              <w:rPr>
                <w:rFonts w:ascii="Verdana" w:hAnsi="Verdana"/>
              </w:rPr>
              <w:t>92%</w:t>
            </w:r>
          </w:p>
        </w:tc>
        <w:tc>
          <w:tcPr>
            <w:tcW w:w="1134" w:type="dxa"/>
          </w:tcPr>
          <w:p w:rsidR="0070211E" w:rsidRDefault="0070211E" w:rsidP="00760A32">
            <w:pPr>
              <w:spacing w:line="300" w:lineRule="atLeast"/>
              <w:rPr>
                <w:rFonts w:ascii="Verdana" w:hAnsi="Verdana"/>
              </w:rPr>
            </w:pPr>
          </w:p>
          <w:p w:rsidR="0068493F" w:rsidRDefault="0068493F" w:rsidP="00760A32">
            <w:pPr>
              <w:spacing w:line="300" w:lineRule="atLeast"/>
              <w:rPr>
                <w:rFonts w:ascii="Verdana" w:hAnsi="Verdana"/>
              </w:rPr>
            </w:pPr>
            <w:r>
              <w:rPr>
                <w:rFonts w:ascii="Verdana" w:hAnsi="Verdana"/>
              </w:rPr>
              <w:t>93%</w:t>
            </w:r>
          </w:p>
        </w:tc>
      </w:tr>
      <w:tr w:rsidR="0070211E" w:rsidTr="00A463D6">
        <w:tc>
          <w:tcPr>
            <w:tcW w:w="3510" w:type="dxa"/>
          </w:tcPr>
          <w:p w:rsidR="0070211E" w:rsidRDefault="0070211E" w:rsidP="00760A32">
            <w:pPr>
              <w:spacing w:line="300" w:lineRule="atLeast"/>
              <w:rPr>
                <w:rFonts w:ascii="Verdana" w:hAnsi="Verdana"/>
              </w:rPr>
            </w:pPr>
            <w:r>
              <w:rPr>
                <w:rFonts w:ascii="Verdana" w:hAnsi="Verdana"/>
              </w:rPr>
              <w:t xml:space="preserve">Earnings rank (Chevalier model spec 6) </w:t>
            </w:r>
          </w:p>
          <w:p w:rsidR="0070211E" w:rsidRDefault="0070211E" w:rsidP="00760A32">
            <w:pPr>
              <w:spacing w:line="300" w:lineRule="atLeast"/>
              <w:rPr>
                <w:rFonts w:ascii="Verdana" w:hAnsi="Verdana"/>
              </w:rPr>
            </w:pPr>
          </w:p>
        </w:tc>
        <w:tc>
          <w:tcPr>
            <w:tcW w:w="1207" w:type="dxa"/>
          </w:tcPr>
          <w:p w:rsidR="0070211E" w:rsidRDefault="0070211E" w:rsidP="00760A32">
            <w:pPr>
              <w:spacing w:line="300" w:lineRule="atLeast"/>
              <w:rPr>
                <w:rFonts w:ascii="Verdana" w:hAnsi="Verdana"/>
              </w:rPr>
            </w:pPr>
          </w:p>
          <w:p w:rsidR="00A463D6" w:rsidRDefault="00A463D6" w:rsidP="00760A32">
            <w:pPr>
              <w:spacing w:line="300" w:lineRule="atLeast"/>
              <w:rPr>
                <w:rFonts w:ascii="Verdana" w:hAnsi="Verdana"/>
              </w:rPr>
            </w:pPr>
            <w:r>
              <w:rPr>
                <w:rFonts w:ascii="Verdana" w:hAnsi="Verdana"/>
              </w:rPr>
              <w:t>5</w:t>
            </w:r>
          </w:p>
        </w:tc>
        <w:tc>
          <w:tcPr>
            <w:tcW w:w="1134" w:type="dxa"/>
          </w:tcPr>
          <w:p w:rsidR="0070211E" w:rsidRDefault="0070211E" w:rsidP="00760A32">
            <w:pPr>
              <w:spacing w:line="300" w:lineRule="atLeast"/>
              <w:rPr>
                <w:rFonts w:ascii="Verdana" w:hAnsi="Verdana"/>
              </w:rPr>
            </w:pPr>
          </w:p>
          <w:p w:rsidR="0068493F" w:rsidRDefault="0068493F" w:rsidP="00760A32">
            <w:pPr>
              <w:spacing w:line="300" w:lineRule="atLeast"/>
              <w:rPr>
                <w:rFonts w:ascii="Verdana" w:hAnsi="Verdana"/>
              </w:rPr>
            </w:pPr>
            <w:r>
              <w:rPr>
                <w:rFonts w:ascii="Verdana" w:hAnsi="Verdana"/>
              </w:rPr>
              <w:t>10</w:t>
            </w:r>
          </w:p>
        </w:tc>
        <w:tc>
          <w:tcPr>
            <w:tcW w:w="1134" w:type="dxa"/>
          </w:tcPr>
          <w:p w:rsidR="00A463D6" w:rsidRDefault="00A463D6" w:rsidP="00760A32">
            <w:pPr>
              <w:spacing w:line="300" w:lineRule="atLeast"/>
              <w:rPr>
                <w:rFonts w:ascii="Verdana" w:hAnsi="Verdana"/>
              </w:rPr>
            </w:pPr>
          </w:p>
          <w:p w:rsidR="0070211E" w:rsidRDefault="00A463D6" w:rsidP="00760A32">
            <w:pPr>
              <w:spacing w:line="300" w:lineRule="atLeast"/>
              <w:rPr>
                <w:rFonts w:ascii="Verdana" w:hAnsi="Verdana"/>
              </w:rPr>
            </w:pPr>
            <w:r>
              <w:rPr>
                <w:rFonts w:ascii="Verdana" w:hAnsi="Verdana"/>
              </w:rPr>
              <w:t>20</w:t>
            </w:r>
          </w:p>
        </w:tc>
        <w:tc>
          <w:tcPr>
            <w:tcW w:w="1134" w:type="dxa"/>
          </w:tcPr>
          <w:p w:rsidR="0070211E" w:rsidRDefault="0070211E" w:rsidP="00760A32">
            <w:pPr>
              <w:spacing w:line="300" w:lineRule="atLeast"/>
              <w:rPr>
                <w:rFonts w:ascii="Verdana" w:hAnsi="Verdana"/>
              </w:rPr>
            </w:pPr>
          </w:p>
          <w:p w:rsidR="00A463D6" w:rsidRDefault="00A463D6" w:rsidP="00760A32">
            <w:pPr>
              <w:spacing w:line="300" w:lineRule="atLeast"/>
              <w:rPr>
                <w:rFonts w:ascii="Verdana" w:hAnsi="Verdana"/>
              </w:rPr>
            </w:pPr>
            <w:r>
              <w:rPr>
                <w:rFonts w:ascii="Verdana" w:hAnsi="Verdana"/>
              </w:rPr>
              <w:t>21</w:t>
            </w:r>
          </w:p>
        </w:tc>
        <w:tc>
          <w:tcPr>
            <w:tcW w:w="1134" w:type="dxa"/>
          </w:tcPr>
          <w:p w:rsidR="00A463D6" w:rsidRDefault="00A463D6" w:rsidP="00760A32">
            <w:pPr>
              <w:spacing w:line="300" w:lineRule="atLeast"/>
              <w:rPr>
                <w:rFonts w:ascii="Verdana" w:hAnsi="Verdana"/>
              </w:rPr>
            </w:pPr>
          </w:p>
          <w:p w:rsidR="0070211E" w:rsidRDefault="00A463D6" w:rsidP="00760A32">
            <w:pPr>
              <w:spacing w:line="300" w:lineRule="atLeast"/>
              <w:rPr>
                <w:rFonts w:ascii="Verdana" w:hAnsi="Verdana"/>
              </w:rPr>
            </w:pPr>
            <w:r>
              <w:rPr>
                <w:rFonts w:ascii="Verdana" w:hAnsi="Verdana"/>
              </w:rPr>
              <w:t>22</w:t>
            </w:r>
          </w:p>
        </w:tc>
      </w:tr>
    </w:tbl>
    <w:p w:rsidR="001746B8" w:rsidRDefault="001746B8" w:rsidP="00760A32">
      <w:pPr>
        <w:spacing w:line="300" w:lineRule="atLeast"/>
        <w:rPr>
          <w:rFonts w:ascii="Verdana" w:hAnsi="Verdana"/>
        </w:rPr>
      </w:pPr>
    </w:p>
    <w:p w:rsidR="00890867" w:rsidRPr="00590271" w:rsidRDefault="00590271" w:rsidP="00760A32">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Pr="00590271">
        <w:rPr>
          <w:rFonts w:ascii="Verdana" w:hAnsi="Verdana"/>
        </w:rPr>
        <w:t xml:space="preserve"> </w:t>
      </w:r>
      <w:r w:rsidR="00001409" w:rsidRPr="00590271">
        <w:rPr>
          <w:rFonts w:ascii="Verdana" w:hAnsi="Verdana"/>
        </w:rPr>
        <w:t xml:space="preserve">The three subjects ranked lowest out of the 22 none ‘mixed’ subjects all have relatively high proportions of students choosing the subject because they liked it, and relatively low proportions going into HE </w:t>
      </w:r>
      <w:r w:rsidR="006067AC">
        <w:rPr>
          <w:rFonts w:ascii="Verdana" w:hAnsi="Verdana"/>
        </w:rPr>
        <w:t>‘</w:t>
      </w:r>
      <w:r w:rsidR="00001409" w:rsidRPr="00590271">
        <w:rPr>
          <w:rFonts w:ascii="Verdana" w:hAnsi="Verdana"/>
        </w:rPr>
        <w:t>to get a good job</w:t>
      </w:r>
      <w:r w:rsidR="006067AC">
        <w:rPr>
          <w:rFonts w:ascii="Verdana" w:hAnsi="Verdana"/>
        </w:rPr>
        <w:t>’</w:t>
      </w:r>
      <w:r w:rsidR="00001409" w:rsidRPr="00590271">
        <w:rPr>
          <w:rFonts w:ascii="Verdana" w:hAnsi="Verdana"/>
        </w:rPr>
        <w:t xml:space="preserve">. </w:t>
      </w:r>
      <w:r w:rsidR="006067AC">
        <w:rPr>
          <w:rFonts w:ascii="Verdana" w:hAnsi="Verdana"/>
        </w:rPr>
        <w:t>‘</w:t>
      </w:r>
      <w:r w:rsidR="00001409" w:rsidRPr="00590271">
        <w:rPr>
          <w:rFonts w:ascii="Verdana" w:hAnsi="Verdana"/>
        </w:rPr>
        <w:t>Getting a good job</w:t>
      </w:r>
      <w:r w:rsidR="006067AC">
        <w:rPr>
          <w:rFonts w:ascii="Verdana" w:hAnsi="Verdana"/>
        </w:rPr>
        <w:t>’</w:t>
      </w:r>
      <w:r w:rsidR="00001409" w:rsidRPr="00590271">
        <w:rPr>
          <w:rFonts w:ascii="Verdana" w:hAnsi="Verdana"/>
        </w:rPr>
        <w:t xml:space="preserve"> is a poor proxy for what we really need, that is </w:t>
      </w:r>
      <w:r w:rsidR="006067AC">
        <w:rPr>
          <w:rFonts w:ascii="Verdana" w:hAnsi="Verdana"/>
        </w:rPr>
        <w:t>‘</w:t>
      </w:r>
      <w:r w:rsidR="00001409" w:rsidRPr="00590271">
        <w:rPr>
          <w:rFonts w:ascii="Verdana" w:hAnsi="Verdana"/>
        </w:rPr>
        <w:t>getting a high salary</w:t>
      </w:r>
      <w:r w:rsidR="006067AC">
        <w:rPr>
          <w:rFonts w:ascii="Verdana" w:hAnsi="Verdana"/>
        </w:rPr>
        <w:t>’</w:t>
      </w:r>
      <w:r w:rsidR="00001409" w:rsidRPr="00590271">
        <w:rPr>
          <w:rFonts w:ascii="Verdana" w:hAnsi="Verdana"/>
        </w:rPr>
        <w:t xml:space="preserve">, but it is the nearest we have in this survey. Education and law are shown for comparison as subjects attracting career orientated students. It seems likely that on average students who score </w:t>
      </w:r>
      <w:r w:rsidR="006067AC">
        <w:rPr>
          <w:rFonts w:ascii="Verdana" w:hAnsi="Verdana"/>
        </w:rPr>
        <w:t>‘</w:t>
      </w:r>
      <w:r w:rsidR="00001409" w:rsidRPr="00590271">
        <w:rPr>
          <w:rFonts w:ascii="Verdana" w:hAnsi="Verdana"/>
        </w:rPr>
        <w:t>getting a good job</w:t>
      </w:r>
      <w:r w:rsidR="006067AC">
        <w:rPr>
          <w:rFonts w:ascii="Verdana" w:hAnsi="Verdana"/>
        </w:rPr>
        <w:t>’</w:t>
      </w:r>
      <w:r w:rsidR="00001409" w:rsidRPr="00590271">
        <w:rPr>
          <w:rFonts w:ascii="Verdana" w:hAnsi="Verdana"/>
        </w:rPr>
        <w:t xml:space="preserve"> will be more likely to invest time and energy in their job search and efforts to get promoted.</w:t>
      </w:r>
    </w:p>
    <w:p w:rsidR="00A725D8" w:rsidRDefault="00EE7B74" w:rsidP="00760A32">
      <w:pPr>
        <w:spacing w:line="300" w:lineRule="atLeast"/>
        <w:rPr>
          <w:rFonts w:ascii="Verdana" w:hAnsi="Verdana"/>
          <w:b/>
        </w:rPr>
      </w:pPr>
      <w:r>
        <w:rPr>
          <w:rFonts w:ascii="Verdana" w:hAnsi="Verdana"/>
          <w:b/>
        </w:rPr>
        <w:t>(</w:t>
      </w:r>
      <w:r w:rsidR="00487AEE">
        <w:rPr>
          <w:rFonts w:ascii="Verdana" w:hAnsi="Verdana"/>
          <w:b/>
        </w:rPr>
        <w:t>7</w:t>
      </w:r>
      <w:r>
        <w:rPr>
          <w:rFonts w:ascii="Verdana" w:hAnsi="Verdana"/>
          <w:b/>
        </w:rPr>
        <w:t>)</w:t>
      </w:r>
      <w:r w:rsidR="00487AEE">
        <w:rPr>
          <w:rFonts w:ascii="Verdana" w:hAnsi="Verdana"/>
          <w:b/>
        </w:rPr>
        <w:t xml:space="preserve"> </w:t>
      </w:r>
      <w:r w:rsidR="00E142D6" w:rsidRPr="00E142D6">
        <w:rPr>
          <w:rFonts w:ascii="Verdana" w:hAnsi="Verdana"/>
          <w:b/>
        </w:rPr>
        <w:t>Returns by institution</w:t>
      </w:r>
    </w:p>
    <w:p w:rsidR="000D5AA4" w:rsidRPr="000D5AA4" w:rsidRDefault="000D5AA4" w:rsidP="00760A32">
      <w:pPr>
        <w:spacing w:line="300" w:lineRule="atLeast"/>
        <w:rPr>
          <w:rFonts w:ascii="Verdana" w:hAnsi="Verdana"/>
          <w:u w:val="single"/>
        </w:rPr>
      </w:pPr>
      <w:r w:rsidRPr="000D5AA4">
        <w:rPr>
          <w:rFonts w:ascii="Verdana" w:hAnsi="Verdana"/>
          <w:u w:val="single"/>
        </w:rPr>
        <w:t xml:space="preserve">Fuelling the Mission Group </w:t>
      </w:r>
      <w:r w:rsidR="00A11794" w:rsidRPr="000D5AA4">
        <w:rPr>
          <w:rFonts w:ascii="Verdana" w:hAnsi="Verdana"/>
          <w:u w:val="single"/>
        </w:rPr>
        <w:t>lobbyists</w:t>
      </w:r>
    </w:p>
    <w:p w:rsidR="005B22DF" w:rsidRDefault="005B22DF" w:rsidP="0016381E">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B22DF">
        <w:rPr>
          <w:rFonts w:ascii="Verdana" w:hAnsi="Verdana"/>
        </w:rPr>
        <w:t xml:space="preserve"> </w:t>
      </w:r>
      <w:r w:rsidR="0016381E" w:rsidRPr="005B22DF">
        <w:rPr>
          <w:rFonts w:ascii="Verdana" w:hAnsi="Verdana"/>
        </w:rPr>
        <w:t>The private returns by institution are both very difficult to calculate and of great interest to both policy makers and lobbyists.</w:t>
      </w:r>
    </w:p>
    <w:p w:rsidR="005B22DF" w:rsidRDefault="005B22DF" w:rsidP="0016381E">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B22DF">
        <w:rPr>
          <w:rFonts w:ascii="Verdana" w:hAnsi="Verdana"/>
        </w:rPr>
        <w:t xml:space="preserve"> </w:t>
      </w:r>
      <w:r w:rsidR="008F0519">
        <w:rPr>
          <w:rFonts w:ascii="Verdana" w:hAnsi="Verdana"/>
        </w:rPr>
        <w:t xml:space="preserve"> If the estimation is limited to the relative returns between institutions, then graduate surveys can be used. In </w:t>
      </w:r>
      <w:r w:rsidR="006067AC">
        <w:rPr>
          <w:rFonts w:ascii="Verdana" w:hAnsi="Verdana"/>
        </w:rPr>
        <w:t>‘</w:t>
      </w:r>
      <w:r w:rsidR="0016381E" w:rsidRPr="005B22DF">
        <w:rPr>
          <w:rFonts w:ascii="Verdana" w:hAnsi="Verdana"/>
        </w:rPr>
        <w:t>Does it pay to attend a prestigious university?</w:t>
      </w:r>
      <w:r w:rsidR="006067AC">
        <w:rPr>
          <w:rFonts w:ascii="Verdana" w:hAnsi="Verdana"/>
        </w:rPr>
        <w:t>’</w:t>
      </w:r>
      <w:r w:rsidR="0016381E" w:rsidRPr="005B22DF">
        <w:rPr>
          <w:rFonts w:ascii="Verdana" w:hAnsi="Verdana"/>
        </w:rPr>
        <w:t xml:space="preserve">  (Chevalier</w:t>
      </w:r>
      <w:r w:rsidR="005615D9" w:rsidRPr="005B22DF">
        <w:rPr>
          <w:rFonts w:ascii="Verdana" w:hAnsi="Verdana"/>
        </w:rPr>
        <w:t xml:space="preserve"> et al,</w:t>
      </w:r>
      <w:r w:rsidR="0016381E" w:rsidRPr="005B22DF">
        <w:rPr>
          <w:rFonts w:ascii="Verdana" w:hAnsi="Verdana"/>
        </w:rPr>
        <w:t xml:space="preserve"> 2003)</w:t>
      </w:r>
      <w:r w:rsidR="008F0519">
        <w:rPr>
          <w:rFonts w:ascii="Verdana" w:hAnsi="Verdana"/>
        </w:rPr>
        <w:t xml:space="preserve"> made use of graduate cohort studies for leavers in 1985, 1990 and 1995</w:t>
      </w:r>
      <w:r w:rsidR="0016381E" w:rsidRPr="005B22DF">
        <w:rPr>
          <w:rFonts w:ascii="Verdana" w:hAnsi="Verdana"/>
        </w:rPr>
        <w:t xml:space="preserve">. The estimation is difficult because the student recruitment at different universities is highly differentiated, so that in practice there are no, or very few, comparable students attending institutions with different levels of prestige. This is fully recognised by the authors. In order to reduce the risk of the bias that could result from using regression techniques, they employ propensity score matching. This technique makes the difficulty of finding similar students at institutions with different levels of prestige fully visible. And, as the authors put it, the ‘common support’ in comparing ‘Modern’ and ‘Russell Group’ universities was ‘thin’. For many of their comparisons the </w:t>
      </w:r>
      <w:proofErr w:type="gramStart"/>
      <w:r w:rsidR="0016381E" w:rsidRPr="005B22DF">
        <w:rPr>
          <w:rFonts w:ascii="Verdana" w:hAnsi="Verdana"/>
        </w:rPr>
        <w:lastRenderedPageBreak/>
        <w:t>number of control students accounting for 50 per cent of the matches are</w:t>
      </w:r>
      <w:proofErr w:type="gramEnd"/>
      <w:r w:rsidR="0016381E" w:rsidRPr="005B22DF">
        <w:rPr>
          <w:rFonts w:ascii="Verdana" w:hAnsi="Verdana"/>
        </w:rPr>
        <w:t xml:space="preserve"> in single figures. It is therefore not surprising that the </w:t>
      </w:r>
      <w:proofErr w:type="gramStart"/>
      <w:r w:rsidR="0016381E" w:rsidRPr="005B22DF">
        <w:rPr>
          <w:rFonts w:ascii="Verdana" w:hAnsi="Verdana"/>
        </w:rPr>
        <w:t>estimates of the Russell group premium over Modern universities is</w:t>
      </w:r>
      <w:proofErr w:type="gramEnd"/>
      <w:r w:rsidR="0016381E" w:rsidRPr="005B22DF">
        <w:rPr>
          <w:rFonts w:ascii="Verdana" w:hAnsi="Verdana"/>
        </w:rPr>
        <w:t xml:space="preserve"> wide, between 1 and 6 per cent. Given that A-level achievement was only represented by A-level points, rather than by actual grades and subjects, this premium might easily disappear with a fuller characterisation. </w:t>
      </w:r>
    </w:p>
    <w:p w:rsidR="005B22DF" w:rsidRDefault="005B22DF" w:rsidP="0016381E">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B22DF">
        <w:rPr>
          <w:rFonts w:ascii="Verdana" w:hAnsi="Verdana"/>
        </w:rPr>
        <w:t xml:space="preserve"> </w:t>
      </w:r>
      <w:r w:rsidR="0016381E" w:rsidRPr="005B22DF">
        <w:rPr>
          <w:rFonts w:ascii="Verdana" w:hAnsi="Verdana"/>
        </w:rPr>
        <w:t>The paper was widely reported, almost always without the caveats. It has been referred to repeatedly by the Russell group since its publication. In the Russell group version of the results, Russell Group graduates receive a 10</w:t>
      </w:r>
      <w:r w:rsidR="00D42D70">
        <w:rPr>
          <w:rFonts w:ascii="Verdana" w:hAnsi="Verdana"/>
        </w:rPr>
        <w:t xml:space="preserve"> </w:t>
      </w:r>
      <w:r w:rsidR="0016381E" w:rsidRPr="005B22DF">
        <w:rPr>
          <w:rFonts w:ascii="Verdana" w:hAnsi="Verdana"/>
        </w:rPr>
        <w:t xml:space="preserve">per cent wage boost over a lifetime. (See for example, </w:t>
      </w:r>
      <w:proofErr w:type="spellStart"/>
      <w:r w:rsidR="0016381E" w:rsidRPr="005B22DF">
        <w:rPr>
          <w:rFonts w:ascii="Verdana" w:hAnsi="Verdana"/>
        </w:rPr>
        <w:t>Piate</w:t>
      </w:r>
      <w:proofErr w:type="spellEnd"/>
      <w:r w:rsidR="0016381E" w:rsidRPr="005B22DF">
        <w:rPr>
          <w:rFonts w:ascii="Verdana" w:hAnsi="Verdana"/>
        </w:rPr>
        <w:t xml:space="preserve"> 2010 and 2012.)  In fact the data underlying the analysis related to earnings 3, 6 and 11 years after graduation.  Where did the 10 per cent figure come from? It may be from the least squares regression for three years after graduation</w:t>
      </w:r>
      <w:r w:rsidR="00455349">
        <w:rPr>
          <w:rFonts w:ascii="Verdana" w:hAnsi="Verdana"/>
        </w:rPr>
        <w:t>.</w:t>
      </w:r>
      <w:r w:rsidR="0016381E" w:rsidRPr="005B22DF">
        <w:rPr>
          <w:rFonts w:ascii="Verdana" w:hAnsi="Verdana"/>
        </w:rPr>
        <w:t xml:space="preserve"> The same technique shows no significant premium 6 and 11 years after graduation. More importantly, as the authors pointed out, results from this technique are likely to be </w:t>
      </w:r>
      <w:proofErr w:type="gramStart"/>
      <w:r w:rsidR="0016381E" w:rsidRPr="005B22DF">
        <w:rPr>
          <w:rFonts w:ascii="Verdana" w:hAnsi="Verdana"/>
        </w:rPr>
        <w:t>biased,</w:t>
      </w:r>
      <w:proofErr w:type="gramEnd"/>
      <w:r w:rsidR="0016381E" w:rsidRPr="005B22DF">
        <w:rPr>
          <w:rFonts w:ascii="Verdana" w:hAnsi="Verdana"/>
        </w:rPr>
        <w:t xml:space="preserve"> hence in their summary they reported the</w:t>
      </w:r>
      <w:r w:rsidR="00343A19">
        <w:rPr>
          <w:rFonts w:ascii="Verdana" w:hAnsi="Verdana"/>
        </w:rPr>
        <w:t>ir</w:t>
      </w:r>
      <w:r w:rsidR="0016381E" w:rsidRPr="005B22DF">
        <w:rPr>
          <w:rFonts w:ascii="Verdana" w:hAnsi="Verdana"/>
        </w:rPr>
        <w:t xml:space="preserve"> results </w:t>
      </w:r>
      <w:r w:rsidR="00455349">
        <w:rPr>
          <w:rFonts w:ascii="Verdana" w:hAnsi="Verdana"/>
        </w:rPr>
        <w:t xml:space="preserve">as ‘up to 6 per cent’. </w:t>
      </w:r>
      <w:r w:rsidR="0016381E" w:rsidRPr="005B22DF">
        <w:rPr>
          <w:rFonts w:ascii="Verdana" w:hAnsi="Verdana"/>
        </w:rPr>
        <w:t xml:space="preserve"> </w:t>
      </w:r>
    </w:p>
    <w:p w:rsidR="005B22DF" w:rsidRDefault="005B22DF" w:rsidP="0016381E">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B22DF">
        <w:rPr>
          <w:rFonts w:ascii="Verdana" w:hAnsi="Verdana"/>
        </w:rPr>
        <w:t xml:space="preserve"> </w:t>
      </w:r>
      <w:r w:rsidR="0016381E" w:rsidRPr="005B22DF">
        <w:rPr>
          <w:rFonts w:ascii="Verdana" w:hAnsi="Verdana"/>
        </w:rPr>
        <w:t>The report was used both to justify the introduction of ‘top-up’ fees in 2006, and to criticise the decision to cap fees at £3000. (Thompson, 2003). Curiously, the figures used to discuss top-up fees, were not based on the analysis, but a simple assumption about what the premium in lifetime earnings might be, backed by a credibility check based on looking at the US market.</w:t>
      </w:r>
    </w:p>
    <w:p w:rsidR="005B22DF" w:rsidRPr="00D42D70" w:rsidRDefault="000D5AA4" w:rsidP="005B22DF">
      <w:pPr>
        <w:pStyle w:val="ListParagraph"/>
        <w:autoSpaceDE w:val="0"/>
        <w:autoSpaceDN w:val="0"/>
        <w:adjustRightInd w:val="0"/>
        <w:spacing w:after="240" w:line="300" w:lineRule="atLeast"/>
        <w:ind w:left="0"/>
        <w:contextualSpacing w:val="0"/>
        <w:rPr>
          <w:rFonts w:ascii="Verdana" w:hAnsi="Verdana"/>
          <w:u w:val="single"/>
        </w:rPr>
      </w:pPr>
      <w:r w:rsidRPr="00D42D70">
        <w:rPr>
          <w:rFonts w:ascii="Verdana" w:hAnsi="Verdana"/>
          <w:u w:val="single"/>
        </w:rPr>
        <w:t>Institutional ‘quality’</w:t>
      </w:r>
    </w:p>
    <w:p w:rsidR="005B22DF" w:rsidRDefault="005B22DF" w:rsidP="0016381E">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D42D70">
        <w:rPr>
          <w:rFonts w:ascii="Verdana" w:hAnsi="Verdana"/>
        </w:rPr>
        <w:t xml:space="preserve"> </w:t>
      </w:r>
      <w:r w:rsidR="005615D9" w:rsidRPr="00D42D70">
        <w:rPr>
          <w:rFonts w:ascii="Verdana" w:hAnsi="Verdana"/>
        </w:rPr>
        <w:t xml:space="preserve">The </w:t>
      </w:r>
      <w:r w:rsidR="00A21CBF">
        <w:rPr>
          <w:rFonts w:ascii="Verdana" w:hAnsi="Verdana"/>
        </w:rPr>
        <w:t xml:space="preserve">1985, 1990 and 1995 leaving cohorts </w:t>
      </w:r>
      <w:r w:rsidR="005615D9" w:rsidRPr="00D42D70">
        <w:rPr>
          <w:rFonts w:ascii="Verdana" w:hAnsi="Verdana"/>
        </w:rPr>
        <w:t>used by Ch</w:t>
      </w:r>
      <w:r w:rsidR="00A21CBF">
        <w:rPr>
          <w:rFonts w:ascii="Verdana" w:hAnsi="Verdana"/>
        </w:rPr>
        <w:t>e</w:t>
      </w:r>
      <w:r w:rsidR="005615D9" w:rsidRPr="00D42D70">
        <w:rPr>
          <w:rFonts w:ascii="Verdana" w:hAnsi="Verdana"/>
        </w:rPr>
        <w:t>valier</w:t>
      </w:r>
      <w:r w:rsidR="00343A19">
        <w:rPr>
          <w:rFonts w:ascii="Verdana" w:hAnsi="Verdana"/>
        </w:rPr>
        <w:t xml:space="preserve">, along with a data set of 1999 leavers, were </w:t>
      </w:r>
      <w:r w:rsidR="005615D9" w:rsidRPr="00D42D70">
        <w:rPr>
          <w:rFonts w:ascii="Verdana" w:hAnsi="Verdana"/>
        </w:rPr>
        <w:t>analysed</w:t>
      </w:r>
      <w:r w:rsidR="00A21CBF">
        <w:rPr>
          <w:rFonts w:ascii="Verdana" w:hAnsi="Verdana"/>
        </w:rPr>
        <w:t xml:space="preserve"> </w:t>
      </w:r>
      <w:r w:rsidR="005615D9" w:rsidRPr="00D42D70">
        <w:rPr>
          <w:rFonts w:ascii="Verdana" w:hAnsi="Verdana"/>
        </w:rPr>
        <w:t xml:space="preserve">using </w:t>
      </w:r>
      <w:r w:rsidR="005F06E8" w:rsidRPr="00D42D70">
        <w:rPr>
          <w:rFonts w:ascii="Verdana" w:hAnsi="Verdana"/>
        </w:rPr>
        <w:t xml:space="preserve">various measures of </w:t>
      </w:r>
      <w:r w:rsidR="005615D9" w:rsidRPr="00D42D70">
        <w:rPr>
          <w:rFonts w:ascii="Verdana" w:hAnsi="Verdana"/>
        </w:rPr>
        <w:t>institutional quality rather than membership of a mission group as a way of distinguishing</w:t>
      </w:r>
      <w:r w:rsidR="005615D9" w:rsidRPr="005B22DF">
        <w:rPr>
          <w:rFonts w:ascii="Verdana" w:hAnsi="Verdana"/>
        </w:rPr>
        <w:t xml:space="preserve"> institutions</w:t>
      </w:r>
      <w:r w:rsidR="009D6AC8" w:rsidRPr="005B22DF">
        <w:rPr>
          <w:rFonts w:ascii="Verdana" w:hAnsi="Verdana"/>
        </w:rPr>
        <w:t xml:space="preserve"> (</w:t>
      </w:r>
      <w:proofErr w:type="spellStart"/>
      <w:r w:rsidR="009D6AC8" w:rsidRPr="005B22DF">
        <w:rPr>
          <w:rFonts w:ascii="Verdana" w:hAnsi="Verdana"/>
        </w:rPr>
        <w:t>Hussain</w:t>
      </w:r>
      <w:proofErr w:type="spellEnd"/>
      <w:r w:rsidR="009D6AC8" w:rsidRPr="005B22DF">
        <w:rPr>
          <w:rFonts w:ascii="Verdana" w:hAnsi="Verdana"/>
        </w:rPr>
        <w:t xml:space="preserve"> et al, 2009)</w:t>
      </w:r>
      <w:r w:rsidR="005615D9" w:rsidRPr="005B22DF">
        <w:rPr>
          <w:rFonts w:ascii="Verdana" w:hAnsi="Verdana"/>
        </w:rPr>
        <w:t xml:space="preserve">. There was no explanation of what would constitute ‘quality’ and the measures used followed those found in most </w:t>
      </w:r>
      <w:r w:rsidR="00543E77" w:rsidRPr="005B22DF">
        <w:rPr>
          <w:rFonts w:ascii="Verdana" w:hAnsi="Verdana"/>
        </w:rPr>
        <w:t>l</w:t>
      </w:r>
      <w:r w:rsidR="005615D9" w:rsidRPr="005B22DF">
        <w:rPr>
          <w:rFonts w:ascii="Verdana" w:hAnsi="Verdana"/>
        </w:rPr>
        <w:t xml:space="preserve">eague </w:t>
      </w:r>
      <w:r w:rsidR="00543E77" w:rsidRPr="005B22DF">
        <w:rPr>
          <w:rFonts w:ascii="Verdana" w:hAnsi="Verdana"/>
        </w:rPr>
        <w:t>t</w:t>
      </w:r>
      <w:r w:rsidR="005615D9" w:rsidRPr="005B22DF">
        <w:rPr>
          <w:rFonts w:ascii="Verdana" w:hAnsi="Verdana"/>
        </w:rPr>
        <w:t>ables</w:t>
      </w:r>
      <w:r w:rsidR="00AC0E8E" w:rsidRPr="005B22DF">
        <w:rPr>
          <w:rFonts w:ascii="Verdana" w:hAnsi="Verdana"/>
        </w:rPr>
        <w:t xml:space="preserve"> without any justification. One of these measures</w:t>
      </w:r>
      <w:r w:rsidR="0039030C" w:rsidRPr="005B22DF">
        <w:rPr>
          <w:rFonts w:ascii="Verdana" w:hAnsi="Verdana"/>
        </w:rPr>
        <w:t>,</w:t>
      </w:r>
      <w:r w:rsidR="00AC0E8E" w:rsidRPr="005B22DF">
        <w:rPr>
          <w:rFonts w:ascii="Verdana" w:hAnsi="Verdana"/>
        </w:rPr>
        <w:t xml:space="preserve"> ‘total tariff’ scores</w:t>
      </w:r>
      <w:r w:rsidR="0039030C" w:rsidRPr="005B22DF">
        <w:rPr>
          <w:rFonts w:ascii="Verdana" w:hAnsi="Verdana"/>
        </w:rPr>
        <w:t xml:space="preserve">, is </w:t>
      </w:r>
      <w:r w:rsidR="00AC0E8E" w:rsidRPr="005B22DF">
        <w:rPr>
          <w:rFonts w:ascii="Verdana" w:hAnsi="Verdana"/>
        </w:rPr>
        <w:t xml:space="preserve">highly correlated with all the other measures apart from </w:t>
      </w:r>
      <w:r w:rsidR="0039030C" w:rsidRPr="005B22DF">
        <w:rPr>
          <w:rFonts w:ascii="Verdana" w:hAnsi="Verdana"/>
        </w:rPr>
        <w:t xml:space="preserve">‘mean faculty salary’. </w:t>
      </w:r>
    </w:p>
    <w:p w:rsidR="005B22DF" w:rsidRDefault="005B22DF" w:rsidP="0016381E">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B22DF">
        <w:rPr>
          <w:rFonts w:ascii="Verdana" w:hAnsi="Verdana"/>
        </w:rPr>
        <w:t xml:space="preserve"> </w:t>
      </w:r>
      <w:r w:rsidR="00AC0E8E" w:rsidRPr="005B22DF">
        <w:rPr>
          <w:rFonts w:ascii="Verdana" w:hAnsi="Verdana"/>
        </w:rPr>
        <w:t>The lack of common support identified by Chevalier</w:t>
      </w:r>
      <w:r w:rsidR="0039030C" w:rsidRPr="005B22DF">
        <w:rPr>
          <w:rFonts w:ascii="Verdana" w:hAnsi="Verdana"/>
        </w:rPr>
        <w:t xml:space="preserve"> is not visible because only regression is used. The risk that the ‘quality measures’ will pick up unmeasured individual differences in prior qualifications is increased by grouping A-level point scores into three values. </w:t>
      </w:r>
      <w:r w:rsidR="00AC0E8E" w:rsidRPr="005B22DF">
        <w:rPr>
          <w:rFonts w:ascii="Verdana" w:hAnsi="Verdana"/>
        </w:rPr>
        <w:t xml:space="preserve"> </w:t>
      </w:r>
      <w:r w:rsidR="0039030C" w:rsidRPr="005B22DF">
        <w:rPr>
          <w:rFonts w:ascii="Verdana" w:hAnsi="Verdana"/>
        </w:rPr>
        <w:t>Even though the quality measure will be the same for all individuals in the same institution, this is not reflected in the error structure used.</w:t>
      </w:r>
      <w:r w:rsidR="00AC0E8E" w:rsidRPr="005B22DF">
        <w:rPr>
          <w:rFonts w:ascii="Verdana" w:hAnsi="Verdana"/>
        </w:rPr>
        <w:t xml:space="preserve"> </w:t>
      </w:r>
      <w:r w:rsidR="00E92390" w:rsidRPr="005B22DF">
        <w:rPr>
          <w:rFonts w:ascii="Verdana" w:hAnsi="Verdana"/>
        </w:rPr>
        <w:t>Significant r</w:t>
      </w:r>
      <w:r w:rsidR="00543E77" w:rsidRPr="005B22DF">
        <w:rPr>
          <w:rFonts w:ascii="Verdana" w:hAnsi="Verdana"/>
        </w:rPr>
        <w:t xml:space="preserve">eturns to institutional quality are found, and these are concentrated in </w:t>
      </w:r>
      <w:r w:rsidR="00876E61" w:rsidRPr="005B22DF">
        <w:rPr>
          <w:rFonts w:ascii="Verdana" w:hAnsi="Verdana"/>
        </w:rPr>
        <w:t xml:space="preserve">highest quartile of institutions, ranked by institutional quality. Given the weaknesses in the analysis these results cannot be taken as secure. This is in part acknowledged by the authors who look to the availability of better data sets in future. </w:t>
      </w:r>
    </w:p>
    <w:p w:rsidR="00E513C0" w:rsidRDefault="00E513C0" w:rsidP="005B22DF">
      <w:pPr>
        <w:pStyle w:val="ListParagraph"/>
        <w:autoSpaceDE w:val="0"/>
        <w:autoSpaceDN w:val="0"/>
        <w:adjustRightInd w:val="0"/>
        <w:spacing w:after="240" w:line="300" w:lineRule="atLeast"/>
        <w:ind w:left="0"/>
        <w:contextualSpacing w:val="0"/>
        <w:rPr>
          <w:rFonts w:ascii="Verdana" w:hAnsi="Verdana"/>
          <w:u w:val="single"/>
        </w:rPr>
      </w:pPr>
    </w:p>
    <w:p w:rsidR="005B22DF" w:rsidRPr="005B22DF" w:rsidRDefault="000D5AA4" w:rsidP="005B22DF">
      <w:pPr>
        <w:pStyle w:val="ListParagraph"/>
        <w:autoSpaceDE w:val="0"/>
        <w:autoSpaceDN w:val="0"/>
        <w:adjustRightInd w:val="0"/>
        <w:spacing w:after="240" w:line="300" w:lineRule="atLeast"/>
        <w:ind w:left="0"/>
        <w:contextualSpacing w:val="0"/>
        <w:rPr>
          <w:rFonts w:ascii="Verdana" w:hAnsi="Verdana"/>
          <w:u w:val="single"/>
        </w:rPr>
      </w:pPr>
      <w:r w:rsidRPr="005B22DF">
        <w:rPr>
          <w:rFonts w:ascii="Verdana" w:hAnsi="Verdana"/>
          <w:u w:val="single"/>
        </w:rPr>
        <w:lastRenderedPageBreak/>
        <w:t>Analysis using the Longitudinal Destination of Leavers from Higher Education</w:t>
      </w:r>
    </w:p>
    <w:p w:rsidR="005B22DF" w:rsidRDefault="005B22DF" w:rsidP="0016381E">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B22DF">
        <w:rPr>
          <w:rFonts w:ascii="Verdana" w:hAnsi="Verdana"/>
        </w:rPr>
        <w:t xml:space="preserve"> </w:t>
      </w:r>
      <w:r w:rsidR="0016381E" w:rsidRPr="005B22DF">
        <w:rPr>
          <w:rFonts w:ascii="Verdana" w:hAnsi="Verdana"/>
        </w:rPr>
        <w:t xml:space="preserve">In recent years a much richer and complete data set has become available through </w:t>
      </w:r>
      <w:r w:rsidR="00876E61" w:rsidRPr="005B22DF">
        <w:rPr>
          <w:rFonts w:ascii="Verdana" w:hAnsi="Verdana"/>
        </w:rPr>
        <w:t>the Longitudinal</w:t>
      </w:r>
      <w:r w:rsidR="0016381E" w:rsidRPr="005B22DF">
        <w:rPr>
          <w:rFonts w:ascii="Verdana" w:hAnsi="Verdana"/>
        </w:rPr>
        <w:t xml:space="preserve"> </w:t>
      </w:r>
      <w:r w:rsidR="00876E61" w:rsidRPr="005B22DF">
        <w:rPr>
          <w:rFonts w:ascii="Verdana" w:hAnsi="Verdana"/>
        </w:rPr>
        <w:t xml:space="preserve">Destination of Leavers from Higher Education (LDLHE). </w:t>
      </w:r>
      <w:r w:rsidR="0058732F" w:rsidRPr="005B22DF">
        <w:rPr>
          <w:rFonts w:ascii="Verdana" w:hAnsi="Verdana"/>
        </w:rPr>
        <w:t>(See Endnote 6 for more details.)</w:t>
      </w:r>
    </w:p>
    <w:p w:rsidR="005B22DF" w:rsidRDefault="005B22DF" w:rsidP="0016381E">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B22DF">
        <w:rPr>
          <w:rFonts w:ascii="Verdana" w:hAnsi="Verdana"/>
        </w:rPr>
        <w:t xml:space="preserve">  </w:t>
      </w:r>
      <w:r w:rsidR="0076184A" w:rsidRPr="005B22DF">
        <w:rPr>
          <w:rFonts w:ascii="Verdana" w:hAnsi="Verdana"/>
        </w:rPr>
        <w:t xml:space="preserve">Chevalier used the first </w:t>
      </w:r>
      <w:r w:rsidR="000F76F8" w:rsidRPr="005B22DF">
        <w:rPr>
          <w:rFonts w:ascii="Verdana" w:hAnsi="Verdana"/>
        </w:rPr>
        <w:t>LDLHE</w:t>
      </w:r>
      <w:r w:rsidR="0018678C" w:rsidRPr="005B22DF">
        <w:rPr>
          <w:rFonts w:ascii="Verdana" w:hAnsi="Verdana"/>
        </w:rPr>
        <w:t xml:space="preserve">, looking at a selection of </w:t>
      </w:r>
      <w:r w:rsidR="000F76F8" w:rsidRPr="005B22DF">
        <w:rPr>
          <w:rFonts w:ascii="Verdana" w:hAnsi="Verdana"/>
        </w:rPr>
        <w:t xml:space="preserve">2002-03 </w:t>
      </w:r>
      <w:r w:rsidR="0018678C" w:rsidRPr="005B22DF">
        <w:rPr>
          <w:rFonts w:ascii="Verdana" w:hAnsi="Verdana"/>
        </w:rPr>
        <w:t>first degree graduates</w:t>
      </w:r>
      <w:r w:rsidR="000F76F8" w:rsidRPr="005B22DF">
        <w:rPr>
          <w:rFonts w:ascii="Verdana" w:hAnsi="Verdana"/>
        </w:rPr>
        <w:t xml:space="preserve">. </w:t>
      </w:r>
      <w:r w:rsidR="006067AC">
        <w:rPr>
          <w:rFonts w:ascii="Verdana" w:hAnsi="Verdana"/>
        </w:rPr>
        <w:t>‘</w:t>
      </w:r>
      <w:r w:rsidR="000F76F8" w:rsidRPr="005B22DF">
        <w:rPr>
          <w:rFonts w:ascii="Verdana" w:hAnsi="Verdana"/>
        </w:rPr>
        <w:t>Quality</w:t>
      </w:r>
      <w:r w:rsidR="006067AC">
        <w:rPr>
          <w:rFonts w:ascii="Verdana" w:hAnsi="Verdana"/>
        </w:rPr>
        <w:t>’</w:t>
      </w:r>
      <w:r w:rsidR="000F76F8" w:rsidRPr="005B22DF">
        <w:rPr>
          <w:rFonts w:ascii="Verdana" w:hAnsi="Verdana"/>
        </w:rPr>
        <w:t xml:space="preserve"> was measured</w:t>
      </w:r>
      <w:r w:rsidR="0018678C" w:rsidRPr="005B22DF">
        <w:rPr>
          <w:rFonts w:ascii="Verdana" w:hAnsi="Verdana"/>
        </w:rPr>
        <w:t xml:space="preserve"> with</w:t>
      </w:r>
      <w:r w:rsidR="000F76F8" w:rsidRPr="005B22DF">
        <w:rPr>
          <w:rFonts w:ascii="Verdana" w:hAnsi="Verdana"/>
        </w:rPr>
        <w:t xml:space="preserve"> the </w:t>
      </w:r>
      <w:r w:rsidR="0018678C" w:rsidRPr="005B22DF">
        <w:rPr>
          <w:rFonts w:ascii="Verdana" w:hAnsi="Verdana"/>
        </w:rPr>
        <w:t>l</w:t>
      </w:r>
      <w:r w:rsidR="000F76F8" w:rsidRPr="005B22DF">
        <w:rPr>
          <w:rFonts w:ascii="Verdana" w:hAnsi="Verdana"/>
        </w:rPr>
        <w:t xml:space="preserve">eague </w:t>
      </w:r>
      <w:r w:rsidR="0018678C" w:rsidRPr="005B22DF">
        <w:rPr>
          <w:rFonts w:ascii="Verdana" w:hAnsi="Verdana"/>
        </w:rPr>
        <w:t>t</w:t>
      </w:r>
      <w:r w:rsidR="000F76F8" w:rsidRPr="005B22DF">
        <w:rPr>
          <w:rFonts w:ascii="Verdana" w:hAnsi="Verdana"/>
        </w:rPr>
        <w:t>able</w:t>
      </w:r>
      <w:r w:rsidR="005E04C5" w:rsidRPr="005B22DF">
        <w:rPr>
          <w:rFonts w:ascii="Verdana" w:hAnsi="Verdana"/>
        </w:rPr>
        <w:t xml:space="preserve"> figures</w:t>
      </w:r>
      <w:r w:rsidR="000F76F8" w:rsidRPr="005B22DF">
        <w:rPr>
          <w:rFonts w:ascii="Verdana" w:hAnsi="Verdana"/>
        </w:rPr>
        <w:t xml:space="preserve"> published by the Guardian. </w:t>
      </w:r>
      <w:r w:rsidR="00E92390" w:rsidRPr="005B22DF">
        <w:rPr>
          <w:rFonts w:ascii="Verdana" w:hAnsi="Verdana"/>
        </w:rPr>
        <w:t>Various model specifications were used</w:t>
      </w:r>
      <w:r w:rsidR="00B11272" w:rsidRPr="005B22DF">
        <w:rPr>
          <w:rFonts w:ascii="Verdana" w:hAnsi="Verdana"/>
        </w:rPr>
        <w:t xml:space="preserve">, </w:t>
      </w:r>
      <w:r w:rsidR="00900B7D" w:rsidRPr="005B22DF">
        <w:rPr>
          <w:rFonts w:ascii="Verdana" w:hAnsi="Verdana"/>
        </w:rPr>
        <w:t>and</w:t>
      </w:r>
      <w:r w:rsidR="00B11272" w:rsidRPr="005B22DF">
        <w:rPr>
          <w:rFonts w:ascii="Verdana" w:hAnsi="Verdana"/>
        </w:rPr>
        <w:t xml:space="preserve"> the overall conclusion was that the returns </w:t>
      </w:r>
      <w:r w:rsidR="009D6AC8" w:rsidRPr="005B22DF">
        <w:rPr>
          <w:rFonts w:ascii="Verdana" w:hAnsi="Verdana"/>
        </w:rPr>
        <w:t xml:space="preserve">to HE ‘quality’ </w:t>
      </w:r>
      <w:r w:rsidR="00B11272" w:rsidRPr="005B22DF">
        <w:rPr>
          <w:rFonts w:ascii="Verdana" w:hAnsi="Verdana"/>
        </w:rPr>
        <w:t xml:space="preserve">were </w:t>
      </w:r>
      <w:r w:rsidR="00900B7D" w:rsidRPr="005B22DF">
        <w:rPr>
          <w:rFonts w:ascii="Verdana" w:hAnsi="Verdana"/>
        </w:rPr>
        <w:t xml:space="preserve">about 6 per cent and </w:t>
      </w:r>
      <w:r w:rsidR="00B11272" w:rsidRPr="005B22DF">
        <w:rPr>
          <w:rFonts w:ascii="Verdana" w:hAnsi="Verdana"/>
        </w:rPr>
        <w:t>concentrated in the highest quality qua</w:t>
      </w:r>
      <w:r w:rsidR="0018678C" w:rsidRPr="005B22DF">
        <w:rPr>
          <w:rFonts w:ascii="Verdana" w:hAnsi="Verdana"/>
        </w:rPr>
        <w:t>r</w:t>
      </w:r>
      <w:r w:rsidR="00B11272" w:rsidRPr="005B22DF">
        <w:rPr>
          <w:rFonts w:ascii="Verdana" w:hAnsi="Verdana"/>
        </w:rPr>
        <w:t>tile</w:t>
      </w:r>
      <w:r w:rsidR="00900B7D" w:rsidRPr="005B22DF">
        <w:rPr>
          <w:rFonts w:ascii="Verdana" w:hAnsi="Verdana"/>
        </w:rPr>
        <w:t xml:space="preserve"> (Chevalier, 2010).</w:t>
      </w:r>
    </w:p>
    <w:p w:rsidR="006F4E28" w:rsidRDefault="005B22DF" w:rsidP="0016381E">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B22DF">
        <w:rPr>
          <w:rFonts w:ascii="Verdana" w:hAnsi="Verdana"/>
        </w:rPr>
        <w:t xml:space="preserve"> </w:t>
      </w:r>
      <w:r w:rsidR="005C0453" w:rsidRPr="005B22DF">
        <w:rPr>
          <w:rFonts w:ascii="Verdana" w:hAnsi="Verdana"/>
        </w:rPr>
        <w:t xml:space="preserve">The most recent estimation of the returns by institution </w:t>
      </w:r>
      <w:r w:rsidR="0018678C" w:rsidRPr="005B22DF">
        <w:rPr>
          <w:rFonts w:ascii="Verdana" w:hAnsi="Verdana"/>
        </w:rPr>
        <w:t xml:space="preserve">took data from </w:t>
      </w:r>
      <w:r w:rsidR="005C0453" w:rsidRPr="005B22DF">
        <w:rPr>
          <w:rFonts w:ascii="Verdana" w:hAnsi="Verdana"/>
        </w:rPr>
        <w:t>the s</w:t>
      </w:r>
      <w:r w:rsidR="0018678C" w:rsidRPr="005B22DF">
        <w:rPr>
          <w:rFonts w:ascii="Verdana" w:hAnsi="Verdana"/>
        </w:rPr>
        <w:t>econd</w:t>
      </w:r>
      <w:r w:rsidR="005C0453" w:rsidRPr="005B22DF">
        <w:rPr>
          <w:rFonts w:ascii="Verdana" w:hAnsi="Verdana"/>
        </w:rPr>
        <w:t xml:space="preserve"> LDLHE </w:t>
      </w:r>
      <w:r w:rsidR="0018678C" w:rsidRPr="005B22DF">
        <w:rPr>
          <w:rFonts w:ascii="Verdana" w:hAnsi="Verdana"/>
        </w:rPr>
        <w:t xml:space="preserve">survey </w:t>
      </w:r>
      <w:r w:rsidR="00AA4197" w:rsidRPr="005B22DF">
        <w:rPr>
          <w:rFonts w:ascii="Verdana" w:hAnsi="Verdana"/>
        </w:rPr>
        <w:t xml:space="preserve">and </w:t>
      </w:r>
      <w:r w:rsidR="005C0453" w:rsidRPr="005B22DF">
        <w:rPr>
          <w:rFonts w:ascii="Verdana" w:hAnsi="Verdana"/>
        </w:rPr>
        <w:t>us</w:t>
      </w:r>
      <w:r w:rsidR="0018678C" w:rsidRPr="005B22DF">
        <w:rPr>
          <w:rFonts w:ascii="Verdana" w:hAnsi="Verdana"/>
        </w:rPr>
        <w:t xml:space="preserve">ed </w:t>
      </w:r>
      <w:r w:rsidR="005C0453" w:rsidRPr="005B22DF">
        <w:rPr>
          <w:rFonts w:ascii="Verdana" w:hAnsi="Verdana"/>
        </w:rPr>
        <w:t>a different approach</w:t>
      </w:r>
      <w:r w:rsidR="0018678C" w:rsidRPr="005B22DF">
        <w:rPr>
          <w:rFonts w:ascii="Verdana" w:hAnsi="Verdana"/>
        </w:rPr>
        <w:t xml:space="preserve"> (</w:t>
      </w:r>
      <w:proofErr w:type="spellStart"/>
      <w:r w:rsidR="0018678C" w:rsidRPr="005B22DF">
        <w:rPr>
          <w:rFonts w:ascii="Verdana" w:hAnsi="Verdana"/>
        </w:rPr>
        <w:t>Broecke</w:t>
      </w:r>
      <w:proofErr w:type="spellEnd"/>
      <w:r w:rsidR="0018678C" w:rsidRPr="005B22DF">
        <w:rPr>
          <w:rFonts w:ascii="Verdana" w:hAnsi="Verdana"/>
        </w:rPr>
        <w:t>, 2012)</w:t>
      </w:r>
      <w:r w:rsidR="005C0453" w:rsidRPr="005B22DF">
        <w:rPr>
          <w:rFonts w:ascii="Verdana" w:hAnsi="Verdana"/>
        </w:rPr>
        <w:t xml:space="preserve">. Institutions were described by the grades (measured by the average UCAS tariff) of their entrants. This was referred to as the </w:t>
      </w:r>
      <w:r w:rsidR="006067AC">
        <w:rPr>
          <w:rFonts w:ascii="Verdana" w:hAnsi="Verdana"/>
        </w:rPr>
        <w:t>‘</w:t>
      </w:r>
      <w:r w:rsidR="005C0453" w:rsidRPr="005B22DF">
        <w:rPr>
          <w:rFonts w:ascii="Verdana" w:hAnsi="Verdana"/>
        </w:rPr>
        <w:t>selectivity</w:t>
      </w:r>
      <w:r w:rsidR="006067AC">
        <w:rPr>
          <w:rFonts w:ascii="Verdana" w:hAnsi="Verdana"/>
        </w:rPr>
        <w:t>’</w:t>
      </w:r>
      <w:r w:rsidR="005C0453" w:rsidRPr="005B22DF">
        <w:rPr>
          <w:rFonts w:ascii="Verdana" w:hAnsi="Verdana"/>
        </w:rPr>
        <w:t xml:space="preserve"> of the institution rather than its </w:t>
      </w:r>
      <w:r w:rsidR="006067AC">
        <w:rPr>
          <w:rFonts w:ascii="Verdana" w:hAnsi="Verdana"/>
        </w:rPr>
        <w:t>‘</w:t>
      </w:r>
      <w:r w:rsidR="005C0453" w:rsidRPr="005B22DF">
        <w:rPr>
          <w:rFonts w:ascii="Verdana" w:hAnsi="Verdana"/>
        </w:rPr>
        <w:t>quality</w:t>
      </w:r>
      <w:r w:rsidR="006067AC">
        <w:rPr>
          <w:rFonts w:ascii="Verdana" w:hAnsi="Verdana"/>
        </w:rPr>
        <w:t>’</w:t>
      </w:r>
      <w:r w:rsidR="005C0453" w:rsidRPr="005B22DF">
        <w:rPr>
          <w:rFonts w:ascii="Verdana" w:hAnsi="Verdana"/>
        </w:rPr>
        <w:t xml:space="preserve"> which</w:t>
      </w:r>
      <w:r w:rsidR="00802380" w:rsidRPr="005B22DF">
        <w:rPr>
          <w:rFonts w:ascii="Verdana" w:hAnsi="Verdana"/>
        </w:rPr>
        <w:t>,</w:t>
      </w:r>
      <w:r w:rsidR="005C0453" w:rsidRPr="005B22DF">
        <w:rPr>
          <w:rFonts w:ascii="Verdana" w:hAnsi="Verdana"/>
        </w:rPr>
        <w:t xml:space="preserve"> though an improvement in </w:t>
      </w:r>
      <w:r w:rsidR="00802380" w:rsidRPr="005B22DF">
        <w:rPr>
          <w:rFonts w:ascii="Verdana" w:hAnsi="Verdana"/>
        </w:rPr>
        <w:t xml:space="preserve">the </w:t>
      </w:r>
      <w:r w:rsidR="005C0453" w:rsidRPr="005B22DF">
        <w:rPr>
          <w:rFonts w:ascii="Verdana" w:hAnsi="Verdana"/>
        </w:rPr>
        <w:t>terminol</w:t>
      </w:r>
      <w:r w:rsidR="00733717" w:rsidRPr="005B22DF">
        <w:rPr>
          <w:rFonts w:ascii="Verdana" w:hAnsi="Verdana"/>
        </w:rPr>
        <w:t>ogy</w:t>
      </w:r>
      <w:r w:rsidR="00802380" w:rsidRPr="005B22DF">
        <w:rPr>
          <w:rFonts w:ascii="Verdana" w:hAnsi="Verdana"/>
        </w:rPr>
        <w:t>,</w:t>
      </w:r>
      <w:r w:rsidR="005C0453" w:rsidRPr="005B22DF">
        <w:rPr>
          <w:rFonts w:ascii="Verdana" w:hAnsi="Verdana"/>
        </w:rPr>
        <w:t xml:space="preserve"> is not completely accurate. In principle at least, a university could have entrants with higher grades than another even if it set lower entry levels. The LDL</w:t>
      </w:r>
      <w:r w:rsidR="00802380" w:rsidRPr="005B22DF">
        <w:rPr>
          <w:rFonts w:ascii="Verdana" w:hAnsi="Verdana"/>
        </w:rPr>
        <w:t>H</w:t>
      </w:r>
      <w:r w:rsidR="005C0453" w:rsidRPr="005B22DF">
        <w:rPr>
          <w:rFonts w:ascii="Verdana" w:hAnsi="Verdana"/>
        </w:rPr>
        <w:t>E data was not only linked to the</w:t>
      </w:r>
      <w:r w:rsidR="00733717" w:rsidRPr="005B22DF">
        <w:rPr>
          <w:rFonts w:ascii="Verdana" w:hAnsi="Verdana"/>
        </w:rPr>
        <w:t xml:space="preserve"> HESA student data but </w:t>
      </w:r>
      <w:r w:rsidR="009D6AC8" w:rsidRPr="005B22DF">
        <w:rPr>
          <w:rFonts w:ascii="Verdana" w:hAnsi="Verdana"/>
        </w:rPr>
        <w:t xml:space="preserve">also </w:t>
      </w:r>
      <w:r w:rsidR="00733717" w:rsidRPr="005B22DF">
        <w:rPr>
          <w:rFonts w:ascii="Verdana" w:hAnsi="Verdana"/>
        </w:rPr>
        <w:t>the UCAS application</w:t>
      </w:r>
      <w:r w:rsidR="001E4469" w:rsidRPr="005B22DF">
        <w:rPr>
          <w:rFonts w:ascii="Verdana" w:hAnsi="Verdana"/>
        </w:rPr>
        <w:t xml:space="preserve"> records</w:t>
      </w:r>
      <w:r w:rsidR="00733717" w:rsidRPr="005B22DF">
        <w:rPr>
          <w:rFonts w:ascii="Verdana" w:hAnsi="Verdana"/>
        </w:rPr>
        <w:t xml:space="preserve">. This enabled comparisons to be </w:t>
      </w:r>
      <w:r w:rsidR="00AA4197" w:rsidRPr="005B22DF">
        <w:rPr>
          <w:rFonts w:ascii="Verdana" w:hAnsi="Verdana"/>
        </w:rPr>
        <w:t>restricted to</w:t>
      </w:r>
      <w:r w:rsidR="00733717" w:rsidRPr="005B22DF">
        <w:rPr>
          <w:rFonts w:ascii="Verdana" w:hAnsi="Verdana"/>
        </w:rPr>
        <w:t xml:space="preserve"> students who had </w:t>
      </w:r>
      <w:r w:rsidR="005F59E3" w:rsidRPr="005B22DF">
        <w:rPr>
          <w:rFonts w:ascii="Verdana" w:hAnsi="Verdana"/>
        </w:rPr>
        <w:t>firm and insurance places</w:t>
      </w:r>
      <w:r w:rsidR="00733717" w:rsidRPr="005B22DF">
        <w:rPr>
          <w:rFonts w:ascii="Verdana" w:hAnsi="Verdana"/>
        </w:rPr>
        <w:t xml:space="preserve"> </w:t>
      </w:r>
      <w:r w:rsidR="005F59E3" w:rsidRPr="005B22DF">
        <w:rPr>
          <w:rFonts w:ascii="Verdana" w:hAnsi="Verdana"/>
        </w:rPr>
        <w:t xml:space="preserve">at the </w:t>
      </w:r>
      <w:r w:rsidR="00733717" w:rsidRPr="005B22DF">
        <w:rPr>
          <w:rFonts w:ascii="Verdana" w:hAnsi="Verdana"/>
        </w:rPr>
        <w:t>same pairs of institutions. This novel approach address</w:t>
      </w:r>
      <w:r w:rsidR="00C95E47" w:rsidRPr="005B22DF">
        <w:rPr>
          <w:rFonts w:ascii="Verdana" w:hAnsi="Verdana"/>
        </w:rPr>
        <w:t>es</w:t>
      </w:r>
      <w:r w:rsidR="00733717" w:rsidRPr="005B22DF">
        <w:rPr>
          <w:rFonts w:ascii="Verdana" w:hAnsi="Verdana"/>
        </w:rPr>
        <w:t xml:space="preserve"> the problem of common support</w:t>
      </w:r>
      <w:r w:rsidR="00821EED" w:rsidRPr="005B22DF">
        <w:rPr>
          <w:rFonts w:ascii="Verdana" w:hAnsi="Verdana"/>
        </w:rPr>
        <w:t xml:space="preserve"> as well </w:t>
      </w:r>
      <w:r w:rsidR="0053793A" w:rsidRPr="005B22DF">
        <w:rPr>
          <w:rFonts w:ascii="Verdana" w:hAnsi="Verdana"/>
        </w:rPr>
        <w:t>providing some control of factors associated with both university choice and earnings which would otherwise be unmeasured</w:t>
      </w:r>
      <w:r w:rsidR="00C95E47" w:rsidRPr="005B22DF">
        <w:rPr>
          <w:rFonts w:ascii="Verdana" w:hAnsi="Verdana"/>
        </w:rPr>
        <w:t>. There are still a number of limitations to the estimation, which are documented by the author</w:t>
      </w:r>
      <w:r w:rsidR="00D067B6" w:rsidRPr="005B22DF">
        <w:rPr>
          <w:rFonts w:ascii="Verdana" w:hAnsi="Verdana"/>
        </w:rPr>
        <w:t xml:space="preserve">; in particular that the tariff score is not a perfect measure of prior attainment. </w:t>
      </w:r>
    </w:p>
    <w:p w:rsidR="005B22DF" w:rsidRDefault="006F4E28" w:rsidP="0016381E">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D067B6" w:rsidRPr="005B22DF">
        <w:rPr>
          <w:rFonts w:ascii="Verdana" w:hAnsi="Verdana"/>
        </w:rPr>
        <w:t xml:space="preserve">The </w:t>
      </w:r>
      <w:r w:rsidR="00802380" w:rsidRPr="005B22DF">
        <w:rPr>
          <w:rFonts w:ascii="Verdana" w:hAnsi="Verdana"/>
        </w:rPr>
        <w:t xml:space="preserve">methodology </w:t>
      </w:r>
      <w:r w:rsidR="00D067B6" w:rsidRPr="005B22DF">
        <w:rPr>
          <w:rFonts w:ascii="Verdana" w:hAnsi="Verdana"/>
        </w:rPr>
        <w:t>leads to a</w:t>
      </w:r>
      <w:r w:rsidR="00802380" w:rsidRPr="005B22DF">
        <w:rPr>
          <w:rFonts w:ascii="Verdana" w:hAnsi="Verdana"/>
        </w:rPr>
        <w:t xml:space="preserve">n estimate of the </w:t>
      </w:r>
      <w:r w:rsidR="00D067B6" w:rsidRPr="005B22DF">
        <w:rPr>
          <w:rFonts w:ascii="Verdana" w:hAnsi="Verdana"/>
        </w:rPr>
        <w:t xml:space="preserve">return to attending a selective institution which is </w:t>
      </w:r>
      <w:r w:rsidR="00900B7D" w:rsidRPr="005B22DF">
        <w:rPr>
          <w:rFonts w:ascii="Verdana" w:hAnsi="Verdana"/>
        </w:rPr>
        <w:t xml:space="preserve">broadly </w:t>
      </w:r>
      <w:r w:rsidR="00D067B6" w:rsidRPr="005B22DF">
        <w:rPr>
          <w:rFonts w:ascii="Verdana" w:hAnsi="Verdana"/>
        </w:rPr>
        <w:t xml:space="preserve">consistent with the earlier estimates of the returns to </w:t>
      </w:r>
      <w:r w:rsidR="006067AC">
        <w:rPr>
          <w:rFonts w:ascii="Verdana" w:hAnsi="Verdana"/>
        </w:rPr>
        <w:t>‘</w:t>
      </w:r>
      <w:r w:rsidR="00D067B6" w:rsidRPr="005B22DF">
        <w:rPr>
          <w:rFonts w:ascii="Verdana" w:hAnsi="Verdana"/>
        </w:rPr>
        <w:t>quality</w:t>
      </w:r>
      <w:r w:rsidR="006067AC">
        <w:rPr>
          <w:rFonts w:ascii="Verdana" w:hAnsi="Verdana"/>
        </w:rPr>
        <w:t>’</w:t>
      </w:r>
      <w:r w:rsidR="0053793A" w:rsidRPr="005B22DF">
        <w:rPr>
          <w:rFonts w:ascii="Verdana" w:hAnsi="Verdana"/>
        </w:rPr>
        <w:t xml:space="preserve">. </w:t>
      </w:r>
      <w:r w:rsidR="00900B7D" w:rsidRPr="005B22DF">
        <w:rPr>
          <w:rFonts w:ascii="Verdana" w:hAnsi="Verdana"/>
        </w:rPr>
        <w:t>However, t</w:t>
      </w:r>
      <w:r w:rsidR="005F59E3" w:rsidRPr="005B22DF">
        <w:rPr>
          <w:rFonts w:ascii="Verdana" w:hAnsi="Verdana"/>
        </w:rPr>
        <w:t>here</w:t>
      </w:r>
      <w:r w:rsidR="00AD487E" w:rsidRPr="005B22DF">
        <w:rPr>
          <w:rFonts w:ascii="Verdana" w:hAnsi="Verdana"/>
        </w:rPr>
        <w:t xml:space="preserve"> is </w:t>
      </w:r>
      <w:r w:rsidR="00D067B6" w:rsidRPr="005B22DF">
        <w:rPr>
          <w:rFonts w:ascii="Verdana" w:hAnsi="Verdana"/>
        </w:rPr>
        <w:t>an important difference</w:t>
      </w:r>
      <w:r>
        <w:rPr>
          <w:rFonts w:ascii="Verdana" w:hAnsi="Verdana"/>
        </w:rPr>
        <w:t>.</w:t>
      </w:r>
      <w:r w:rsidR="00900B7D" w:rsidRPr="005B22DF">
        <w:rPr>
          <w:rFonts w:ascii="Verdana" w:hAnsi="Verdana"/>
        </w:rPr>
        <w:t xml:space="preserve"> </w:t>
      </w:r>
      <w:r w:rsidR="00D067B6" w:rsidRPr="005B22DF">
        <w:rPr>
          <w:rFonts w:ascii="Verdana" w:hAnsi="Verdana"/>
        </w:rPr>
        <w:t xml:space="preserve"> </w:t>
      </w:r>
      <w:r w:rsidR="005F59E3" w:rsidRPr="005B22DF">
        <w:rPr>
          <w:rFonts w:ascii="Verdana" w:hAnsi="Verdana"/>
        </w:rPr>
        <w:t>As noted, t</w:t>
      </w:r>
      <w:r w:rsidR="00D067B6" w:rsidRPr="005B22DF">
        <w:rPr>
          <w:rFonts w:ascii="Verdana" w:hAnsi="Verdana"/>
        </w:rPr>
        <w:t xml:space="preserve">he earlier work </w:t>
      </w:r>
      <w:r w:rsidR="00802380" w:rsidRPr="005B22DF">
        <w:rPr>
          <w:rFonts w:ascii="Verdana" w:hAnsi="Verdana"/>
        </w:rPr>
        <w:t>found t</w:t>
      </w:r>
      <w:r w:rsidR="00D067B6" w:rsidRPr="005B22DF">
        <w:rPr>
          <w:rFonts w:ascii="Verdana" w:hAnsi="Verdana"/>
        </w:rPr>
        <w:t xml:space="preserve">hat the returns were </w:t>
      </w:r>
      <w:r w:rsidR="005F59E3" w:rsidRPr="005B22DF">
        <w:rPr>
          <w:rFonts w:ascii="Verdana" w:hAnsi="Verdana"/>
        </w:rPr>
        <w:t xml:space="preserve">concentrated </w:t>
      </w:r>
      <w:r w:rsidR="00D067B6" w:rsidRPr="005B22DF">
        <w:rPr>
          <w:rFonts w:ascii="Verdana" w:hAnsi="Verdana"/>
        </w:rPr>
        <w:t>at the top of the</w:t>
      </w:r>
      <w:r w:rsidR="00AD487E" w:rsidRPr="005B22DF">
        <w:rPr>
          <w:rFonts w:ascii="Verdana" w:hAnsi="Verdana"/>
        </w:rPr>
        <w:t xml:space="preserve"> </w:t>
      </w:r>
      <w:r w:rsidR="00D067B6" w:rsidRPr="005B22DF">
        <w:rPr>
          <w:rFonts w:ascii="Verdana" w:hAnsi="Verdana"/>
        </w:rPr>
        <w:t>distribution, wher</w:t>
      </w:r>
      <w:r w:rsidR="00802380" w:rsidRPr="005B22DF">
        <w:rPr>
          <w:rFonts w:ascii="Verdana" w:hAnsi="Verdana"/>
        </w:rPr>
        <w:t>e</w:t>
      </w:r>
      <w:r w:rsidR="00D067B6" w:rsidRPr="005B22DF">
        <w:rPr>
          <w:rFonts w:ascii="Verdana" w:hAnsi="Verdana"/>
        </w:rPr>
        <w:t>as th</w:t>
      </w:r>
      <w:r w:rsidR="00AA4197" w:rsidRPr="005B22DF">
        <w:rPr>
          <w:rFonts w:ascii="Verdana" w:hAnsi="Verdana"/>
        </w:rPr>
        <w:t>is</w:t>
      </w:r>
      <w:r w:rsidR="0049386D" w:rsidRPr="005B22DF">
        <w:rPr>
          <w:rFonts w:ascii="Verdana" w:hAnsi="Verdana"/>
        </w:rPr>
        <w:t xml:space="preserve"> later</w:t>
      </w:r>
      <w:r w:rsidR="00D067B6" w:rsidRPr="005B22DF">
        <w:rPr>
          <w:rFonts w:ascii="Verdana" w:hAnsi="Verdana"/>
        </w:rPr>
        <w:t xml:space="preserve"> work f</w:t>
      </w:r>
      <w:r w:rsidR="00AA4197" w:rsidRPr="005B22DF">
        <w:rPr>
          <w:rFonts w:ascii="Verdana" w:hAnsi="Verdana"/>
        </w:rPr>
        <w:t>ound</w:t>
      </w:r>
      <w:r w:rsidR="00D067B6" w:rsidRPr="005B22DF">
        <w:rPr>
          <w:rFonts w:ascii="Verdana" w:hAnsi="Verdana"/>
        </w:rPr>
        <w:t xml:space="preserve"> that there are considerable returns in, say, attending an institution in the third rather than bottom quartile.</w:t>
      </w:r>
      <w:r w:rsidR="00030B00" w:rsidRPr="005B22DF">
        <w:rPr>
          <w:rFonts w:ascii="Verdana" w:hAnsi="Verdana"/>
        </w:rPr>
        <w:t xml:space="preserve"> It is not clear why the results should differ in this way. It could be the result of the different methodologies, but there are also differences in the </w:t>
      </w:r>
      <w:r w:rsidR="00AA4197" w:rsidRPr="005B22DF">
        <w:rPr>
          <w:rFonts w:ascii="Verdana" w:hAnsi="Verdana"/>
        </w:rPr>
        <w:t xml:space="preserve">effective </w:t>
      </w:r>
      <w:r w:rsidR="00030B00" w:rsidRPr="005B22DF">
        <w:rPr>
          <w:rFonts w:ascii="Verdana" w:hAnsi="Verdana"/>
        </w:rPr>
        <w:t xml:space="preserve">samples </w:t>
      </w:r>
      <w:r w:rsidR="00267729" w:rsidRPr="005B22DF">
        <w:rPr>
          <w:rFonts w:ascii="Verdana" w:hAnsi="Verdana"/>
        </w:rPr>
        <w:t>and variables used</w:t>
      </w:r>
      <w:r w:rsidR="00030B00" w:rsidRPr="005B22DF">
        <w:rPr>
          <w:rFonts w:ascii="Verdana" w:hAnsi="Verdana"/>
        </w:rPr>
        <w:t xml:space="preserve">. </w:t>
      </w:r>
      <w:r w:rsidR="00267729" w:rsidRPr="005B22DF">
        <w:rPr>
          <w:rFonts w:ascii="Verdana" w:hAnsi="Verdana"/>
        </w:rPr>
        <w:t>T</w:t>
      </w:r>
      <w:r w:rsidR="00030B00" w:rsidRPr="005B22DF">
        <w:rPr>
          <w:rFonts w:ascii="Verdana" w:hAnsi="Verdana"/>
        </w:rPr>
        <w:t>he later study only included those students who entered in 2002-03 and then graduated in 2004-05, therefore taking no more than three years study</w:t>
      </w:r>
      <w:r w:rsidR="00AA4197" w:rsidRPr="005B22DF">
        <w:rPr>
          <w:rFonts w:ascii="Verdana" w:hAnsi="Verdana"/>
        </w:rPr>
        <w:t xml:space="preserve">. Further </w:t>
      </w:r>
      <w:r w:rsidR="006E485E">
        <w:rPr>
          <w:rFonts w:ascii="Verdana" w:hAnsi="Verdana"/>
        </w:rPr>
        <w:t>6</w:t>
      </w:r>
      <w:r w:rsidR="00445A91" w:rsidRPr="005B22DF">
        <w:rPr>
          <w:rFonts w:ascii="Verdana" w:hAnsi="Verdana"/>
        </w:rPr>
        <w:t>1</w:t>
      </w:r>
      <w:r w:rsidR="00AA4197" w:rsidRPr="005B22DF">
        <w:rPr>
          <w:rFonts w:ascii="Verdana" w:hAnsi="Verdana"/>
        </w:rPr>
        <w:t xml:space="preserve"> per cent of the selected observations were in parings where </w:t>
      </w:r>
      <w:r w:rsidR="009D6AC8" w:rsidRPr="005B22DF">
        <w:rPr>
          <w:rFonts w:ascii="Verdana" w:hAnsi="Verdana"/>
        </w:rPr>
        <w:t xml:space="preserve">all </w:t>
      </w:r>
      <w:r w:rsidR="00AA4197" w:rsidRPr="005B22DF">
        <w:rPr>
          <w:rFonts w:ascii="Verdana" w:hAnsi="Verdana"/>
        </w:rPr>
        <w:t xml:space="preserve">students went to </w:t>
      </w:r>
      <w:r w:rsidR="009D6AC8" w:rsidRPr="005B22DF">
        <w:rPr>
          <w:rFonts w:ascii="Verdana" w:hAnsi="Verdana"/>
        </w:rPr>
        <w:t>the same</w:t>
      </w:r>
      <w:r w:rsidR="00AA4197" w:rsidRPr="005B22DF">
        <w:rPr>
          <w:rFonts w:ascii="Verdana" w:hAnsi="Verdana"/>
        </w:rPr>
        <w:t xml:space="preserve"> institution and </w:t>
      </w:r>
      <w:r w:rsidR="009D6AC8" w:rsidRPr="005B22DF">
        <w:rPr>
          <w:rFonts w:ascii="Verdana" w:hAnsi="Verdana"/>
        </w:rPr>
        <w:t xml:space="preserve">therefore </w:t>
      </w:r>
      <w:r w:rsidR="00AA4197" w:rsidRPr="005B22DF">
        <w:rPr>
          <w:rFonts w:ascii="Verdana" w:hAnsi="Verdana"/>
        </w:rPr>
        <w:t xml:space="preserve">could </w:t>
      </w:r>
      <w:r w:rsidR="009D6AC8" w:rsidRPr="005B22DF">
        <w:rPr>
          <w:rFonts w:ascii="Verdana" w:hAnsi="Verdana"/>
        </w:rPr>
        <w:t xml:space="preserve">not </w:t>
      </w:r>
      <w:r w:rsidR="00AA4197" w:rsidRPr="005B22DF">
        <w:rPr>
          <w:rFonts w:ascii="Verdana" w:hAnsi="Verdana"/>
        </w:rPr>
        <w:t>contribute to the identification of the institutional effects</w:t>
      </w:r>
      <w:r w:rsidR="0049386D" w:rsidRPr="005B22DF">
        <w:rPr>
          <w:rFonts w:ascii="Verdana" w:hAnsi="Verdana"/>
        </w:rPr>
        <w:t xml:space="preserve">. </w:t>
      </w:r>
      <w:r w:rsidR="00AA4197" w:rsidRPr="005B22DF">
        <w:rPr>
          <w:rFonts w:ascii="Verdana" w:hAnsi="Verdana"/>
        </w:rPr>
        <w:t>Other differences, l</w:t>
      </w:r>
      <w:r w:rsidR="0058732F" w:rsidRPr="005B22DF">
        <w:rPr>
          <w:rFonts w:ascii="Verdana" w:hAnsi="Verdana"/>
        </w:rPr>
        <w:t>i</w:t>
      </w:r>
      <w:r w:rsidR="00AA4197" w:rsidRPr="005B22DF">
        <w:rPr>
          <w:rFonts w:ascii="Verdana" w:hAnsi="Verdana"/>
        </w:rPr>
        <w:t xml:space="preserve">ke the use of the tariff score rather than A-level points, may also have an effect.  </w:t>
      </w:r>
      <w:r w:rsidR="0049386D" w:rsidRPr="005B22DF">
        <w:rPr>
          <w:rFonts w:ascii="Verdana" w:hAnsi="Verdana"/>
        </w:rPr>
        <w:t>A systematic exploration of these differences would be useful.</w:t>
      </w:r>
    </w:p>
    <w:p w:rsidR="005B22DF" w:rsidRDefault="005B22DF"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B22DF">
        <w:rPr>
          <w:rFonts w:ascii="Verdana" w:hAnsi="Verdana"/>
        </w:rPr>
        <w:t xml:space="preserve"> </w:t>
      </w:r>
      <w:r w:rsidR="005F59E3" w:rsidRPr="005B22DF">
        <w:rPr>
          <w:rFonts w:ascii="Verdana" w:hAnsi="Verdana"/>
        </w:rPr>
        <w:t xml:space="preserve">It should be remembered that </w:t>
      </w:r>
      <w:r w:rsidR="00030B00" w:rsidRPr="005B22DF">
        <w:rPr>
          <w:rFonts w:ascii="Verdana" w:hAnsi="Verdana"/>
        </w:rPr>
        <w:t xml:space="preserve">both of </w:t>
      </w:r>
      <w:r w:rsidR="005F59E3" w:rsidRPr="005B22DF">
        <w:rPr>
          <w:rFonts w:ascii="Verdana" w:hAnsi="Verdana"/>
        </w:rPr>
        <w:t xml:space="preserve">the </w:t>
      </w:r>
      <w:r w:rsidR="00030B00" w:rsidRPr="005B22DF">
        <w:rPr>
          <w:rFonts w:ascii="Verdana" w:hAnsi="Verdana"/>
        </w:rPr>
        <w:t xml:space="preserve">LDLHE </w:t>
      </w:r>
      <w:r w:rsidR="00802380" w:rsidRPr="005B22DF">
        <w:rPr>
          <w:rFonts w:ascii="Verdana" w:hAnsi="Verdana"/>
        </w:rPr>
        <w:t xml:space="preserve">estimates are made for returns to the early part of graduates careers, and it remains an open question whether </w:t>
      </w:r>
      <w:r w:rsidR="001E4469" w:rsidRPr="005B22DF">
        <w:rPr>
          <w:rFonts w:ascii="Verdana" w:hAnsi="Verdana"/>
        </w:rPr>
        <w:t>an</w:t>
      </w:r>
      <w:r w:rsidR="00802380" w:rsidRPr="005B22DF">
        <w:rPr>
          <w:rFonts w:ascii="Verdana" w:hAnsi="Verdana"/>
        </w:rPr>
        <w:t xml:space="preserve"> institution</w:t>
      </w:r>
      <w:r w:rsidR="001E4469" w:rsidRPr="005B22DF">
        <w:rPr>
          <w:rFonts w:ascii="Verdana" w:hAnsi="Verdana"/>
        </w:rPr>
        <w:t>al</w:t>
      </w:r>
      <w:r w:rsidR="00802380" w:rsidRPr="005B22DF">
        <w:rPr>
          <w:rFonts w:ascii="Verdana" w:hAnsi="Verdana"/>
        </w:rPr>
        <w:t xml:space="preserve"> premium ‘wears off over time’. A related question, </w:t>
      </w:r>
      <w:r w:rsidR="00802380" w:rsidRPr="005B22DF">
        <w:rPr>
          <w:rFonts w:ascii="Verdana" w:hAnsi="Verdana"/>
        </w:rPr>
        <w:lastRenderedPageBreak/>
        <w:t xml:space="preserve">whether the </w:t>
      </w:r>
      <w:r w:rsidR="00AD487E" w:rsidRPr="005B22DF">
        <w:rPr>
          <w:rFonts w:ascii="Verdana" w:hAnsi="Verdana"/>
        </w:rPr>
        <w:t>differences</w:t>
      </w:r>
      <w:r w:rsidR="00802380" w:rsidRPr="005B22DF">
        <w:rPr>
          <w:rFonts w:ascii="Verdana" w:hAnsi="Verdana"/>
        </w:rPr>
        <w:t xml:space="preserve"> are due to differences in productivity gains at university, or whether they reflect the signal that graduation from a ‘good’ or ‘top’ </w:t>
      </w:r>
      <w:r w:rsidR="001E4469" w:rsidRPr="005B22DF">
        <w:rPr>
          <w:rFonts w:ascii="Verdana" w:hAnsi="Verdana"/>
        </w:rPr>
        <w:t>university send to employers, remain unresolved.</w:t>
      </w:r>
    </w:p>
    <w:p w:rsidR="005B22DF" w:rsidRPr="005B22DF" w:rsidRDefault="00A11794" w:rsidP="005B22DF">
      <w:pPr>
        <w:pStyle w:val="ListParagraph"/>
        <w:autoSpaceDE w:val="0"/>
        <w:autoSpaceDN w:val="0"/>
        <w:adjustRightInd w:val="0"/>
        <w:spacing w:after="240" w:line="300" w:lineRule="atLeast"/>
        <w:ind w:left="0"/>
        <w:contextualSpacing w:val="0"/>
        <w:rPr>
          <w:rFonts w:ascii="Verdana" w:hAnsi="Verdana"/>
          <w:u w:val="single"/>
        </w:rPr>
      </w:pPr>
      <w:r w:rsidRPr="005B22DF">
        <w:rPr>
          <w:rFonts w:ascii="Verdana" w:hAnsi="Verdana"/>
          <w:u w:val="single"/>
        </w:rPr>
        <w:t>Do employers use</w:t>
      </w:r>
      <w:r w:rsidR="006F2EAF" w:rsidRPr="005B22DF">
        <w:rPr>
          <w:rFonts w:ascii="Verdana" w:hAnsi="Verdana"/>
          <w:u w:val="single"/>
        </w:rPr>
        <w:t xml:space="preserve"> university prestige in </w:t>
      </w:r>
      <w:r w:rsidR="004A1C7F" w:rsidRPr="005B22DF">
        <w:rPr>
          <w:rFonts w:ascii="Verdana" w:hAnsi="Verdana"/>
          <w:u w:val="single"/>
        </w:rPr>
        <w:t xml:space="preserve">the recruitment </w:t>
      </w:r>
      <w:r w:rsidR="006F2EAF" w:rsidRPr="005B22DF">
        <w:rPr>
          <w:rFonts w:ascii="Verdana" w:hAnsi="Verdana"/>
          <w:u w:val="single"/>
        </w:rPr>
        <w:t xml:space="preserve">of </w:t>
      </w:r>
      <w:r w:rsidR="004A1C7F" w:rsidRPr="005B22DF">
        <w:rPr>
          <w:rFonts w:ascii="Verdana" w:hAnsi="Verdana"/>
          <w:u w:val="single"/>
        </w:rPr>
        <w:t>graduates</w:t>
      </w:r>
      <w:r w:rsidR="006F2EAF" w:rsidRPr="005B22DF">
        <w:rPr>
          <w:rFonts w:ascii="Verdana" w:hAnsi="Verdana"/>
          <w:u w:val="single"/>
        </w:rPr>
        <w:t>?</w:t>
      </w:r>
      <w:r w:rsidRPr="005B22DF">
        <w:rPr>
          <w:rFonts w:ascii="Verdana" w:hAnsi="Verdana"/>
          <w:u w:val="single"/>
        </w:rPr>
        <w:t xml:space="preserve"> </w:t>
      </w:r>
    </w:p>
    <w:p w:rsidR="005B22DF" w:rsidRPr="005B22DF" w:rsidRDefault="004B19A7"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sz w:val="24"/>
          <w:szCs w:val="24"/>
          <w:u w:val="single"/>
        </w:rPr>
      </w:pPr>
      <w:r w:rsidRPr="005B22DF">
        <w:rPr>
          <w:rFonts w:ascii="Verdana" w:hAnsi="Verdana"/>
        </w:rPr>
        <w:t>A recent survey found that most employers did not see the type of university as being very important</w:t>
      </w:r>
      <w:r w:rsidR="00D40D8E" w:rsidRPr="005B22DF">
        <w:rPr>
          <w:rFonts w:ascii="Verdana" w:hAnsi="Verdana"/>
        </w:rPr>
        <w:t xml:space="preserve"> (</w:t>
      </w:r>
      <w:proofErr w:type="spellStart"/>
      <w:r w:rsidR="00D40D8E" w:rsidRPr="005B22DF">
        <w:rPr>
          <w:rFonts w:ascii="Verdana" w:hAnsi="Verdana"/>
        </w:rPr>
        <w:t>Branine</w:t>
      </w:r>
      <w:proofErr w:type="spellEnd"/>
      <w:r w:rsidR="00D40D8E" w:rsidRPr="005B22DF">
        <w:rPr>
          <w:rFonts w:ascii="Verdana" w:hAnsi="Verdana"/>
        </w:rPr>
        <w:t xml:space="preserve"> 2008)</w:t>
      </w:r>
      <w:r w:rsidRPr="005B22DF">
        <w:rPr>
          <w:rFonts w:ascii="Verdana" w:hAnsi="Verdana"/>
        </w:rPr>
        <w:t>,</w:t>
      </w:r>
      <w:r w:rsidR="00D40D8E" w:rsidRPr="005B22DF">
        <w:rPr>
          <w:rFonts w:ascii="Verdana" w:hAnsi="Verdana"/>
        </w:rPr>
        <w:t xml:space="preserve"> while </w:t>
      </w:r>
      <w:r w:rsidR="00CD3BA4" w:rsidRPr="005B22DF">
        <w:rPr>
          <w:rFonts w:ascii="Verdana" w:hAnsi="Verdana"/>
        </w:rPr>
        <w:t xml:space="preserve">the authors of the ‘Global Auction’ </w:t>
      </w:r>
      <w:r w:rsidR="00226A50" w:rsidRPr="005B22DF">
        <w:rPr>
          <w:rFonts w:ascii="Verdana" w:hAnsi="Verdana"/>
        </w:rPr>
        <w:t xml:space="preserve"> (Brown et al</w:t>
      </w:r>
      <w:r w:rsidR="00B1673C" w:rsidRPr="005B22DF">
        <w:rPr>
          <w:rFonts w:ascii="Verdana" w:hAnsi="Verdana"/>
        </w:rPr>
        <w:t>,</w:t>
      </w:r>
      <w:r w:rsidR="00226A50" w:rsidRPr="005B22DF">
        <w:rPr>
          <w:rFonts w:ascii="Verdana" w:hAnsi="Verdana"/>
        </w:rPr>
        <w:t xml:space="preserve"> 2011) </w:t>
      </w:r>
      <w:r w:rsidR="00CD3BA4" w:rsidRPr="005B22DF">
        <w:rPr>
          <w:rFonts w:ascii="Verdana" w:hAnsi="Verdana"/>
        </w:rPr>
        <w:t xml:space="preserve">are clear that </w:t>
      </w:r>
      <w:r w:rsidR="00863703" w:rsidRPr="005B22DF">
        <w:rPr>
          <w:rFonts w:ascii="Verdana" w:hAnsi="Verdana"/>
        </w:rPr>
        <w:t xml:space="preserve">companies </w:t>
      </w:r>
      <w:r w:rsidR="006067AC">
        <w:rPr>
          <w:rFonts w:ascii="Verdana" w:hAnsi="Verdana"/>
        </w:rPr>
        <w:t>‘</w:t>
      </w:r>
      <w:r w:rsidR="00863703" w:rsidRPr="005B22DF">
        <w:rPr>
          <w:rFonts w:ascii="Verdana" w:hAnsi="Verdana"/>
        </w:rPr>
        <w:t>artificially limit the pool of talent by targeting elite universities.</w:t>
      </w:r>
      <w:r w:rsidR="006067AC">
        <w:rPr>
          <w:rFonts w:ascii="Verdana" w:hAnsi="Verdana"/>
        </w:rPr>
        <w:t>’</w:t>
      </w:r>
      <w:r w:rsidR="00863703" w:rsidRPr="005B22DF">
        <w:rPr>
          <w:rFonts w:ascii="Verdana" w:hAnsi="Verdana"/>
        </w:rPr>
        <w:t xml:space="preserve"> These apparently contradictory conclusions can be reconciled. For most employers, looking for good graduates, often with skills and potential in short supply, the costs of </w:t>
      </w:r>
      <w:r w:rsidR="00B1673C" w:rsidRPr="005B22DF">
        <w:rPr>
          <w:rFonts w:ascii="Verdana" w:hAnsi="Verdana"/>
        </w:rPr>
        <w:t xml:space="preserve">a </w:t>
      </w:r>
      <w:r w:rsidR="00863703" w:rsidRPr="005B22DF">
        <w:rPr>
          <w:rFonts w:ascii="Verdana" w:hAnsi="Verdana"/>
        </w:rPr>
        <w:t xml:space="preserve">wide search to find talent </w:t>
      </w:r>
      <w:r w:rsidR="004A1C7F" w:rsidRPr="005B22DF">
        <w:rPr>
          <w:rFonts w:ascii="Verdana" w:hAnsi="Verdana"/>
        </w:rPr>
        <w:t xml:space="preserve">are </w:t>
      </w:r>
      <w:r w:rsidR="00863703" w:rsidRPr="005B22DF">
        <w:rPr>
          <w:rFonts w:ascii="Verdana" w:hAnsi="Verdana"/>
        </w:rPr>
        <w:t>justified. However, the most popular graduate employers, many in the financial sector, are swamped by applicat</w:t>
      </w:r>
      <w:r w:rsidR="00B1673C" w:rsidRPr="005B22DF">
        <w:rPr>
          <w:rFonts w:ascii="Verdana" w:hAnsi="Verdana"/>
        </w:rPr>
        <w:t>ions</w:t>
      </w:r>
      <w:r w:rsidR="00863703" w:rsidRPr="005B22DF">
        <w:rPr>
          <w:rFonts w:ascii="Verdana" w:hAnsi="Verdana"/>
        </w:rPr>
        <w:t>. They can reduce their recruitment costs by discouraging applicants from all but the most prestigious universities. They accept that equally talented individuals will be studying at other universities, but they cannot justify the costs of identifying them</w:t>
      </w:r>
      <w:r w:rsidR="004A1C7F" w:rsidRPr="005B22DF">
        <w:rPr>
          <w:rFonts w:ascii="Verdana" w:hAnsi="Verdana"/>
        </w:rPr>
        <w:t xml:space="preserve">. </w:t>
      </w:r>
    </w:p>
    <w:p w:rsidR="005B22DF" w:rsidRDefault="005B22DF" w:rsidP="00E862DE">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Pr>
          <w:rFonts w:ascii="Verdana" w:hAnsi="Verdana"/>
        </w:rPr>
        <w:t xml:space="preserve"> </w:t>
      </w:r>
      <w:r w:rsidR="004A1C7F" w:rsidRPr="005B22DF">
        <w:rPr>
          <w:rFonts w:ascii="Verdana" w:hAnsi="Verdana"/>
        </w:rPr>
        <w:t>In practice their will be a continuum between the extremes described with varying use of university prestige as a screening device. It is unclear how many graduate jobs are affected.</w:t>
      </w:r>
    </w:p>
    <w:p w:rsidR="005B22DF" w:rsidRPr="005B22DF" w:rsidRDefault="00EE7B74" w:rsidP="005B22DF">
      <w:pPr>
        <w:pStyle w:val="ListParagraph"/>
        <w:autoSpaceDE w:val="0"/>
        <w:autoSpaceDN w:val="0"/>
        <w:adjustRightInd w:val="0"/>
        <w:spacing w:after="240" w:line="300" w:lineRule="atLeast"/>
        <w:ind w:left="0"/>
        <w:contextualSpacing w:val="0"/>
        <w:rPr>
          <w:rFonts w:ascii="Verdana" w:hAnsi="Verdana"/>
        </w:rPr>
      </w:pPr>
      <w:r w:rsidRPr="005B22DF">
        <w:rPr>
          <w:rFonts w:ascii="Verdana" w:hAnsi="Verdana"/>
          <w:b/>
          <w:sz w:val="24"/>
          <w:szCs w:val="24"/>
        </w:rPr>
        <w:t xml:space="preserve">(8) </w:t>
      </w:r>
      <w:r w:rsidR="00174383" w:rsidRPr="005B22DF">
        <w:rPr>
          <w:rFonts w:ascii="Verdana" w:hAnsi="Verdana"/>
          <w:b/>
        </w:rPr>
        <w:t>Signalling</w:t>
      </w:r>
    </w:p>
    <w:p w:rsidR="005B22DF" w:rsidRDefault="005B22DF" w:rsidP="00EE7B74">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B22DF">
        <w:rPr>
          <w:rFonts w:ascii="Verdana" w:hAnsi="Verdana"/>
          <w:b/>
        </w:rPr>
        <w:t xml:space="preserve"> </w:t>
      </w:r>
      <w:r w:rsidR="001245E8" w:rsidRPr="005B22DF">
        <w:rPr>
          <w:rFonts w:ascii="Verdana" w:hAnsi="Verdana"/>
        </w:rPr>
        <w:t>For t</w:t>
      </w:r>
      <w:r w:rsidR="00494C75" w:rsidRPr="005B22DF">
        <w:rPr>
          <w:rFonts w:ascii="Verdana" w:hAnsi="Verdana"/>
        </w:rPr>
        <w:t>he review of the effects of signall</w:t>
      </w:r>
      <w:r w:rsidR="001245E8" w:rsidRPr="005B22DF">
        <w:rPr>
          <w:rFonts w:ascii="Verdana" w:hAnsi="Verdana"/>
        </w:rPr>
        <w:t xml:space="preserve">ing, see Page, 2010. </w:t>
      </w:r>
    </w:p>
    <w:p w:rsidR="005B22DF" w:rsidRDefault="00EE7B74" w:rsidP="005B22DF">
      <w:pPr>
        <w:pStyle w:val="ListParagraph"/>
        <w:autoSpaceDE w:val="0"/>
        <w:autoSpaceDN w:val="0"/>
        <w:adjustRightInd w:val="0"/>
        <w:spacing w:after="240" w:line="300" w:lineRule="atLeast"/>
        <w:ind w:left="0"/>
        <w:contextualSpacing w:val="0"/>
        <w:rPr>
          <w:rFonts w:ascii="Verdana" w:hAnsi="Verdana"/>
          <w:b/>
        </w:rPr>
      </w:pPr>
      <w:r w:rsidRPr="005B22DF">
        <w:rPr>
          <w:rFonts w:ascii="Verdana" w:hAnsi="Verdana"/>
          <w:b/>
        </w:rPr>
        <w:t xml:space="preserve">(9) </w:t>
      </w:r>
      <w:r w:rsidR="00494C75" w:rsidRPr="005B22DF">
        <w:rPr>
          <w:rFonts w:ascii="Verdana" w:hAnsi="Verdana"/>
          <w:b/>
        </w:rPr>
        <w:t>Student loans</w:t>
      </w:r>
    </w:p>
    <w:p w:rsidR="005B22DF" w:rsidRPr="005B22DF" w:rsidRDefault="00445A91" w:rsidP="005B22DF">
      <w:pPr>
        <w:pStyle w:val="ListParagraph"/>
        <w:autoSpaceDE w:val="0"/>
        <w:autoSpaceDN w:val="0"/>
        <w:adjustRightInd w:val="0"/>
        <w:spacing w:after="240" w:line="300" w:lineRule="atLeast"/>
        <w:ind w:left="0"/>
        <w:contextualSpacing w:val="0"/>
        <w:rPr>
          <w:rFonts w:ascii="Verdana" w:hAnsi="Verdana"/>
          <w:u w:val="single"/>
        </w:rPr>
      </w:pPr>
      <w:r w:rsidRPr="005B22DF">
        <w:rPr>
          <w:rFonts w:ascii="Verdana" w:hAnsi="Verdana"/>
          <w:u w:val="single"/>
        </w:rPr>
        <w:t>Cost of loans</w:t>
      </w:r>
    </w:p>
    <w:p w:rsidR="005B22DF" w:rsidRDefault="005B22DF"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B22DF">
        <w:rPr>
          <w:rFonts w:ascii="Verdana" w:hAnsi="Verdana"/>
        </w:rPr>
        <w:t xml:space="preserve"> </w:t>
      </w:r>
      <w:r w:rsidR="001245E8" w:rsidRPr="005B22DF">
        <w:rPr>
          <w:rFonts w:ascii="Verdana" w:hAnsi="Verdana"/>
        </w:rPr>
        <w:t>The estimates of the proportion of NPV to be paid from year 16 can be found at an addendum to the HEPI review of the Government’s proposals (Thompson et al, 2010).</w:t>
      </w:r>
    </w:p>
    <w:p w:rsidR="005B22DF" w:rsidRPr="005B22DF" w:rsidRDefault="001245E8" w:rsidP="005B22DF">
      <w:pPr>
        <w:pStyle w:val="ListParagraph"/>
        <w:autoSpaceDE w:val="0"/>
        <w:autoSpaceDN w:val="0"/>
        <w:adjustRightInd w:val="0"/>
        <w:spacing w:after="240" w:line="300" w:lineRule="atLeast"/>
        <w:ind w:left="0"/>
        <w:contextualSpacing w:val="0"/>
        <w:rPr>
          <w:rFonts w:ascii="Verdana" w:hAnsi="Verdana"/>
          <w:u w:val="single"/>
        </w:rPr>
      </w:pPr>
      <w:r w:rsidRPr="005B22DF">
        <w:rPr>
          <w:rFonts w:ascii="Verdana" w:hAnsi="Verdana"/>
          <w:u w:val="single"/>
        </w:rPr>
        <w:t>Changing loan conditions</w:t>
      </w:r>
    </w:p>
    <w:p w:rsidR="001245E8" w:rsidRPr="005B22DF" w:rsidRDefault="005B22DF" w:rsidP="00174383">
      <w:pPr>
        <w:pStyle w:val="ListParagraph"/>
        <w:numPr>
          <w:ilvl w:val="0"/>
          <w:numId w:val="8"/>
        </w:numPr>
        <w:autoSpaceDE w:val="0"/>
        <w:autoSpaceDN w:val="0"/>
        <w:adjustRightInd w:val="0"/>
        <w:spacing w:after="240" w:line="300" w:lineRule="atLeast"/>
        <w:ind w:left="0" w:firstLine="0"/>
        <w:contextualSpacing w:val="0"/>
        <w:rPr>
          <w:rFonts w:ascii="Verdana" w:hAnsi="Verdana"/>
        </w:rPr>
      </w:pPr>
      <w:r w:rsidRPr="005B22DF">
        <w:rPr>
          <w:rFonts w:ascii="Verdana" w:hAnsi="Verdana"/>
        </w:rPr>
        <w:t xml:space="preserve"> </w:t>
      </w:r>
      <w:r w:rsidR="007D0DA0">
        <w:rPr>
          <w:rFonts w:ascii="Verdana" w:hAnsi="Verdana"/>
        </w:rPr>
        <w:t>See Student Finance England (2</w:t>
      </w:r>
      <w:r w:rsidR="00305683">
        <w:rPr>
          <w:rFonts w:ascii="Verdana" w:hAnsi="Verdana"/>
        </w:rPr>
        <w:t>011</w:t>
      </w:r>
      <w:r w:rsidR="007D0DA0">
        <w:rPr>
          <w:rFonts w:ascii="Verdana" w:hAnsi="Verdana"/>
        </w:rPr>
        <w:t>) for loan conditions.</w:t>
      </w:r>
      <w:r w:rsidR="00D42D70">
        <w:rPr>
          <w:rFonts w:ascii="Verdana" w:hAnsi="Verdana"/>
        </w:rPr>
        <w:t xml:space="preserve"> </w:t>
      </w:r>
      <w:r w:rsidR="00BA38CB" w:rsidRPr="005B22DF">
        <w:rPr>
          <w:rFonts w:ascii="Verdana" w:hAnsi="Verdana"/>
        </w:rPr>
        <w:t>The</w:t>
      </w:r>
      <w:r w:rsidR="007D0DA0">
        <w:rPr>
          <w:rFonts w:ascii="Verdana" w:hAnsi="Verdana"/>
        </w:rPr>
        <w:t xml:space="preserve"> </w:t>
      </w:r>
      <w:r w:rsidR="00BA38CB" w:rsidRPr="005B22DF">
        <w:rPr>
          <w:rFonts w:ascii="Verdana" w:hAnsi="Verdana"/>
        </w:rPr>
        <w:t>likelihood of the loan conditions being changed is discussed in a report for the Intergenerational Foundation (</w:t>
      </w:r>
      <w:proofErr w:type="spellStart"/>
      <w:r w:rsidR="00BA38CB" w:rsidRPr="005B22DF">
        <w:rPr>
          <w:rFonts w:ascii="Verdana" w:hAnsi="Verdana"/>
        </w:rPr>
        <w:t>McGettigan</w:t>
      </w:r>
      <w:proofErr w:type="spellEnd"/>
      <w:r w:rsidR="00BA38CB" w:rsidRPr="005B22DF">
        <w:rPr>
          <w:rFonts w:ascii="Verdana" w:hAnsi="Verdana"/>
        </w:rPr>
        <w:t>, 2012).</w:t>
      </w:r>
    </w:p>
    <w:p w:rsidR="005B22DF" w:rsidRDefault="005B22DF">
      <w:pPr>
        <w:rPr>
          <w:rFonts w:ascii="Verdana" w:hAnsi="Verdana"/>
          <w:b/>
          <w:sz w:val="24"/>
          <w:szCs w:val="24"/>
        </w:rPr>
      </w:pPr>
      <w:r>
        <w:rPr>
          <w:rFonts w:ascii="Verdana" w:hAnsi="Verdana"/>
          <w:b/>
          <w:sz w:val="24"/>
          <w:szCs w:val="24"/>
        </w:rPr>
        <w:br w:type="page"/>
      </w:r>
    </w:p>
    <w:p w:rsidR="00176FFD" w:rsidRDefault="00176FFD" w:rsidP="00174383">
      <w:pPr>
        <w:spacing w:line="300" w:lineRule="atLeast"/>
        <w:rPr>
          <w:rFonts w:ascii="Verdana" w:hAnsi="Verdana"/>
          <w:b/>
          <w:sz w:val="24"/>
          <w:szCs w:val="24"/>
        </w:rPr>
      </w:pPr>
      <w:r w:rsidRPr="00176FFD">
        <w:rPr>
          <w:rFonts w:ascii="Verdana" w:hAnsi="Verdana"/>
          <w:b/>
          <w:sz w:val="24"/>
          <w:szCs w:val="24"/>
        </w:rPr>
        <w:lastRenderedPageBreak/>
        <w:t>References</w:t>
      </w:r>
    </w:p>
    <w:p w:rsidR="00A21CB7" w:rsidRDefault="00A21CB7" w:rsidP="00A21CB7">
      <w:pPr>
        <w:spacing w:line="300" w:lineRule="atLeast"/>
        <w:rPr>
          <w:rFonts w:ascii="Verdana" w:hAnsi="Verdana"/>
        </w:rPr>
      </w:pPr>
      <w:r w:rsidRPr="00A21CB7">
        <w:rPr>
          <w:rFonts w:ascii="Verdana" w:hAnsi="Verdana"/>
        </w:rPr>
        <w:t>Amin</w:t>
      </w:r>
      <w:r>
        <w:rPr>
          <w:rFonts w:ascii="Verdana" w:hAnsi="Verdana"/>
        </w:rPr>
        <w:t xml:space="preserve"> V, (</w:t>
      </w:r>
      <w:r w:rsidRPr="00A21CB7">
        <w:rPr>
          <w:rFonts w:ascii="Verdana" w:hAnsi="Verdana"/>
        </w:rPr>
        <w:t>2011</w:t>
      </w:r>
      <w:r>
        <w:rPr>
          <w:rFonts w:ascii="Verdana" w:hAnsi="Verdana"/>
        </w:rPr>
        <w:t xml:space="preserve">), </w:t>
      </w:r>
      <w:r w:rsidR="006067AC">
        <w:rPr>
          <w:rFonts w:ascii="Verdana" w:hAnsi="Verdana"/>
        </w:rPr>
        <w:t>‘</w:t>
      </w:r>
      <w:r w:rsidRPr="00A21CB7">
        <w:rPr>
          <w:rFonts w:ascii="Verdana" w:hAnsi="Verdana"/>
        </w:rPr>
        <w:t xml:space="preserve"> Returns to Education: Evidence from UK Twins: Comment</w:t>
      </w:r>
      <w:r w:rsidR="006067AC">
        <w:rPr>
          <w:rFonts w:ascii="Verdana" w:hAnsi="Verdana"/>
        </w:rPr>
        <w:t>’</w:t>
      </w:r>
      <w:r>
        <w:rPr>
          <w:rFonts w:ascii="Verdana" w:hAnsi="Verdana"/>
        </w:rPr>
        <w:t xml:space="preserve">, </w:t>
      </w:r>
      <w:r w:rsidRPr="00A21CB7">
        <w:rPr>
          <w:rFonts w:ascii="Verdana" w:hAnsi="Verdana"/>
        </w:rPr>
        <w:t>American Economic Review</w:t>
      </w:r>
      <w:r>
        <w:rPr>
          <w:rFonts w:ascii="Verdana" w:hAnsi="Verdana"/>
        </w:rPr>
        <w:t>,</w:t>
      </w:r>
      <w:r w:rsidRPr="00A21CB7">
        <w:rPr>
          <w:rFonts w:ascii="Verdana" w:hAnsi="Verdana"/>
        </w:rPr>
        <w:t xml:space="preserve"> 101</w:t>
      </w:r>
      <w:r>
        <w:rPr>
          <w:rFonts w:ascii="Verdana" w:hAnsi="Verdana"/>
        </w:rPr>
        <w:t>(</w:t>
      </w:r>
      <w:r w:rsidRPr="00A21CB7">
        <w:rPr>
          <w:rFonts w:ascii="Verdana" w:hAnsi="Verdana"/>
        </w:rPr>
        <w:t>4</w:t>
      </w:r>
      <w:r>
        <w:rPr>
          <w:rFonts w:ascii="Verdana" w:hAnsi="Verdana"/>
        </w:rPr>
        <w:t>)</w:t>
      </w:r>
      <w:r w:rsidRPr="00A21CB7">
        <w:rPr>
          <w:rFonts w:ascii="Verdana" w:hAnsi="Verdana"/>
        </w:rPr>
        <w:t>, 1629-1635.</w:t>
      </w:r>
    </w:p>
    <w:p w:rsidR="0072776B" w:rsidRPr="0072776B" w:rsidRDefault="0072776B" w:rsidP="0072776B">
      <w:pPr>
        <w:spacing w:line="300" w:lineRule="atLeast"/>
        <w:rPr>
          <w:rFonts w:ascii="Verdana" w:hAnsi="Verdana"/>
        </w:rPr>
      </w:pPr>
      <w:proofErr w:type="spellStart"/>
      <w:r w:rsidRPr="0072776B">
        <w:rPr>
          <w:rFonts w:ascii="Verdana" w:hAnsi="Verdana"/>
        </w:rPr>
        <w:t>Battistin</w:t>
      </w:r>
      <w:proofErr w:type="spellEnd"/>
      <w:r w:rsidRPr="0072776B">
        <w:rPr>
          <w:rFonts w:ascii="Verdana" w:hAnsi="Verdana"/>
        </w:rPr>
        <w:t xml:space="preserve"> E, De </w:t>
      </w:r>
      <w:proofErr w:type="spellStart"/>
      <w:r w:rsidRPr="0072776B">
        <w:rPr>
          <w:rFonts w:ascii="Verdana" w:hAnsi="Verdana"/>
        </w:rPr>
        <w:t>Nadai</w:t>
      </w:r>
      <w:proofErr w:type="spellEnd"/>
      <w:r w:rsidRPr="0072776B">
        <w:rPr>
          <w:rFonts w:ascii="Verdana" w:hAnsi="Verdana"/>
        </w:rPr>
        <w:t xml:space="preserve"> M and </w:t>
      </w:r>
      <w:proofErr w:type="spellStart"/>
      <w:r w:rsidRPr="0072776B">
        <w:rPr>
          <w:rFonts w:ascii="Verdana" w:hAnsi="Verdana"/>
        </w:rPr>
        <w:t>Sianesi</w:t>
      </w:r>
      <w:proofErr w:type="spellEnd"/>
      <w:r w:rsidRPr="0072776B">
        <w:rPr>
          <w:rFonts w:ascii="Verdana" w:hAnsi="Verdana"/>
        </w:rPr>
        <w:t xml:space="preserve"> B, (2012),</w:t>
      </w:r>
      <w:r w:rsidR="006067AC">
        <w:rPr>
          <w:rFonts w:ascii="Verdana" w:hAnsi="Verdana"/>
        </w:rPr>
        <w:t>’</w:t>
      </w:r>
      <w:r w:rsidRPr="0072776B">
        <w:rPr>
          <w:rFonts w:ascii="Verdana" w:hAnsi="Verdana"/>
        </w:rPr>
        <w:t>Misreported Schooling, Multiple Measures</w:t>
      </w:r>
      <w:r w:rsidR="006067AC">
        <w:rPr>
          <w:rFonts w:ascii="Verdana" w:hAnsi="Verdana"/>
        </w:rPr>
        <w:t>’</w:t>
      </w:r>
      <w:r w:rsidRPr="0072776B">
        <w:rPr>
          <w:rFonts w:ascii="Verdana" w:hAnsi="Verdana"/>
        </w:rPr>
        <w:t xml:space="preserve">, </w:t>
      </w:r>
      <w:r w:rsidRPr="0072776B">
        <w:rPr>
          <w:rFonts w:ascii="Verdana" w:hAnsi="Verdana" w:cs="Arial"/>
        </w:rPr>
        <w:t>IZA Discussion Paper No. 6337.</w:t>
      </w:r>
      <w:r>
        <w:rPr>
          <w:rFonts w:ascii="Verdana" w:hAnsi="Verdana" w:cs="Arial"/>
        </w:rPr>
        <w:t xml:space="preserve">                                                      </w:t>
      </w:r>
      <w:r w:rsidRPr="0072776B">
        <w:rPr>
          <w:rFonts w:ascii="Verdana" w:hAnsi="Verdana" w:cs="Arial"/>
        </w:rPr>
        <w:t xml:space="preserve">Available at: </w:t>
      </w:r>
      <w:hyperlink r:id="rId13" w:history="1">
        <w:r w:rsidRPr="0072776B">
          <w:rPr>
            <w:rStyle w:val="Hyperlink"/>
            <w:rFonts w:ascii="Verdana" w:hAnsi="Verdana" w:cs="Arial"/>
          </w:rPr>
          <w:t>http://ftp.iza.org/dp6337.pdf</w:t>
        </w:r>
      </w:hyperlink>
      <w:r w:rsidRPr="0072776B">
        <w:rPr>
          <w:rFonts w:ascii="Verdana" w:hAnsi="Verdana" w:cs="Arial"/>
        </w:rPr>
        <w:t xml:space="preserve"> </w:t>
      </w:r>
      <w:r w:rsidRPr="0072776B">
        <w:rPr>
          <w:rFonts w:ascii="Verdana" w:hAnsi="Verdana"/>
        </w:rPr>
        <w:t>(Accessed 10 April 2012)</w:t>
      </w:r>
    </w:p>
    <w:p w:rsidR="00321C2A" w:rsidRPr="00A21CB7" w:rsidRDefault="00321C2A" w:rsidP="00321C2A">
      <w:pPr>
        <w:spacing w:line="300" w:lineRule="atLeast"/>
        <w:rPr>
          <w:rFonts w:ascii="Verdana" w:hAnsi="Verdana"/>
        </w:rPr>
      </w:pPr>
      <w:r w:rsidRPr="00321C2A">
        <w:rPr>
          <w:rFonts w:ascii="Verdana" w:hAnsi="Verdana"/>
        </w:rPr>
        <w:t>Blundell</w:t>
      </w:r>
      <w:r>
        <w:rPr>
          <w:rFonts w:ascii="Verdana" w:hAnsi="Verdana"/>
        </w:rPr>
        <w:t xml:space="preserve"> R</w:t>
      </w:r>
      <w:r w:rsidRPr="00321C2A">
        <w:rPr>
          <w:rFonts w:ascii="Verdana" w:hAnsi="Verdana"/>
        </w:rPr>
        <w:t xml:space="preserve">, </w:t>
      </w:r>
      <w:proofErr w:type="spellStart"/>
      <w:r w:rsidRPr="00321C2A">
        <w:rPr>
          <w:rFonts w:ascii="Verdana" w:hAnsi="Verdana"/>
        </w:rPr>
        <w:t>Dearden</w:t>
      </w:r>
      <w:proofErr w:type="spellEnd"/>
      <w:r>
        <w:rPr>
          <w:rFonts w:ascii="Verdana" w:hAnsi="Verdana"/>
        </w:rPr>
        <w:t xml:space="preserve"> L</w:t>
      </w:r>
      <w:r w:rsidRPr="00321C2A">
        <w:rPr>
          <w:rFonts w:ascii="Verdana" w:hAnsi="Verdana"/>
        </w:rPr>
        <w:t>,</w:t>
      </w:r>
      <w:r>
        <w:rPr>
          <w:rFonts w:ascii="Verdana" w:hAnsi="Verdana"/>
        </w:rPr>
        <w:t xml:space="preserve"> </w:t>
      </w:r>
      <w:r w:rsidRPr="00321C2A">
        <w:rPr>
          <w:rFonts w:ascii="Verdana" w:hAnsi="Verdana"/>
        </w:rPr>
        <w:t xml:space="preserve">Goodman </w:t>
      </w:r>
      <w:r>
        <w:rPr>
          <w:rFonts w:ascii="Verdana" w:hAnsi="Verdana"/>
        </w:rPr>
        <w:t xml:space="preserve">A </w:t>
      </w:r>
      <w:r w:rsidRPr="00321C2A">
        <w:rPr>
          <w:rFonts w:ascii="Verdana" w:hAnsi="Verdana"/>
        </w:rPr>
        <w:t>and Reed</w:t>
      </w:r>
      <w:r>
        <w:rPr>
          <w:rFonts w:ascii="Verdana" w:hAnsi="Verdana"/>
        </w:rPr>
        <w:t xml:space="preserve"> H, (2000), </w:t>
      </w:r>
      <w:r w:rsidR="006067AC">
        <w:rPr>
          <w:rFonts w:ascii="Verdana" w:hAnsi="Verdana"/>
        </w:rPr>
        <w:t>‘</w:t>
      </w:r>
      <w:proofErr w:type="gramStart"/>
      <w:r w:rsidRPr="00321C2A">
        <w:rPr>
          <w:rFonts w:ascii="Verdana" w:hAnsi="Verdana"/>
        </w:rPr>
        <w:t>T</w:t>
      </w:r>
      <w:r>
        <w:rPr>
          <w:rFonts w:ascii="Verdana" w:hAnsi="Verdana"/>
        </w:rPr>
        <w:t>he</w:t>
      </w:r>
      <w:proofErr w:type="gramEnd"/>
      <w:r>
        <w:rPr>
          <w:rFonts w:ascii="Verdana" w:hAnsi="Verdana"/>
        </w:rPr>
        <w:t xml:space="preserve"> returns to Higher Education in Britain: evidence from a British cohort</w:t>
      </w:r>
      <w:r w:rsidR="006067AC">
        <w:rPr>
          <w:rFonts w:ascii="Verdana" w:hAnsi="Verdana"/>
        </w:rPr>
        <w:t>’</w:t>
      </w:r>
      <w:r>
        <w:rPr>
          <w:rFonts w:ascii="Verdana" w:hAnsi="Verdana"/>
        </w:rPr>
        <w:t xml:space="preserve">, </w:t>
      </w:r>
      <w:r w:rsidRPr="00321C2A">
        <w:rPr>
          <w:rFonts w:ascii="Verdana" w:hAnsi="Verdana"/>
        </w:rPr>
        <w:t>The Economic Jou</w:t>
      </w:r>
      <w:r>
        <w:rPr>
          <w:rFonts w:ascii="Verdana" w:hAnsi="Verdana"/>
        </w:rPr>
        <w:t>rnal</w:t>
      </w:r>
      <w:r w:rsidRPr="00321C2A">
        <w:rPr>
          <w:rFonts w:ascii="Verdana" w:hAnsi="Verdana"/>
        </w:rPr>
        <w:t xml:space="preserve">, 110 </w:t>
      </w:r>
      <w:r>
        <w:rPr>
          <w:rFonts w:ascii="Verdana" w:hAnsi="Verdana"/>
        </w:rPr>
        <w:t>(</w:t>
      </w:r>
      <w:r w:rsidRPr="00321C2A">
        <w:rPr>
          <w:rFonts w:ascii="Verdana" w:hAnsi="Verdana"/>
        </w:rPr>
        <w:t>February), F82-F99</w:t>
      </w:r>
      <w:r>
        <w:rPr>
          <w:rFonts w:ascii="Verdana" w:hAnsi="Verdana"/>
        </w:rPr>
        <w:t>.</w:t>
      </w:r>
    </w:p>
    <w:p w:rsidR="001114C9" w:rsidRPr="001114C9" w:rsidRDefault="001114C9" w:rsidP="001114C9">
      <w:pPr>
        <w:spacing w:line="300" w:lineRule="atLeast"/>
        <w:rPr>
          <w:rFonts w:ascii="Verdana" w:hAnsi="Verdana"/>
        </w:rPr>
      </w:pPr>
      <w:proofErr w:type="gramStart"/>
      <w:r w:rsidRPr="001114C9">
        <w:rPr>
          <w:rFonts w:ascii="Verdana" w:hAnsi="Verdana"/>
        </w:rPr>
        <w:t>Blundell</w:t>
      </w:r>
      <w:r>
        <w:rPr>
          <w:rFonts w:ascii="Verdana" w:hAnsi="Verdana"/>
        </w:rPr>
        <w:t xml:space="preserve"> </w:t>
      </w:r>
      <w:r w:rsidRPr="001114C9">
        <w:rPr>
          <w:rFonts w:ascii="Verdana" w:hAnsi="Verdana"/>
        </w:rPr>
        <w:t xml:space="preserve"> R</w:t>
      </w:r>
      <w:proofErr w:type="gramEnd"/>
      <w:r w:rsidRPr="001114C9">
        <w:rPr>
          <w:rFonts w:ascii="Verdana" w:hAnsi="Verdana"/>
        </w:rPr>
        <w:t xml:space="preserve"> W</w:t>
      </w:r>
      <w:r>
        <w:rPr>
          <w:rFonts w:ascii="Verdana" w:hAnsi="Verdana"/>
        </w:rPr>
        <w:t xml:space="preserve">, </w:t>
      </w:r>
      <w:proofErr w:type="spellStart"/>
      <w:r w:rsidRPr="001114C9">
        <w:rPr>
          <w:rFonts w:ascii="Verdana" w:hAnsi="Verdana"/>
        </w:rPr>
        <w:t>Dearden</w:t>
      </w:r>
      <w:proofErr w:type="spellEnd"/>
      <w:r w:rsidRPr="001114C9">
        <w:rPr>
          <w:rFonts w:ascii="Verdana" w:hAnsi="Verdana"/>
        </w:rPr>
        <w:t xml:space="preserve"> L</w:t>
      </w:r>
      <w:r>
        <w:rPr>
          <w:rFonts w:ascii="Verdana" w:hAnsi="Verdana"/>
        </w:rPr>
        <w:t xml:space="preserve"> and</w:t>
      </w:r>
      <w:r w:rsidRPr="001114C9">
        <w:rPr>
          <w:rFonts w:ascii="Verdana" w:hAnsi="Verdana"/>
        </w:rPr>
        <w:t xml:space="preserve"> </w:t>
      </w:r>
      <w:proofErr w:type="spellStart"/>
      <w:r w:rsidRPr="001114C9">
        <w:rPr>
          <w:rFonts w:ascii="Verdana" w:hAnsi="Verdana"/>
        </w:rPr>
        <w:t>Sianesi</w:t>
      </w:r>
      <w:proofErr w:type="spellEnd"/>
      <w:r w:rsidRPr="001114C9">
        <w:rPr>
          <w:rFonts w:ascii="Verdana" w:hAnsi="Verdana"/>
        </w:rPr>
        <w:t xml:space="preserve"> B</w:t>
      </w:r>
      <w:r>
        <w:rPr>
          <w:rFonts w:ascii="Verdana" w:hAnsi="Verdana"/>
        </w:rPr>
        <w:t>,</w:t>
      </w:r>
      <w:r w:rsidRPr="001114C9">
        <w:rPr>
          <w:rFonts w:ascii="Verdana" w:hAnsi="Verdana"/>
        </w:rPr>
        <w:t xml:space="preserve"> (2005)</w:t>
      </w:r>
      <w:r>
        <w:rPr>
          <w:rFonts w:ascii="Verdana" w:hAnsi="Verdana"/>
        </w:rPr>
        <w:t xml:space="preserve">, </w:t>
      </w:r>
      <w:r w:rsidR="006067AC">
        <w:rPr>
          <w:rFonts w:ascii="Verdana" w:hAnsi="Verdana"/>
        </w:rPr>
        <w:t>‘</w:t>
      </w:r>
      <w:r w:rsidRPr="001114C9">
        <w:rPr>
          <w:rFonts w:ascii="Verdana" w:hAnsi="Verdana"/>
        </w:rPr>
        <w:t xml:space="preserve"> Evaluating the impact</w:t>
      </w:r>
      <w:r>
        <w:rPr>
          <w:rFonts w:ascii="Verdana" w:hAnsi="Verdana"/>
        </w:rPr>
        <w:t xml:space="preserve"> </w:t>
      </w:r>
      <w:r w:rsidRPr="001114C9">
        <w:rPr>
          <w:rFonts w:ascii="Verdana" w:hAnsi="Verdana"/>
        </w:rPr>
        <w:t>of education on earnings: Models, methods and results from the</w:t>
      </w:r>
      <w:r>
        <w:rPr>
          <w:rFonts w:ascii="Verdana" w:hAnsi="Verdana"/>
        </w:rPr>
        <w:t xml:space="preserve"> </w:t>
      </w:r>
      <w:r w:rsidRPr="001114C9">
        <w:rPr>
          <w:rFonts w:ascii="Verdana" w:hAnsi="Verdana"/>
        </w:rPr>
        <w:t>NCDS</w:t>
      </w:r>
      <w:r w:rsidR="006067AC">
        <w:rPr>
          <w:rFonts w:ascii="Verdana" w:hAnsi="Verdana"/>
        </w:rPr>
        <w:t>’</w:t>
      </w:r>
      <w:r>
        <w:rPr>
          <w:rFonts w:ascii="Verdana" w:hAnsi="Verdana"/>
        </w:rPr>
        <w:t xml:space="preserve">, </w:t>
      </w:r>
      <w:r w:rsidRPr="001114C9">
        <w:rPr>
          <w:rFonts w:ascii="Verdana" w:hAnsi="Verdana"/>
        </w:rPr>
        <w:t xml:space="preserve"> Journal of the Royal Statistical Society Series A, 168, 473–</w:t>
      </w:r>
      <w:r>
        <w:rPr>
          <w:rFonts w:ascii="Verdana" w:hAnsi="Verdana"/>
        </w:rPr>
        <w:t xml:space="preserve"> 512</w:t>
      </w:r>
      <w:r w:rsidRPr="001114C9">
        <w:rPr>
          <w:rFonts w:ascii="Verdana" w:hAnsi="Verdana"/>
        </w:rPr>
        <w:t>.</w:t>
      </w:r>
    </w:p>
    <w:p w:rsidR="00292A49" w:rsidRDefault="00292A49" w:rsidP="00B04F7F">
      <w:pPr>
        <w:spacing w:line="300" w:lineRule="atLeast"/>
        <w:rPr>
          <w:rFonts w:ascii="Verdana" w:hAnsi="Verdana"/>
        </w:rPr>
      </w:pPr>
      <w:r w:rsidRPr="00292A49">
        <w:rPr>
          <w:rFonts w:ascii="Verdana" w:hAnsi="Verdana"/>
        </w:rPr>
        <w:t>B</w:t>
      </w:r>
      <w:r>
        <w:rPr>
          <w:rFonts w:ascii="Verdana" w:hAnsi="Verdana"/>
        </w:rPr>
        <w:t>onjour D</w:t>
      </w:r>
      <w:r w:rsidRPr="00292A49">
        <w:rPr>
          <w:rFonts w:ascii="Verdana" w:hAnsi="Verdana"/>
        </w:rPr>
        <w:t xml:space="preserve">, </w:t>
      </w:r>
      <w:proofErr w:type="spellStart"/>
      <w:r>
        <w:rPr>
          <w:rFonts w:ascii="Verdana" w:hAnsi="Verdana"/>
        </w:rPr>
        <w:t>Cherkas</w:t>
      </w:r>
      <w:proofErr w:type="spellEnd"/>
      <w:r>
        <w:rPr>
          <w:rFonts w:ascii="Verdana" w:hAnsi="Verdana"/>
        </w:rPr>
        <w:t xml:space="preserve"> L F</w:t>
      </w:r>
      <w:r w:rsidRPr="00292A49">
        <w:rPr>
          <w:rFonts w:ascii="Verdana" w:hAnsi="Verdana"/>
        </w:rPr>
        <w:t xml:space="preserve">, </w:t>
      </w:r>
      <w:proofErr w:type="spellStart"/>
      <w:r>
        <w:rPr>
          <w:rFonts w:ascii="Verdana" w:hAnsi="Verdana"/>
        </w:rPr>
        <w:t>Haskel</w:t>
      </w:r>
      <w:proofErr w:type="spellEnd"/>
      <w:r>
        <w:rPr>
          <w:rFonts w:ascii="Verdana" w:hAnsi="Verdana"/>
        </w:rPr>
        <w:t xml:space="preserve"> J E</w:t>
      </w:r>
      <w:r w:rsidRPr="00292A49">
        <w:rPr>
          <w:rFonts w:ascii="Verdana" w:hAnsi="Verdana"/>
        </w:rPr>
        <w:t>,</w:t>
      </w:r>
      <w:r>
        <w:rPr>
          <w:rFonts w:ascii="Verdana" w:hAnsi="Verdana"/>
        </w:rPr>
        <w:t xml:space="preserve"> Hawkes D </w:t>
      </w:r>
      <w:proofErr w:type="spellStart"/>
      <w:r>
        <w:rPr>
          <w:rFonts w:ascii="Verdana" w:hAnsi="Verdana"/>
        </w:rPr>
        <w:t>D</w:t>
      </w:r>
      <w:proofErr w:type="spellEnd"/>
      <w:r>
        <w:rPr>
          <w:rFonts w:ascii="Verdana" w:hAnsi="Verdana"/>
        </w:rPr>
        <w:t xml:space="preserve"> and Spector T D, (2003), </w:t>
      </w:r>
      <w:r w:rsidR="006067AC">
        <w:rPr>
          <w:rFonts w:ascii="Verdana" w:hAnsi="Verdana"/>
        </w:rPr>
        <w:t>‘</w:t>
      </w:r>
      <w:r w:rsidRPr="00292A49">
        <w:rPr>
          <w:rFonts w:ascii="Verdana" w:hAnsi="Verdana"/>
        </w:rPr>
        <w:t>Returns to Education: Evidence from UK Twins</w:t>
      </w:r>
      <w:r w:rsidR="006067AC">
        <w:rPr>
          <w:rFonts w:ascii="Verdana" w:hAnsi="Verdana"/>
        </w:rPr>
        <w:t>’</w:t>
      </w:r>
      <w:r>
        <w:rPr>
          <w:rFonts w:ascii="Verdana" w:hAnsi="Verdana"/>
        </w:rPr>
        <w:t xml:space="preserve">, </w:t>
      </w:r>
      <w:r w:rsidRPr="00292A49">
        <w:rPr>
          <w:rFonts w:ascii="Verdana" w:hAnsi="Verdana"/>
        </w:rPr>
        <w:t>The American Economic Review,  93</w:t>
      </w:r>
      <w:r>
        <w:rPr>
          <w:rFonts w:ascii="Verdana" w:hAnsi="Verdana"/>
        </w:rPr>
        <w:t xml:space="preserve"> (5), </w:t>
      </w:r>
      <w:r w:rsidRPr="00292A49">
        <w:rPr>
          <w:rFonts w:ascii="Verdana" w:hAnsi="Verdana"/>
        </w:rPr>
        <w:t>1799-1</w:t>
      </w:r>
      <w:r>
        <w:rPr>
          <w:rFonts w:ascii="Verdana" w:hAnsi="Verdana"/>
        </w:rPr>
        <w:t>822</w:t>
      </w:r>
    </w:p>
    <w:p w:rsidR="0013249E" w:rsidRDefault="0013249E" w:rsidP="00B04F7F">
      <w:pPr>
        <w:spacing w:line="300" w:lineRule="atLeast"/>
        <w:rPr>
          <w:rFonts w:ascii="Verdana" w:hAnsi="Verdana"/>
        </w:rPr>
      </w:pPr>
      <w:proofErr w:type="spellStart"/>
      <w:r w:rsidRPr="0013249E">
        <w:rPr>
          <w:rFonts w:ascii="Verdana" w:hAnsi="Verdana"/>
        </w:rPr>
        <w:t>Branine</w:t>
      </w:r>
      <w:proofErr w:type="spellEnd"/>
      <w:r>
        <w:rPr>
          <w:rFonts w:ascii="Verdana" w:hAnsi="Verdana"/>
        </w:rPr>
        <w:t xml:space="preserve"> M</w:t>
      </w:r>
      <w:r w:rsidRPr="0013249E">
        <w:rPr>
          <w:rFonts w:ascii="Verdana" w:hAnsi="Verdana"/>
        </w:rPr>
        <w:t xml:space="preserve">, (2008) </w:t>
      </w:r>
      <w:r w:rsidR="006067AC">
        <w:rPr>
          <w:rFonts w:ascii="Verdana" w:hAnsi="Verdana"/>
        </w:rPr>
        <w:t>‘</w:t>
      </w:r>
      <w:r w:rsidRPr="0013249E">
        <w:rPr>
          <w:rFonts w:ascii="Verdana" w:hAnsi="Verdana"/>
        </w:rPr>
        <w:t>Graduate recruitment and selection in the UK: A study of the recent changes in methods and expectations</w:t>
      </w:r>
      <w:r w:rsidR="006067AC">
        <w:rPr>
          <w:rFonts w:ascii="Verdana" w:hAnsi="Verdana"/>
        </w:rPr>
        <w:t>’</w:t>
      </w:r>
      <w:r w:rsidRPr="0013249E">
        <w:rPr>
          <w:rFonts w:ascii="Verdana" w:hAnsi="Verdana"/>
        </w:rPr>
        <w:t>, Career Development International, 13</w:t>
      </w:r>
      <w:r>
        <w:rPr>
          <w:rFonts w:ascii="Verdana" w:hAnsi="Verdana"/>
        </w:rPr>
        <w:t>(6)</w:t>
      </w:r>
      <w:r w:rsidRPr="0013249E">
        <w:rPr>
          <w:rFonts w:ascii="Verdana" w:hAnsi="Verdana"/>
        </w:rPr>
        <w:t>,</w:t>
      </w:r>
      <w:r>
        <w:rPr>
          <w:rFonts w:ascii="Verdana" w:hAnsi="Verdana"/>
        </w:rPr>
        <w:t xml:space="preserve"> </w:t>
      </w:r>
      <w:r w:rsidRPr="0013249E">
        <w:rPr>
          <w:rFonts w:ascii="Verdana" w:hAnsi="Verdana"/>
        </w:rPr>
        <w:t>497 - 513</w:t>
      </w:r>
    </w:p>
    <w:p w:rsidR="009A37C7" w:rsidRDefault="009A37C7" w:rsidP="00B04F7F">
      <w:pPr>
        <w:spacing w:line="300" w:lineRule="atLeast"/>
        <w:rPr>
          <w:rFonts w:ascii="Verdana" w:hAnsi="Verdana"/>
        </w:rPr>
      </w:pPr>
      <w:proofErr w:type="spellStart"/>
      <w:r w:rsidRPr="009A37C7">
        <w:rPr>
          <w:rFonts w:ascii="Verdana" w:hAnsi="Verdana"/>
        </w:rPr>
        <w:t>Broecke</w:t>
      </w:r>
      <w:proofErr w:type="spellEnd"/>
      <w:r w:rsidRPr="009A37C7">
        <w:rPr>
          <w:rFonts w:ascii="Verdana" w:hAnsi="Verdana"/>
        </w:rPr>
        <w:t xml:space="preserve"> S, (2012), </w:t>
      </w:r>
      <w:r w:rsidR="006067AC">
        <w:rPr>
          <w:rFonts w:ascii="Verdana" w:hAnsi="Verdana"/>
        </w:rPr>
        <w:t>‘</w:t>
      </w:r>
      <w:r w:rsidRPr="009A37C7">
        <w:rPr>
          <w:rFonts w:ascii="Verdana" w:hAnsi="Verdana"/>
        </w:rPr>
        <w:t>University selectivity and earnings: Evidence from UK data on applications and admissions to university</w:t>
      </w:r>
      <w:r w:rsidR="006067AC">
        <w:rPr>
          <w:rFonts w:ascii="Verdana" w:hAnsi="Verdana"/>
        </w:rPr>
        <w:t>’</w:t>
      </w:r>
      <w:proofErr w:type="gramStart"/>
      <w:r>
        <w:rPr>
          <w:rFonts w:ascii="Verdana" w:hAnsi="Verdana"/>
        </w:rPr>
        <w:t xml:space="preserve">, </w:t>
      </w:r>
      <w:r w:rsidRPr="009A37C7">
        <w:t xml:space="preserve"> </w:t>
      </w:r>
      <w:r w:rsidRPr="009A37C7">
        <w:rPr>
          <w:rFonts w:ascii="Verdana" w:hAnsi="Verdana"/>
        </w:rPr>
        <w:t>Economics</w:t>
      </w:r>
      <w:proofErr w:type="gramEnd"/>
      <w:r w:rsidRPr="009A37C7">
        <w:rPr>
          <w:rFonts w:ascii="Verdana" w:hAnsi="Verdana"/>
        </w:rPr>
        <w:t xml:space="preserve"> of Education </w:t>
      </w:r>
      <w:r>
        <w:rPr>
          <w:rFonts w:ascii="Verdana" w:hAnsi="Verdana"/>
        </w:rPr>
        <w:t>Review, forthcoming.</w:t>
      </w:r>
    </w:p>
    <w:p w:rsidR="0030092A" w:rsidRDefault="0030092A" w:rsidP="0030092A">
      <w:pPr>
        <w:rPr>
          <w:rFonts w:ascii="Verdana" w:hAnsi="Verdana"/>
        </w:rPr>
      </w:pPr>
      <w:r w:rsidRPr="009D65B7">
        <w:rPr>
          <w:rFonts w:ascii="Verdana" w:hAnsi="Verdana"/>
        </w:rPr>
        <w:t xml:space="preserve">Brown P, </w:t>
      </w:r>
      <w:r>
        <w:rPr>
          <w:rFonts w:ascii="Verdana" w:hAnsi="Verdana"/>
        </w:rPr>
        <w:t xml:space="preserve">Lauder H and Ashton D (2011), ‘The Global </w:t>
      </w:r>
      <w:proofErr w:type="gramStart"/>
      <w:r>
        <w:rPr>
          <w:rFonts w:ascii="Verdana" w:hAnsi="Verdana"/>
        </w:rPr>
        <w:t>Auction’ ,</w:t>
      </w:r>
      <w:proofErr w:type="gramEnd"/>
      <w:r>
        <w:rPr>
          <w:rFonts w:ascii="Verdana" w:hAnsi="Verdana"/>
        </w:rPr>
        <w:t xml:space="preserve"> Oxford University Press</w:t>
      </w:r>
      <w:r w:rsidR="0095693A">
        <w:rPr>
          <w:rFonts w:ascii="Verdana" w:hAnsi="Verdana"/>
        </w:rPr>
        <w:t xml:space="preserve">, Chapter 6, </w:t>
      </w:r>
      <w:r w:rsidR="006067AC">
        <w:rPr>
          <w:rFonts w:ascii="Verdana" w:hAnsi="Verdana"/>
        </w:rPr>
        <w:t>‘</w:t>
      </w:r>
      <w:r w:rsidR="0095693A">
        <w:rPr>
          <w:rFonts w:ascii="Verdana" w:hAnsi="Verdana"/>
        </w:rPr>
        <w:t>The War for Talent</w:t>
      </w:r>
      <w:r w:rsidR="006067AC">
        <w:rPr>
          <w:rFonts w:ascii="Verdana" w:hAnsi="Verdana"/>
        </w:rPr>
        <w:t>’</w:t>
      </w:r>
      <w:r w:rsidR="0095693A">
        <w:rPr>
          <w:rFonts w:ascii="Verdana" w:hAnsi="Verdana"/>
        </w:rPr>
        <w:t>, pages 83-97</w:t>
      </w:r>
      <w:r>
        <w:rPr>
          <w:rFonts w:ascii="Verdana" w:hAnsi="Verdana"/>
        </w:rPr>
        <w:t xml:space="preserve"> </w:t>
      </w:r>
    </w:p>
    <w:p w:rsidR="00445A91" w:rsidRDefault="00445A91" w:rsidP="0030092A">
      <w:pPr>
        <w:rPr>
          <w:rFonts w:ascii="Verdana" w:hAnsi="Verdana"/>
        </w:rPr>
      </w:pPr>
      <w:r w:rsidRPr="00C96A84">
        <w:rPr>
          <w:rFonts w:ascii="Verdana" w:hAnsi="Verdana"/>
        </w:rPr>
        <w:t>Card D</w:t>
      </w:r>
      <w:r>
        <w:rPr>
          <w:rFonts w:ascii="Verdana" w:hAnsi="Verdana"/>
        </w:rPr>
        <w:t>,</w:t>
      </w:r>
      <w:r w:rsidRPr="00C96A84">
        <w:rPr>
          <w:rFonts w:ascii="Verdana" w:hAnsi="Verdana"/>
        </w:rPr>
        <w:t xml:space="preserve"> (1999),</w:t>
      </w:r>
      <w:r>
        <w:rPr>
          <w:rFonts w:ascii="Verdana" w:hAnsi="Verdana"/>
        </w:rPr>
        <w:t xml:space="preserve"> </w:t>
      </w:r>
      <w:r w:rsidR="006067AC">
        <w:rPr>
          <w:rFonts w:ascii="Verdana" w:hAnsi="Verdana"/>
        </w:rPr>
        <w:t>‘</w:t>
      </w:r>
      <w:r w:rsidRPr="00C96A84">
        <w:rPr>
          <w:rFonts w:ascii="Verdana" w:hAnsi="Verdana"/>
        </w:rPr>
        <w:t>‘The causal effect of education on earnings</w:t>
      </w:r>
      <w:r w:rsidR="006067AC">
        <w:rPr>
          <w:rFonts w:ascii="Verdana" w:hAnsi="Verdana"/>
        </w:rPr>
        <w:t>’</w:t>
      </w:r>
      <w:r w:rsidRPr="00C96A84">
        <w:rPr>
          <w:rFonts w:ascii="Verdana" w:hAnsi="Verdana"/>
        </w:rPr>
        <w:t xml:space="preserve">, </w:t>
      </w:r>
      <w:r>
        <w:rPr>
          <w:rFonts w:ascii="Verdana" w:hAnsi="Verdana"/>
        </w:rPr>
        <w:t xml:space="preserve">in </w:t>
      </w:r>
      <w:proofErr w:type="spellStart"/>
      <w:r w:rsidRPr="00C96A84">
        <w:rPr>
          <w:rFonts w:ascii="Verdana" w:hAnsi="Verdana"/>
        </w:rPr>
        <w:t>Ashenfelter</w:t>
      </w:r>
      <w:proofErr w:type="spellEnd"/>
      <w:r w:rsidRPr="00C96A84">
        <w:rPr>
          <w:rFonts w:ascii="Verdana" w:hAnsi="Verdana"/>
        </w:rPr>
        <w:t xml:space="preserve"> O and Card D (ed</w:t>
      </w:r>
      <w:r>
        <w:rPr>
          <w:rFonts w:ascii="Verdana" w:hAnsi="Verdana"/>
        </w:rPr>
        <w:t>itors</w:t>
      </w:r>
      <w:r w:rsidRPr="00C96A84">
        <w:rPr>
          <w:rFonts w:ascii="Verdana" w:hAnsi="Verdana"/>
        </w:rPr>
        <w:t xml:space="preserve">), Handbook of </w:t>
      </w:r>
      <w:proofErr w:type="spellStart"/>
      <w:r w:rsidRPr="00C96A84">
        <w:rPr>
          <w:rFonts w:ascii="Verdana" w:hAnsi="Verdana"/>
        </w:rPr>
        <w:t>Labor</w:t>
      </w:r>
      <w:proofErr w:type="spellEnd"/>
      <w:r>
        <w:rPr>
          <w:rFonts w:ascii="Verdana" w:hAnsi="Verdana"/>
        </w:rPr>
        <w:t xml:space="preserve"> </w:t>
      </w:r>
      <w:r w:rsidRPr="00C96A84">
        <w:rPr>
          <w:rFonts w:ascii="Verdana" w:hAnsi="Verdana"/>
        </w:rPr>
        <w:t>Economics, vol</w:t>
      </w:r>
      <w:r>
        <w:rPr>
          <w:rFonts w:ascii="Verdana" w:hAnsi="Verdana"/>
        </w:rPr>
        <w:t>ume</w:t>
      </w:r>
      <w:r w:rsidRPr="00C96A84">
        <w:rPr>
          <w:rFonts w:ascii="Verdana" w:hAnsi="Verdana"/>
        </w:rPr>
        <w:t xml:space="preserve"> 3, </w:t>
      </w:r>
      <w:r>
        <w:rPr>
          <w:rFonts w:ascii="Verdana" w:hAnsi="Verdana"/>
        </w:rPr>
        <w:t xml:space="preserve">chapter 30, </w:t>
      </w:r>
      <w:r w:rsidRPr="00C96A84">
        <w:rPr>
          <w:rFonts w:ascii="Verdana" w:hAnsi="Verdana"/>
        </w:rPr>
        <w:t>1801–</w:t>
      </w:r>
      <w:r>
        <w:rPr>
          <w:rFonts w:ascii="Verdana" w:hAnsi="Verdana"/>
        </w:rPr>
        <w:t>18</w:t>
      </w:r>
      <w:r w:rsidRPr="00C96A84">
        <w:rPr>
          <w:rFonts w:ascii="Verdana" w:hAnsi="Verdana"/>
        </w:rPr>
        <w:t>63.</w:t>
      </w:r>
    </w:p>
    <w:p w:rsidR="0024161B" w:rsidRDefault="0024161B" w:rsidP="0024161B">
      <w:pPr>
        <w:spacing w:line="300" w:lineRule="atLeast"/>
        <w:rPr>
          <w:rFonts w:ascii="Verdana" w:hAnsi="Verdana"/>
        </w:rPr>
      </w:pPr>
      <w:r w:rsidRPr="009A37C7">
        <w:rPr>
          <w:rFonts w:ascii="Verdana" w:hAnsi="Verdana"/>
        </w:rPr>
        <w:t>Chevalier A</w:t>
      </w:r>
      <w:r>
        <w:rPr>
          <w:rFonts w:ascii="Verdana" w:hAnsi="Verdana"/>
        </w:rPr>
        <w:t>,</w:t>
      </w:r>
      <w:r w:rsidRPr="009A37C7">
        <w:rPr>
          <w:rFonts w:ascii="Verdana" w:hAnsi="Verdana"/>
        </w:rPr>
        <w:t xml:space="preserve"> (20</w:t>
      </w:r>
      <w:r w:rsidR="00DF2B33">
        <w:rPr>
          <w:rFonts w:ascii="Verdana" w:hAnsi="Verdana"/>
        </w:rPr>
        <w:t>10</w:t>
      </w:r>
      <w:r w:rsidRPr="009A37C7">
        <w:rPr>
          <w:rFonts w:ascii="Verdana" w:hAnsi="Verdana"/>
        </w:rPr>
        <w:t>)</w:t>
      </w:r>
      <w:r>
        <w:rPr>
          <w:rFonts w:ascii="Verdana" w:hAnsi="Verdana"/>
        </w:rPr>
        <w:t xml:space="preserve">, </w:t>
      </w:r>
      <w:r w:rsidR="006067AC">
        <w:rPr>
          <w:rFonts w:ascii="Verdana" w:hAnsi="Verdana"/>
        </w:rPr>
        <w:t>‘</w:t>
      </w:r>
      <w:r w:rsidRPr="009A37C7">
        <w:rPr>
          <w:rFonts w:ascii="Verdana" w:hAnsi="Verdana"/>
        </w:rPr>
        <w:t xml:space="preserve"> Does higher education quality matter in the UK?</w:t>
      </w:r>
      <w:r w:rsidR="006067AC">
        <w:rPr>
          <w:rFonts w:ascii="Verdana" w:hAnsi="Verdana"/>
        </w:rPr>
        <w:t>’</w:t>
      </w:r>
      <w:r w:rsidRPr="009A37C7">
        <w:rPr>
          <w:rFonts w:ascii="Verdana" w:hAnsi="Verdana"/>
        </w:rPr>
        <w:t xml:space="preserve"> Unpublished</w:t>
      </w:r>
      <w:r>
        <w:rPr>
          <w:rFonts w:ascii="Verdana" w:hAnsi="Verdana"/>
        </w:rPr>
        <w:t xml:space="preserve"> </w:t>
      </w:r>
      <w:r w:rsidRPr="009A37C7">
        <w:rPr>
          <w:rFonts w:ascii="Verdana" w:hAnsi="Verdana"/>
        </w:rPr>
        <w:t>working paper</w:t>
      </w:r>
      <w:r w:rsidR="00DF2B33">
        <w:rPr>
          <w:rFonts w:ascii="Verdana" w:hAnsi="Verdana"/>
        </w:rPr>
        <w:t>, version 5.0</w:t>
      </w:r>
      <w:r w:rsidRPr="009A37C7">
        <w:rPr>
          <w:rFonts w:ascii="Verdana" w:hAnsi="Verdana"/>
        </w:rPr>
        <w:t xml:space="preserve">. </w:t>
      </w:r>
    </w:p>
    <w:p w:rsidR="0024161B" w:rsidRDefault="0024161B" w:rsidP="00B04F7F">
      <w:pPr>
        <w:spacing w:line="300" w:lineRule="atLeast"/>
        <w:rPr>
          <w:rFonts w:ascii="Verdana" w:hAnsi="Verdana"/>
        </w:rPr>
      </w:pPr>
      <w:r>
        <w:rPr>
          <w:rFonts w:ascii="Verdana" w:hAnsi="Verdana"/>
        </w:rPr>
        <w:t xml:space="preserve">Chevalier A, (2011), </w:t>
      </w:r>
      <w:r w:rsidR="006067AC">
        <w:rPr>
          <w:rFonts w:ascii="Verdana" w:hAnsi="Verdana"/>
        </w:rPr>
        <w:t>‘</w:t>
      </w:r>
      <w:r w:rsidRPr="0024161B">
        <w:rPr>
          <w:rFonts w:ascii="Verdana" w:hAnsi="Verdana"/>
        </w:rPr>
        <w:t>Subject choice and earnings of UK graduates</w:t>
      </w:r>
      <w:r w:rsidR="006067AC">
        <w:rPr>
          <w:rFonts w:ascii="Verdana" w:hAnsi="Verdana"/>
        </w:rPr>
        <w:t>’</w:t>
      </w:r>
      <w:r>
        <w:rPr>
          <w:rFonts w:ascii="Verdana" w:hAnsi="Verdana"/>
        </w:rPr>
        <w:t xml:space="preserve">, </w:t>
      </w:r>
      <w:r w:rsidRPr="0024161B">
        <w:rPr>
          <w:rFonts w:ascii="Verdana" w:hAnsi="Verdana"/>
        </w:rPr>
        <w:t>Economics of Education Review</w:t>
      </w:r>
      <w:r>
        <w:rPr>
          <w:rFonts w:ascii="Verdana" w:hAnsi="Verdana"/>
        </w:rPr>
        <w:t>,</w:t>
      </w:r>
      <w:r w:rsidRPr="0024161B">
        <w:rPr>
          <w:rFonts w:ascii="Verdana" w:hAnsi="Verdana"/>
        </w:rPr>
        <w:t xml:space="preserve"> 30</w:t>
      </w:r>
      <w:r>
        <w:rPr>
          <w:rFonts w:ascii="Verdana" w:hAnsi="Verdana"/>
        </w:rPr>
        <w:t>,</w:t>
      </w:r>
      <w:r w:rsidRPr="0024161B">
        <w:rPr>
          <w:rFonts w:ascii="Verdana" w:hAnsi="Verdana"/>
        </w:rPr>
        <w:t xml:space="preserve"> 1187– 1201</w:t>
      </w:r>
    </w:p>
    <w:p w:rsidR="00445A91" w:rsidRPr="00CF0AEC" w:rsidRDefault="00445A91" w:rsidP="00445A91">
      <w:pPr>
        <w:spacing w:line="300" w:lineRule="atLeast"/>
        <w:rPr>
          <w:rFonts w:ascii="Verdana" w:hAnsi="Verdana"/>
        </w:rPr>
      </w:pPr>
      <w:r w:rsidRPr="00510ED5">
        <w:rPr>
          <w:rFonts w:ascii="Verdana" w:hAnsi="Verdana"/>
        </w:rPr>
        <w:t>Chevalier, A and Conlon G</w:t>
      </w:r>
      <w:r>
        <w:rPr>
          <w:rFonts w:ascii="Verdana" w:hAnsi="Verdana"/>
        </w:rPr>
        <w:t>,</w:t>
      </w:r>
      <w:r w:rsidRPr="00510ED5">
        <w:rPr>
          <w:rFonts w:ascii="Verdana" w:hAnsi="Verdana"/>
        </w:rPr>
        <w:t xml:space="preserve"> (2003), </w:t>
      </w:r>
      <w:r w:rsidR="006067AC">
        <w:rPr>
          <w:rFonts w:ascii="Verdana" w:hAnsi="Verdana"/>
        </w:rPr>
        <w:t>‘</w:t>
      </w:r>
      <w:r w:rsidRPr="00510ED5">
        <w:rPr>
          <w:rFonts w:ascii="Verdana" w:hAnsi="Verdana"/>
        </w:rPr>
        <w:t>Does it pay to attend a</w:t>
      </w:r>
      <w:r>
        <w:rPr>
          <w:rFonts w:ascii="Verdana" w:hAnsi="Verdana"/>
        </w:rPr>
        <w:t xml:space="preserve"> prestigious university?</w:t>
      </w:r>
      <w:proofErr w:type="gramStart"/>
      <w:r w:rsidR="006067AC">
        <w:rPr>
          <w:rFonts w:ascii="Verdana" w:hAnsi="Verdana"/>
        </w:rPr>
        <w:t>’</w:t>
      </w:r>
      <w:r w:rsidRPr="00510ED5">
        <w:rPr>
          <w:rFonts w:ascii="Verdana" w:hAnsi="Verdana"/>
        </w:rPr>
        <w:t>,</w:t>
      </w:r>
      <w:proofErr w:type="gramEnd"/>
      <w:r w:rsidRPr="00510ED5">
        <w:rPr>
          <w:rFonts w:ascii="Verdana" w:hAnsi="Verdana"/>
        </w:rPr>
        <w:t xml:space="preserve"> Bonn, IZA Discussion Paper, no. 848.</w:t>
      </w:r>
      <w:r>
        <w:rPr>
          <w:rFonts w:ascii="Verdana" w:hAnsi="Verdana"/>
        </w:rPr>
        <w:t xml:space="preserve"> Available at:</w:t>
      </w:r>
      <w:r w:rsidRPr="00B04F7F">
        <w:t xml:space="preserve"> </w:t>
      </w:r>
      <w:hyperlink r:id="rId14" w:history="1">
        <w:r w:rsidRPr="00733F94">
          <w:rPr>
            <w:rStyle w:val="Hyperlink"/>
            <w:rFonts w:ascii="Verdana" w:hAnsi="Verdana"/>
          </w:rPr>
          <w:t>http://ftp.iza.org/dp848.pdf</w:t>
        </w:r>
      </w:hyperlink>
      <w:r>
        <w:rPr>
          <w:rFonts w:ascii="Verdana" w:hAnsi="Verdana"/>
        </w:rPr>
        <w:t xml:space="preserve">  (Accessed 10 April 2012)</w:t>
      </w:r>
    </w:p>
    <w:p w:rsidR="00445A91" w:rsidRDefault="00445A91" w:rsidP="00445A91">
      <w:pPr>
        <w:spacing w:line="300" w:lineRule="atLeast"/>
        <w:rPr>
          <w:rFonts w:ascii="Verdana" w:hAnsi="Verdana"/>
        </w:rPr>
      </w:pPr>
      <w:r w:rsidRPr="005D338B">
        <w:rPr>
          <w:rFonts w:ascii="Verdana" w:hAnsi="Verdana"/>
        </w:rPr>
        <w:t>Chevalier</w:t>
      </w:r>
      <w:r>
        <w:rPr>
          <w:rFonts w:ascii="Verdana" w:hAnsi="Verdana"/>
        </w:rPr>
        <w:t xml:space="preserve"> A, </w:t>
      </w:r>
      <w:r w:rsidRPr="005D338B">
        <w:rPr>
          <w:rFonts w:ascii="Verdana" w:hAnsi="Verdana"/>
        </w:rPr>
        <w:t>Conlon</w:t>
      </w:r>
      <w:r>
        <w:rPr>
          <w:rFonts w:ascii="Verdana" w:hAnsi="Verdana"/>
        </w:rPr>
        <w:t xml:space="preserve"> G</w:t>
      </w:r>
      <w:r w:rsidRPr="005D338B">
        <w:rPr>
          <w:rFonts w:ascii="Verdana" w:hAnsi="Verdana"/>
        </w:rPr>
        <w:t>, Galindo-Rueda</w:t>
      </w:r>
      <w:r>
        <w:rPr>
          <w:rFonts w:ascii="Verdana" w:hAnsi="Verdana"/>
        </w:rPr>
        <w:t xml:space="preserve"> F</w:t>
      </w:r>
      <w:r w:rsidRPr="005D338B">
        <w:rPr>
          <w:rFonts w:ascii="Verdana" w:hAnsi="Verdana"/>
        </w:rPr>
        <w:t xml:space="preserve"> and McNally</w:t>
      </w:r>
      <w:r>
        <w:rPr>
          <w:rFonts w:ascii="Verdana" w:hAnsi="Verdana"/>
        </w:rPr>
        <w:t xml:space="preserve"> S</w:t>
      </w:r>
      <w:r w:rsidRPr="005D338B">
        <w:rPr>
          <w:rFonts w:ascii="Verdana" w:hAnsi="Verdana"/>
        </w:rPr>
        <w:t>,</w:t>
      </w:r>
      <w:r>
        <w:rPr>
          <w:rFonts w:ascii="Verdana" w:hAnsi="Verdana"/>
        </w:rPr>
        <w:t xml:space="preserve"> (</w:t>
      </w:r>
      <w:r w:rsidRPr="005D338B">
        <w:rPr>
          <w:rFonts w:ascii="Verdana" w:hAnsi="Verdana"/>
        </w:rPr>
        <w:t>2002</w:t>
      </w:r>
      <w:r>
        <w:rPr>
          <w:rFonts w:ascii="Verdana" w:hAnsi="Verdana"/>
        </w:rPr>
        <w:t xml:space="preserve">), </w:t>
      </w:r>
      <w:r w:rsidR="006067AC">
        <w:rPr>
          <w:rFonts w:ascii="Verdana" w:hAnsi="Verdana"/>
        </w:rPr>
        <w:t>‘</w:t>
      </w:r>
      <w:r w:rsidRPr="005D338B">
        <w:rPr>
          <w:rFonts w:ascii="Verdana" w:hAnsi="Verdana"/>
        </w:rPr>
        <w:t>The Returns to Higher Education Teaching</w:t>
      </w:r>
      <w:r w:rsidR="006067AC">
        <w:rPr>
          <w:rFonts w:ascii="Verdana" w:hAnsi="Verdana"/>
        </w:rPr>
        <w:t>’</w:t>
      </w:r>
      <w:r>
        <w:rPr>
          <w:rFonts w:ascii="Verdana" w:hAnsi="Verdana"/>
        </w:rPr>
        <w:t xml:space="preserve">, CEE Special Report. Available at: </w:t>
      </w:r>
      <w:hyperlink r:id="rId15" w:history="1">
        <w:r w:rsidRPr="004F7DB5">
          <w:rPr>
            <w:rStyle w:val="Hyperlink"/>
            <w:rFonts w:ascii="Verdana" w:hAnsi="Verdana"/>
          </w:rPr>
          <w:t>http://cee.lse.ac.uk/pubs/The_Returns_to_Higher_Education_Teaching.pdf</w:t>
        </w:r>
      </w:hyperlink>
      <w:r>
        <w:rPr>
          <w:rFonts w:ascii="Verdana" w:hAnsi="Verdana"/>
        </w:rPr>
        <w:t xml:space="preserve"> (Accessed 10 April 2012)</w:t>
      </w:r>
    </w:p>
    <w:p w:rsidR="006B13E6" w:rsidRDefault="006B13E6" w:rsidP="006B13E6">
      <w:pPr>
        <w:spacing w:line="300" w:lineRule="atLeast"/>
        <w:rPr>
          <w:rFonts w:ascii="Verdana" w:hAnsi="Verdana"/>
        </w:rPr>
      </w:pPr>
      <w:proofErr w:type="gramStart"/>
      <w:r>
        <w:rPr>
          <w:rFonts w:ascii="Verdana" w:hAnsi="Verdana"/>
        </w:rPr>
        <w:lastRenderedPageBreak/>
        <w:t xml:space="preserve">Colon G and </w:t>
      </w:r>
      <w:proofErr w:type="spellStart"/>
      <w:r>
        <w:rPr>
          <w:rFonts w:ascii="Verdana" w:hAnsi="Verdana"/>
        </w:rPr>
        <w:t>Patrignani</w:t>
      </w:r>
      <w:proofErr w:type="spellEnd"/>
      <w:r>
        <w:rPr>
          <w:rFonts w:ascii="Verdana" w:hAnsi="Verdana"/>
        </w:rPr>
        <w:t xml:space="preserve"> P, (2011), </w:t>
      </w:r>
      <w:r w:rsidR="006067AC">
        <w:rPr>
          <w:rFonts w:ascii="Verdana" w:hAnsi="Verdana"/>
        </w:rPr>
        <w:t>‘</w:t>
      </w:r>
      <w:r w:rsidRPr="006B13E6">
        <w:rPr>
          <w:rFonts w:ascii="Verdana" w:hAnsi="Verdana"/>
        </w:rPr>
        <w:t>The Returns to Higher Education Qualifications</w:t>
      </w:r>
      <w:r w:rsidR="006067AC">
        <w:rPr>
          <w:rFonts w:ascii="Verdana" w:hAnsi="Verdana"/>
        </w:rPr>
        <w:t>’</w:t>
      </w:r>
      <w:r>
        <w:rPr>
          <w:rFonts w:ascii="Verdana" w:hAnsi="Verdana"/>
        </w:rPr>
        <w:t>, BIS Research Report number 45.</w:t>
      </w:r>
      <w:proofErr w:type="gramEnd"/>
      <w:r>
        <w:rPr>
          <w:rFonts w:ascii="Verdana" w:hAnsi="Verdana"/>
        </w:rPr>
        <w:t xml:space="preserve"> Available at: </w:t>
      </w:r>
      <w:hyperlink r:id="rId16" w:history="1">
        <w:r w:rsidRPr="006B13E6">
          <w:rPr>
            <w:rStyle w:val="Hyperlink"/>
            <w:rFonts w:ascii="Verdana" w:hAnsi="Verdana"/>
            <w:sz w:val="16"/>
            <w:szCs w:val="16"/>
          </w:rPr>
          <w:t>www.bis.gov.uk/assets/biscore/higher-education/docs/r/11-973-returns-to-higher-education-qualifications.pdf</w:t>
        </w:r>
      </w:hyperlink>
      <w:r>
        <w:rPr>
          <w:rFonts w:ascii="Verdana" w:hAnsi="Verdana"/>
          <w:sz w:val="16"/>
          <w:szCs w:val="16"/>
        </w:rPr>
        <w:t xml:space="preserve"> </w:t>
      </w:r>
      <w:r>
        <w:rPr>
          <w:rFonts w:ascii="Verdana" w:hAnsi="Verdana"/>
        </w:rPr>
        <w:t>(Accessed 25 April 2012)</w:t>
      </w:r>
    </w:p>
    <w:p w:rsidR="00006847" w:rsidRDefault="00BB5B50" w:rsidP="00BB5B50">
      <w:pPr>
        <w:spacing w:line="300" w:lineRule="atLeast"/>
        <w:rPr>
          <w:rFonts w:ascii="Verdana" w:hAnsi="Verdana"/>
        </w:rPr>
      </w:pPr>
      <w:r w:rsidRPr="00BB5B50">
        <w:rPr>
          <w:rFonts w:ascii="Verdana" w:hAnsi="Verdana"/>
        </w:rPr>
        <w:t>Davies</w:t>
      </w:r>
      <w:r>
        <w:rPr>
          <w:rFonts w:ascii="Verdana" w:hAnsi="Verdana"/>
        </w:rPr>
        <w:t xml:space="preserve"> P</w:t>
      </w:r>
      <w:r w:rsidRPr="00BB5B50">
        <w:rPr>
          <w:rFonts w:ascii="Verdana" w:hAnsi="Verdana"/>
        </w:rPr>
        <w:t xml:space="preserve">, Jean </w:t>
      </w:r>
      <w:proofErr w:type="spellStart"/>
      <w:r w:rsidRPr="00BB5B50">
        <w:rPr>
          <w:rFonts w:ascii="Verdana" w:hAnsi="Verdana"/>
        </w:rPr>
        <w:t>Mangan</w:t>
      </w:r>
      <w:proofErr w:type="spellEnd"/>
      <w:r>
        <w:rPr>
          <w:rFonts w:ascii="Verdana" w:hAnsi="Verdana"/>
        </w:rPr>
        <w:t xml:space="preserve"> </w:t>
      </w:r>
      <w:proofErr w:type="gramStart"/>
      <w:r>
        <w:rPr>
          <w:rFonts w:ascii="Verdana" w:hAnsi="Verdana"/>
        </w:rPr>
        <w:t xml:space="preserve">J </w:t>
      </w:r>
      <w:r w:rsidRPr="00BB5B50">
        <w:rPr>
          <w:rFonts w:ascii="Verdana" w:hAnsi="Verdana"/>
        </w:rPr>
        <w:t>,</w:t>
      </w:r>
      <w:proofErr w:type="gramEnd"/>
      <w:r w:rsidRPr="00BB5B50">
        <w:rPr>
          <w:rFonts w:ascii="Verdana" w:hAnsi="Verdana"/>
        </w:rPr>
        <w:t xml:space="preserve"> Amanda Hughes </w:t>
      </w:r>
      <w:r>
        <w:rPr>
          <w:rFonts w:ascii="Verdana" w:hAnsi="Verdana"/>
        </w:rPr>
        <w:t xml:space="preserve">A and </w:t>
      </w:r>
      <w:r w:rsidRPr="00BB5B50">
        <w:rPr>
          <w:rFonts w:ascii="Verdana" w:hAnsi="Verdana"/>
        </w:rPr>
        <w:t xml:space="preserve"> Slack </w:t>
      </w:r>
      <w:r>
        <w:rPr>
          <w:rFonts w:ascii="Verdana" w:hAnsi="Verdana"/>
        </w:rPr>
        <w:t xml:space="preserve">K, </w:t>
      </w:r>
      <w:r w:rsidRPr="00BB5B50">
        <w:rPr>
          <w:rFonts w:ascii="Verdana" w:hAnsi="Verdana"/>
        </w:rPr>
        <w:t>(2012)</w:t>
      </w:r>
      <w:r>
        <w:rPr>
          <w:rFonts w:ascii="Verdana" w:hAnsi="Verdana"/>
        </w:rPr>
        <w:t xml:space="preserve">, </w:t>
      </w:r>
      <w:r w:rsidR="006067AC">
        <w:rPr>
          <w:rFonts w:ascii="Verdana" w:hAnsi="Verdana"/>
        </w:rPr>
        <w:t>‘</w:t>
      </w:r>
      <w:r w:rsidRPr="00BB5B50">
        <w:rPr>
          <w:rFonts w:ascii="Verdana" w:hAnsi="Verdana"/>
        </w:rPr>
        <w:t xml:space="preserve"> Labour market</w:t>
      </w:r>
      <w:r>
        <w:rPr>
          <w:rFonts w:ascii="Verdana" w:hAnsi="Verdana"/>
        </w:rPr>
        <w:t xml:space="preserve"> </w:t>
      </w:r>
      <w:r w:rsidRPr="00BB5B50">
        <w:rPr>
          <w:rFonts w:ascii="Verdana" w:hAnsi="Verdana"/>
        </w:rPr>
        <w:t>motivation and undergraduates’ choice of degree subject</w:t>
      </w:r>
      <w:r w:rsidR="006067AC">
        <w:rPr>
          <w:rFonts w:ascii="Verdana" w:hAnsi="Verdana"/>
        </w:rPr>
        <w:t>’</w:t>
      </w:r>
      <w:r w:rsidRPr="00BB5B50">
        <w:rPr>
          <w:rFonts w:ascii="Verdana" w:hAnsi="Verdana"/>
        </w:rPr>
        <w:t>, British Educational Research Journal,</w:t>
      </w:r>
      <w:r>
        <w:rPr>
          <w:rFonts w:ascii="Verdana" w:hAnsi="Verdana"/>
        </w:rPr>
        <w:t xml:space="preserve"> fort</w:t>
      </w:r>
      <w:r w:rsidR="008C6831">
        <w:rPr>
          <w:rFonts w:ascii="Verdana" w:hAnsi="Verdana"/>
        </w:rPr>
        <w:t>h</w:t>
      </w:r>
      <w:r>
        <w:rPr>
          <w:rFonts w:ascii="Verdana" w:hAnsi="Verdana"/>
        </w:rPr>
        <w:t>coming</w:t>
      </w:r>
    </w:p>
    <w:p w:rsidR="00AB1005" w:rsidRDefault="00AB1005" w:rsidP="00AB1005">
      <w:pPr>
        <w:autoSpaceDE w:val="0"/>
        <w:autoSpaceDN w:val="0"/>
        <w:adjustRightInd w:val="0"/>
        <w:spacing w:after="240"/>
        <w:rPr>
          <w:rFonts w:ascii="Verdana" w:hAnsi="Verdana"/>
        </w:rPr>
      </w:pPr>
      <w:r>
        <w:rPr>
          <w:rFonts w:ascii="Verdana" w:hAnsi="Verdana"/>
        </w:rPr>
        <w:t xml:space="preserve">Davies R and Elias P, (2003), </w:t>
      </w:r>
      <w:r w:rsidR="006067AC">
        <w:rPr>
          <w:rFonts w:ascii="Verdana" w:hAnsi="Verdana"/>
        </w:rPr>
        <w:t>‘</w:t>
      </w:r>
      <w:r w:rsidRPr="00AB1005">
        <w:rPr>
          <w:rFonts w:ascii="Verdana" w:hAnsi="Verdana"/>
        </w:rPr>
        <w:t xml:space="preserve">Dropping Out: A </w:t>
      </w:r>
      <w:r>
        <w:rPr>
          <w:rFonts w:ascii="Verdana" w:hAnsi="Verdana"/>
        </w:rPr>
        <w:t>s</w:t>
      </w:r>
      <w:r w:rsidRPr="00AB1005">
        <w:rPr>
          <w:rFonts w:ascii="Verdana" w:hAnsi="Verdana"/>
        </w:rPr>
        <w:t xml:space="preserve">tudy of </w:t>
      </w:r>
      <w:r>
        <w:rPr>
          <w:rFonts w:ascii="Verdana" w:hAnsi="Verdana"/>
        </w:rPr>
        <w:t>e</w:t>
      </w:r>
      <w:r w:rsidRPr="00AB1005">
        <w:rPr>
          <w:rFonts w:ascii="Verdana" w:hAnsi="Verdana"/>
        </w:rPr>
        <w:t>arly</w:t>
      </w:r>
      <w:r>
        <w:rPr>
          <w:rFonts w:ascii="Verdana" w:hAnsi="Verdana"/>
        </w:rPr>
        <w:t xml:space="preserve"> l</w:t>
      </w:r>
      <w:r w:rsidRPr="00AB1005">
        <w:rPr>
          <w:rFonts w:ascii="Verdana" w:hAnsi="Verdana"/>
        </w:rPr>
        <w:t xml:space="preserve">eavers </w:t>
      </w:r>
      <w:r>
        <w:rPr>
          <w:rFonts w:ascii="Verdana" w:hAnsi="Verdana"/>
        </w:rPr>
        <w:t>f</w:t>
      </w:r>
      <w:r w:rsidRPr="00AB1005">
        <w:rPr>
          <w:rFonts w:ascii="Verdana" w:hAnsi="Verdana"/>
        </w:rPr>
        <w:t>rom Higher Education</w:t>
      </w:r>
      <w:r w:rsidR="006067AC">
        <w:rPr>
          <w:rFonts w:ascii="Verdana" w:hAnsi="Verdana"/>
        </w:rPr>
        <w:t>’</w:t>
      </w:r>
      <w:r>
        <w:rPr>
          <w:rFonts w:ascii="Verdana" w:hAnsi="Verdana"/>
        </w:rPr>
        <w:t>, DFES r</w:t>
      </w:r>
      <w:r>
        <w:rPr>
          <w:rFonts w:ascii="FuturaBT-Medium" w:hAnsi="FuturaBT-Medium" w:cs="FuturaBT-Medium"/>
          <w:sz w:val="24"/>
          <w:szCs w:val="24"/>
        </w:rPr>
        <w:t xml:space="preserve">esearch report RR386. Available at: </w:t>
      </w:r>
      <w:hyperlink r:id="rId17" w:history="1">
        <w:r w:rsidRPr="00897A00">
          <w:rPr>
            <w:rStyle w:val="Hyperlink"/>
            <w:rFonts w:ascii="FuturaBT-Medium" w:hAnsi="FuturaBT-Medium" w:cs="FuturaBT-Medium"/>
            <w:sz w:val="24"/>
            <w:szCs w:val="24"/>
          </w:rPr>
          <w:t>www.education.gov.uk/publications/eOrderingDownload/RR386.pdf</w:t>
        </w:r>
      </w:hyperlink>
      <w:r>
        <w:rPr>
          <w:rFonts w:ascii="FuturaBT-Medium" w:hAnsi="FuturaBT-Medium" w:cs="FuturaBT-Medium"/>
          <w:sz w:val="24"/>
          <w:szCs w:val="24"/>
        </w:rPr>
        <w:t xml:space="preserve"> </w:t>
      </w:r>
      <w:r>
        <w:rPr>
          <w:rFonts w:ascii="Verdana" w:hAnsi="Verdana"/>
        </w:rPr>
        <w:t>(Accessed 24 April 2012)</w:t>
      </w:r>
    </w:p>
    <w:p w:rsidR="006839BD" w:rsidRDefault="005F5E52" w:rsidP="006839BD">
      <w:pPr>
        <w:autoSpaceDE w:val="0"/>
        <w:autoSpaceDN w:val="0"/>
        <w:adjustRightInd w:val="0"/>
        <w:spacing w:after="240"/>
        <w:rPr>
          <w:rFonts w:ascii="Verdana" w:hAnsi="Verdana"/>
        </w:rPr>
      </w:pPr>
      <w:proofErr w:type="spellStart"/>
      <w:r>
        <w:rPr>
          <w:rFonts w:ascii="Verdana" w:hAnsi="Verdana"/>
        </w:rPr>
        <w:t>Dearden</w:t>
      </w:r>
      <w:proofErr w:type="spellEnd"/>
      <w:r>
        <w:rPr>
          <w:rFonts w:ascii="Verdana" w:hAnsi="Verdana"/>
        </w:rPr>
        <w:t xml:space="preserve"> L, (1999), </w:t>
      </w:r>
      <w:r w:rsidR="006067AC">
        <w:rPr>
          <w:rFonts w:ascii="Verdana" w:hAnsi="Verdana"/>
        </w:rPr>
        <w:t>‘</w:t>
      </w:r>
      <w:r w:rsidR="006839BD" w:rsidRPr="006839BD">
        <w:rPr>
          <w:rFonts w:ascii="Verdana" w:hAnsi="Verdana"/>
        </w:rPr>
        <w:t>Qualifications and earnings in Britain: how reliable are conventional OLS estimates of the returns to education?</w:t>
      </w:r>
      <w:proofErr w:type="gramStart"/>
      <w:r w:rsidR="006067AC">
        <w:rPr>
          <w:rFonts w:ascii="Verdana" w:hAnsi="Verdana"/>
        </w:rPr>
        <w:t>’</w:t>
      </w:r>
      <w:r w:rsidR="006839BD">
        <w:rPr>
          <w:rFonts w:ascii="Verdana" w:hAnsi="Verdana"/>
        </w:rPr>
        <w:t>,</w:t>
      </w:r>
      <w:proofErr w:type="gramEnd"/>
      <w:r w:rsidR="006839BD">
        <w:rPr>
          <w:rFonts w:ascii="Verdana" w:hAnsi="Verdana"/>
        </w:rPr>
        <w:t xml:space="preserve"> The Institute of Fiscal Studies Working Paper W99/7. Available at:</w:t>
      </w:r>
      <w:r w:rsidR="006839BD" w:rsidRPr="006839BD">
        <w:t xml:space="preserve"> </w:t>
      </w:r>
      <w:hyperlink r:id="rId18" w:history="1">
        <w:r w:rsidR="006839BD" w:rsidRPr="00E527C1">
          <w:rPr>
            <w:rStyle w:val="Hyperlink"/>
            <w:rFonts w:ascii="Verdana" w:hAnsi="Verdana"/>
          </w:rPr>
          <w:t>www.ifs.org.uk/publications/2719</w:t>
        </w:r>
      </w:hyperlink>
      <w:r w:rsidR="006839BD">
        <w:rPr>
          <w:rFonts w:ascii="Verdana" w:hAnsi="Verdana"/>
        </w:rPr>
        <w:t xml:space="preserve"> (Accessed 27 April 2012)</w:t>
      </w:r>
    </w:p>
    <w:p w:rsidR="00DD1869" w:rsidRDefault="00DD1869" w:rsidP="00DD1869">
      <w:pPr>
        <w:spacing w:line="300" w:lineRule="atLeast"/>
        <w:rPr>
          <w:rFonts w:ascii="Verdana" w:hAnsi="Verdana"/>
        </w:rPr>
      </w:pPr>
      <w:r w:rsidRPr="001114C9">
        <w:rPr>
          <w:rFonts w:ascii="Verdana" w:hAnsi="Verdana"/>
        </w:rPr>
        <w:t>Devereux</w:t>
      </w:r>
      <w:r>
        <w:rPr>
          <w:rFonts w:ascii="Verdana" w:hAnsi="Verdana"/>
        </w:rPr>
        <w:t xml:space="preserve"> P and </w:t>
      </w:r>
      <w:r w:rsidRPr="001114C9">
        <w:rPr>
          <w:rFonts w:ascii="Verdana" w:hAnsi="Verdana"/>
        </w:rPr>
        <w:t xml:space="preserve">Fan </w:t>
      </w:r>
      <w:r>
        <w:rPr>
          <w:rFonts w:ascii="Verdana" w:hAnsi="Verdana"/>
        </w:rPr>
        <w:t xml:space="preserve">W, (2011), </w:t>
      </w:r>
      <w:r w:rsidR="006067AC">
        <w:rPr>
          <w:rFonts w:ascii="Verdana" w:hAnsi="Verdana"/>
        </w:rPr>
        <w:t>‘</w:t>
      </w:r>
      <w:r w:rsidRPr="001114C9">
        <w:rPr>
          <w:rFonts w:ascii="Verdana" w:hAnsi="Verdana"/>
        </w:rPr>
        <w:t>Earnings returns to the British education expansion</w:t>
      </w:r>
      <w:r w:rsidR="006067AC">
        <w:rPr>
          <w:rFonts w:ascii="Verdana" w:hAnsi="Verdana"/>
        </w:rPr>
        <w:t>’</w:t>
      </w:r>
      <w:r>
        <w:rPr>
          <w:rFonts w:ascii="Verdana" w:hAnsi="Verdana"/>
        </w:rPr>
        <w:t xml:space="preserve">, </w:t>
      </w:r>
      <w:r w:rsidRPr="001114C9">
        <w:rPr>
          <w:rFonts w:ascii="Verdana" w:hAnsi="Verdana"/>
        </w:rPr>
        <w:t>Economics of Education Review</w:t>
      </w:r>
      <w:r>
        <w:rPr>
          <w:rFonts w:ascii="Verdana" w:hAnsi="Verdana"/>
        </w:rPr>
        <w:t xml:space="preserve">, </w:t>
      </w:r>
      <w:r w:rsidRPr="001114C9">
        <w:rPr>
          <w:rFonts w:ascii="Verdana" w:hAnsi="Verdana"/>
        </w:rPr>
        <w:t>30</w:t>
      </w:r>
      <w:r>
        <w:rPr>
          <w:rFonts w:ascii="Verdana" w:hAnsi="Verdana"/>
        </w:rPr>
        <w:t>,</w:t>
      </w:r>
      <w:r w:rsidRPr="001114C9">
        <w:rPr>
          <w:rFonts w:ascii="Verdana" w:hAnsi="Verdana"/>
        </w:rPr>
        <w:t xml:space="preserve"> 1153– 1166</w:t>
      </w:r>
    </w:p>
    <w:p w:rsidR="0002412E" w:rsidRPr="001114C9" w:rsidRDefault="0002412E" w:rsidP="00DD1869">
      <w:pPr>
        <w:spacing w:line="300" w:lineRule="atLeast"/>
        <w:rPr>
          <w:rFonts w:ascii="Verdana" w:hAnsi="Verdana"/>
        </w:rPr>
      </w:pPr>
      <w:r>
        <w:rPr>
          <w:rFonts w:ascii="Verdana" w:hAnsi="Verdana"/>
        </w:rPr>
        <w:t xml:space="preserve">Dolton P J and </w:t>
      </w:r>
      <w:proofErr w:type="spellStart"/>
      <w:r>
        <w:rPr>
          <w:rFonts w:ascii="Verdana" w:hAnsi="Verdana"/>
        </w:rPr>
        <w:t>Vignoles</w:t>
      </w:r>
      <w:proofErr w:type="spellEnd"/>
      <w:r>
        <w:rPr>
          <w:rFonts w:ascii="Verdana" w:hAnsi="Verdana"/>
        </w:rPr>
        <w:t xml:space="preserve"> A (2002), </w:t>
      </w:r>
      <w:r w:rsidR="006067AC">
        <w:rPr>
          <w:rFonts w:ascii="Verdana" w:hAnsi="Verdana"/>
        </w:rPr>
        <w:t>‘</w:t>
      </w:r>
      <w:r>
        <w:rPr>
          <w:rFonts w:ascii="Verdana" w:hAnsi="Verdana"/>
        </w:rPr>
        <w:t>The return on post-compulsory school mathematics study</w:t>
      </w:r>
      <w:r w:rsidR="006067AC">
        <w:rPr>
          <w:rFonts w:ascii="Verdana" w:hAnsi="Verdana"/>
        </w:rPr>
        <w:t>’</w:t>
      </w:r>
      <w:r>
        <w:rPr>
          <w:rFonts w:ascii="Verdana" w:hAnsi="Verdana"/>
        </w:rPr>
        <w:t xml:space="preserve">, </w:t>
      </w:r>
      <w:proofErr w:type="spellStart"/>
      <w:r>
        <w:rPr>
          <w:rFonts w:ascii="Verdana" w:hAnsi="Verdana"/>
        </w:rPr>
        <w:t>Economica</w:t>
      </w:r>
      <w:proofErr w:type="spellEnd"/>
      <w:r>
        <w:rPr>
          <w:rFonts w:ascii="Verdana" w:hAnsi="Verdana"/>
        </w:rPr>
        <w:t>, 69, 113-141</w:t>
      </w:r>
    </w:p>
    <w:p w:rsidR="00A17650" w:rsidRPr="00A17650" w:rsidRDefault="00A17650" w:rsidP="00A46682">
      <w:pPr>
        <w:autoSpaceDE w:val="0"/>
        <w:autoSpaceDN w:val="0"/>
        <w:adjustRightInd w:val="0"/>
        <w:spacing w:after="240"/>
        <w:rPr>
          <w:rFonts w:ascii="Verdana" w:hAnsi="Verdana" w:cs="Courier New"/>
          <w:sz w:val="18"/>
          <w:szCs w:val="18"/>
        </w:rPr>
      </w:pPr>
      <w:r>
        <w:rPr>
          <w:rFonts w:ascii="Verdana" w:hAnsi="Verdana" w:cs="Courier New"/>
        </w:rPr>
        <w:t xml:space="preserve">Hawes D (2008), </w:t>
      </w:r>
      <w:r w:rsidR="006067AC">
        <w:rPr>
          <w:rFonts w:ascii="Verdana" w:hAnsi="Verdana" w:cs="Courier New"/>
        </w:rPr>
        <w:t>‘</w:t>
      </w:r>
      <w:r>
        <w:rPr>
          <w:rFonts w:ascii="Verdana" w:hAnsi="Verdana" w:cs="Courier New"/>
        </w:rPr>
        <w:t>Graduates with good degrees and poor A-level results</w:t>
      </w:r>
      <w:r w:rsidR="006067AC">
        <w:rPr>
          <w:rFonts w:ascii="Verdana" w:hAnsi="Verdana" w:cs="Courier New"/>
        </w:rPr>
        <w:t>’</w:t>
      </w:r>
      <w:r>
        <w:rPr>
          <w:rFonts w:ascii="Verdana" w:hAnsi="Verdana" w:cs="Courier New"/>
        </w:rPr>
        <w:t xml:space="preserve">, available at: </w:t>
      </w:r>
      <w:hyperlink r:id="rId19" w:history="1">
        <w:r w:rsidRPr="00897A00">
          <w:rPr>
            <w:rStyle w:val="Hyperlink"/>
            <w:rFonts w:ascii="Verdana" w:hAnsi="Verdana" w:cs="Courier New"/>
            <w:sz w:val="18"/>
            <w:szCs w:val="18"/>
          </w:rPr>
          <w:t>http://danhawes.blogspot.co.u</w:t>
        </w:r>
        <w:r w:rsidR="00372F31">
          <w:rPr>
            <w:rStyle w:val="Hyperlink"/>
            <w:rFonts w:ascii="Verdana" w:hAnsi="Verdana" w:cs="Courier New"/>
            <w:sz w:val="18"/>
            <w:szCs w:val="18"/>
          </w:rPr>
          <w:t xml:space="preserve"> </w:t>
        </w:r>
        <w:r w:rsidRPr="00897A00">
          <w:rPr>
            <w:rStyle w:val="Hyperlink"/>
            <w:rFonts w:ascii="Verdana" w:hAnsi="Verdana" w:cs="Courier New"/>
            <w:sz w:val="18"/>
            <w:szCs w:val="18"/>
          </w:rPr>
          <w:t>k/2008/03/graduates-with-good-degrees-and-poor.html</w:t>
        </w:r>
      </w:hyperlink>
      <w:r>
        <w:rPr>
          <w:rFonts w:ascii="Verdana" w:hAnsi="Verdana" w:cs="Courier New"/>
          <w:sz w:val="18"/>
          <w:szCs w:val="18"/>
        </w:rPr>
        <w:t xml:space="preserve"> </w:t>
      </w:r>
      <w:r>
        <w:rPr>
          <w:rFonts w:ascii="Verdana" w:hAnsi="Verdana"/>
        </w:rPr>
        <w:t>(Accessed 24 April 2012)</w:t>
      </w:r>
    </w:p>
    <w:p w:rsidR="0081451F" w:rsidRDefault="0081451F" w:rsidP="0081451F">
      <w:pPr>
        <w:autoSpaceDE w:val="0"/>
        <w:autoSpaceDN w:val="0"/>
        <w:adjustRightInd w:val="0"/>
        <w:spacing w:after="240"/>
        <w:rPr>
          <w:rFonts w:ascii="Verdana" w:hAnsi="Verdana"/>
        </w:rPr>
      </w:pPr>
      <w:r>
        <w:rPr>
          <w:rFonts w:ascii="Verdana" w:hAnsi="Verdana" w:cs="Courier New"/>
        </w:rPr>
        <w:t xml:space="preserve">HEFCE, (2009), </w:t>
      </w:r>
      <w:r w:rsidR="006067AC">
        <w:rPr>
          <w:rFonts w:ascii="Verdana" w:hAnsi="Verdana" w:cs="Courier New"/>
        </w:rPr>
        <w:t>‘</w:t>
      </w:r>
      <w:r w:rsidRPr="0081451F">
        <w:rPr>
          <w:rFonts w:ascii="Verdana" w:hAnsi="Verdana"/>
        </w:rPr>
        <w:t>Part-time first degree study</w:t>
      </w:r>
      <w:r>
        <w:rPr>
          <w:rFonts w:ascii="Verdana" w:hAnsi="Verdana"/>
        </w:rPr>
        <w:t xml:space="preserve"> -</w:t>
      </w:r>
      <w:r w:rsidRPr="0081451F">
        <w:rPr>
          <w:rFonts w:ascii="Verdana" w:hAnsi="Verdana"/>
        </w:rPr>
        <w:t xml:space="preserve"> Entry and completion</w:t>
      </w:r>
      <w:r w:rsidR="006067AC">
        <w:rPr>
          <w:rFonts w:ascii="Verdana" w:hAnsi="Verdana"/>
        </w:rPr>
        <w:t>’</w:t>
      </w:r>
      <w:r>
        <w:rPr>
          <w:rFonts w:ascii="Verdana" w:hAnsi="Verdana"/>
        </w:rPr>
        <w:t xml:space="preserve">, HEFCE Report </w:t>
      </w:r>
      <w:r w:rsidRPr="0081451F">
        <w:rPr>
          <w:rFonts w:ascii="Verdana" w:hAnsi="Verdana"/>
        </w:rPr>
        <w:t>2009/18</w:t>
      </w:r>
      <w:r>
        <w:rPr>
          <w:rFonts w:ascii="Verdana" w:hAnsi="Verdana"/>
        </w:rPr>
        <w:t xml:space="preserve">. Available at: </w:t>
      </w:r>
      <w:hyperlink r:id="rId20" w:history="1">
        <w:r w:rsidRPr="00897A00">
          <w:rPr>
            <w:rStyle w:val="Hyperlink"/>
            <w:rFonts w:ascii="Verdana" w:hAnsi="Verdana"/>
          </w:rPr>
          <w:t>www.hefce.ac.uk/pubs/hefce/2009/09_18/</w:t>
        </w:r>
      </w:hyperlink>
      <w:r>
        <w:rPr>
          <w:rFonts w:ascii="Verdana" w:hAnsi="Verdana"/>
        </w:rPr>
        <w:t xml:space="preserve"> </w:t>
      </w:r>
      <w:r w:rsidR="00B02DFE">
        <w:rPr>
          <w:rFonts w:ascii="Verdana" w:hAnsi="Verdana"/>
        </w:rPr>
        <w:t xml:space="preserve">   </w:t>
      </w:r>
      <w:r>
        <w:rPr>
          <w:rFonts w:ascii="Verdana" w:hAnsi="Verdana"/>
        </w:rPr>
        <w:t>(Accessed 24 April 2012)</w:t>
      </w:r>
    </w:p>
    <w:p w:rsidR="00BF21CC" w:rsidRDefault="009F65C0" w:rsidP="00B02DFE">
      <w:pPr>
        <w:autoSpaceDE w:val="0"/>
        <w:autoSpaceDN w:val="0"/>
        <w:adjustRightInd w:val="0"/>
        <w:spacing w:after="240"/>
        <w:rPr>
          <w:rFonts w:ascii="Verdana" w:hAnsi="Verdana"/>
        </w:rPr>
      </w:pPr>
      <w:r>
        <w:rPr>
          <w:rFonts w:ascii="Verdana" w:hAnsi="Verdana"/>
        </w:rPr>
        <w:t xml:space="preserve">HESA, (2012), </w:t>
      </w:r>
      <w:r w:rsidR="006067AC">
        <w:rPr>
          <w:rFonts w:ascii="Verdana" w:hAnsi="Verdana"/>
        </w:rPr>
        <w:t>‘</w:t>
      </w:r>
      <w:r w:rsidRPr="009F65C0">
        <w:rPr>
          <w:rFonts w:ascii="Verdana" w:hAnsi="Verdana"/>
        </w:rPr>
        <w:t>Table SN6 - Sector projected learning outcomes: full-time students starting first degree courses by academic year</w:t>
      </w:r>
      <w:r w:rsidR="006067AC">
        <w:rPr>
          <w:rFonts w:ascii="Verdana" w:hAnsi="Verdana"/>
        </w:rPr>
        <w:t>’</w:t>
      </w:r>
      <w:r>
        <w:rPr>
          <w:rFonts w:ascii="Verdana" w:hAnsi="Verdana"/>
        </w:rPr>
        <w:t xml:space="preserve">, </w:t>
      </w:r>
      <w:r w:rsidR="00BF21CC" w:rsidRPr="00BF21CC">
        <w:rPr>
          <w:rFonts w:ascii="Verdana" w:hAnsi="Verdana"/>
        </w:rPr>
        <w:t>Performance Indicators in Higher Education in the UK</w:t>
      </w:r>
      <w:r w:rsidR="00BF21CC">
        <w:rPr>
          <w:rFonts w:ascii="Verdana" w:hAnsi="Verdana"/>
        </w:rPr>
        <w:t xml:space="preserve">, </w:t>
      </w:r>
      <w:r w:rsidR="00BF21CC" w:rsidRPr="00BF21CC">
        <w:rPr>
          <w:rFonts w:ascii="Verdana" w:hAnsi="Verdana"/>
        </w:rPr>
        <w:t>Non-continuation rates (including projected outcomes)</w:t>
      </w:r>
      <w:r w:rsidR="00BF21CC">
        <w:rPr>
          <w:rFonts w:ascii="Verdana" w:hAnsi="Verdana"/>
        </w:rPr>
        <w:t xml:space="preserve">, </w:t>
      </w:r>
      <w:r w:rsidR="00BF21CC" w:rsidRPr="00BF21CC">
        <w:rPr>
          <w:rFonts w:ascii="Verdana" w:hAnsi="Verdana"/>
        </w:rPr>
        <w:t>Supplementary tables - sector level</w:t>
      </w:r>
      <w:r w:rsidR="00BF21CC">
        <w:rPr>
          <w:rFonts w:ascii="Verdana" w:hAnsi="Verdana"/>
        </w:rPr>
        <w:t xml:space="preserve">.                                         Available at: </w:t>
      </w:r>
      <w:hyperlink r:id="rId21" w:history="1">
        <w:r w:rsidR="00BF21CC" w:rsidRPr="00897A00">
          <w:rPr>
            <w:rStyle w:val="Hyperlink"/>
            <w:rFonts w:ascii="Verdana" w:hAnsi="Verdana"/>
          </w:rPr>
          <w:t>www.hesa.ac.uk/content/view/2072/141/</w:t>
        </w:r>
      </w:hyperlink>
      <w:r w:rsidR="00BF21CC">
        <w:rPr>
          <w:rFonts w:ascii="Verdana" w:hAnsi="Verdana"/>
        </w:rPr>
        <w:t xml:space="preserve"> (Accessed 24 April 2012)</w:t>
      </w:r>
    </w:p>
    <w:p w:rsidR="001E0D9A" w:rsidRDefault="001E0D9A" w:rsidP="001E0D9A">
      <w:pPr>
        <w:autoSpaceDE w:val="0"/>
        <w:autoSpaceDN w:val="0"/>
        <w:adjustRightInd w:val="0"/>
        <w:spacing w:after="240"/>
        <w:rPr>
          <w:rFonts w:ascii="Verdana" w:hAnsi="Verdana"/>
        </w:rPr>
      </w:pPr>
      <w:proofErr w:type="spellStart"/>
      <w:r w:rsidRPr="001E0D9A">
        <w:rPr>
          <w:rFonts w:ascii="Verdana" w:hAnsi="Verdana"/>
        </w:rPr>
        <w:t>Hussain</w:t>
      </w:r>
      <w:proofErr w:type="spellEnd"/>
      <w:r w:rsidRPr="001E0D9A">
        <w:rPr>
          <w:rFonts w:ascii="Verdana" w:hAnsi="Verdana"/>
        </w:rPr>
        <w:t xml:space="preserve"> I, McNally S</w:t>
      </w:r>
      <w:r w:rsidR="007D0DA0">
        <w:rPr>
          <w:rFonts w:ascii="Verdana" w:hAnsi="Verdana"/>
        </w:rPr>
        <w:t xml:space="preserve"> and </w:t>
      </w:r>
      <w:proofErr w:type="spellStart"/>
      <w:r w:rsidRPr="001E0D9A">
        <w:rPr>
          <w:rFonts w:ascii="Verdana" w:hAnsi="Verdana"/>
        </w:rPr>
        <w:t>Telhaj</w:t>
      </w:r>
      <w:proofErr w:type="spellEnd"/>
      <w:r w:rsidRPr="001E0D9A">
        <w:rPr>
          <w:rFonts w:ascii="Verdana" w:hAnsi="Verdana"/>
        </w:rPr>
        <w:t xml:space="preserve"> S</w:t>
      </w:r>
      <w:r w:rsidR="007D0DA0">
        <w:rPr>
          <w:rFonts w:ascii="Verdana" w:hAnsi="Verdana"/>
        </w:rPr>
        <w:t xml:space="preserve">, </w:t>
      </w:r>
      <w:r w:rsidRPr="001E0D9A">
        <w:rPr>
          <w:rFonts w:ascii="Verdana" w:hAnsi="Verdana"/>
        </w:rPr>
        <w:t xml:space="preserve">(2009) </w:t>
      </w:r>
      <w:r w:rsidR="006067AC">
        <w:rPr>
          <w:rFonts w:ascii="Verdana" w:hAnsi="Verdana"/>
        </w:rPr>
        <w:t>‘</w:t>
      </w:r>
      <w:r w:rsidRPr="001E0D9A">
        <w:rPr>
          <w:rFonts w:ascii="Verdana" w:hAnsi="Verdana"/>
        </w:rPr>
        <w:t>University quality and graduate wages in the UK</w:t>
      </w:r>
      <w:r w:rsidR="006067AC">
        <w:rPr>
          <w:rFonts w:ascii="Verdana" w:hAnsi="Verdana"/>
        </w:rPr>
        <w:t>’</w:t>
      </w:r>
      <w:proofErr w:type="gramStart"/>
      <w:r w:rsidR="007D0DA0">
        <w:rPr>
          <w:rFonts w:ascii="Verdana" w:hAnsi="Verdana"/>
        </w:rPr>
        <w:t xml:space="preserve">, </w:t>
      </w:r>
      <w:r>
        <w:rPr>
          <w:rFonts w:ascii="Verdana" w:hAnsi="Verdana"/>
        </w:rPr>
        <w:t xml:space="preserve"> CEE</w:t>
      </w:r>
      <w:proofErr w:type="gramEnd"/>
      <w:r>
        <w:rPr>
          <w:rFonts w:ascii="Verdana" w:hAnsi="Verdana"/>
        </w:rPr>
        <w:t xml:space="preserve"> D</w:t>
      </w:r>
      <w:r w:rsidRPr="001E0D9A">
        <w:rPr>
          <w:rFonts w:ascii="Verdana" w:hAnsi="Verdana"/>
        </w:rPr>
        <w:t>iscussion Pape</w:t>
      </w:r>
      <w:r>
        <w:rPr>
          <w:rFonts w:ascii="Verdana" w:hAnsi="Verdana"/>
        </w:rPr>
        <w:t xml:space="preserve">r No.0099.  Available at: </w:t>
      </w:r>
      <w:hyperlink r:id="rId22" w:history="1">
        <w:r w:rsidRPr="004F7DB5">
          <w:rPr>
            <w:rStyle w:val="Hyperlink"/>
            <w:rFonts w:ascii="Verdana" w:hAnsi="Verdana"/>
          </w:rPr>
          <w:t>http://cee.lse.ac.uk/ceedps/ceedp99.pdf</w:t>
        </w:r>
      </w:hyperlink>
      <w:r>
        <w:rPr>
          <w:rFonts w:ascii="Verdana" w:hAnsi="Verdana"/>
        </w:rPr>
        <w:t xml:space="preserve"> (Accessed 10 April 2012)</w:t>
      </w:r>
    </w:p>
    <w:p w:rsidR="00BA38CB" w:rsidRDefault="00BA38CB" w:rsidP="001E0D9A">
      <w:pPr>
        <w:autoSpaceDE w:val="0"/>
        <w:autoSpaceDN w:val="0"/>
        <w:adjustRightInd w:val="0"/>
        <w:spacing w:after="240"/>
        <w:rPr>
          <w:rFonts w:ascii="Verdana" w:hAnsi="Verdana"/>
        </w:rPr>
      </w:pPr>
      <w:proofErr w:type="spellStart"/>
      <w:r>
        <w:rPr>
          <w:rFonts w:ascii="Verdana" w:hAnsi="Verdana"/>
        </w:rPr>
        <w:t>McGettigan</w:t>
      </w:r>
      <w:proofErr w:type="spellEnd"/>
      <w:r>
        <w:rPr>
          <w:rFonts w:ascii="Verdana" w:hAnsi="Verdana"/>
        </w:rPr>
        <w:t xml:space="preserve"> A, </w:t>
      </w:r>
      <w:r w:rsidR="00445A91">
        <w:rPr>
          <w:rFonts w:ascii="Verdana" w:hAnsi="Verdana"/>
        </w:rPr>
        <w:t xml:space="preserve"> (</w:t>
      </w:r>
      <w:r>
        <w:rPr>
          <w:rFonts w:ascii="Verdana" w:hAnsi="Verdana"/>
        </w:rPr>
        <w:t xml:space="preserve">2012), </w:t>
      </w:r>
      <w:r w:rsidR="003E4B22">
        <w:rPr>
          <w:rFonts w:ascii="Verdana" w:hAnsi="Verdana"/>
        </w:rPr>
        <w:t>“</w:t>
      </w:r>
      <w:r w:rsidR="006067AC">
        <w:rPr>
          <w:rFonts w:ascii="Verdana" w:hAnsi="Verdana"/>
        </w:rPr>
        <w:t>‘</w:t>
      </w:r>
      <w:r w:rsidR="00FF02CA" w:rsidRPr="00FF02CA">
        <w:rPr>
          <w:rFonts w:ascii="Verdana" w:hAnsi="Verdana"/>
        </w:rPr>
        <w:t>False Accounting?</w:t>
      </w:r>
      <w:r w:rsidR="003E4B22">
        <w:rPr>
          <w:rFonts w:ascii="Verdana" w:hAnsi="Verdana"/>
        </w:rPr>
        <w:t xml:space="preserve"> </w:t>
      </w:r>
      <w:r w:rsidR="00FF02CA" w:rsidRPr="00FF02CA">
        <w:rPr>
          <w:rFonts w:ascii="Verdana" w:hAnsi="Verdana"/>
        </w:rPr>
        <w:t>Why the government’s Higher Education reforms don’t add up</w:t>
      </w:r>
      <w:r w:rsidR="003E4B22">
        <w:rPr>
          <w:rFonts w:ascii="Verdana" w:hAnsi="Verdana"/>
        </w:rPr>
        <w:t>.”</w:t>
      </w:r>
      <w:r w:rsidR="00DB31C1">
        <w:rPr>
          <w:rFonts w:ascii="Verdana" w:hAnsi="Verdana"/>
        </w:rPr>
        <w:t xml:space="preserve"> Report commissioned by the intergenerational foundation. Available at: </w:t>
      </w:r>
      <w:hyperlink r:id="rId23" w:history="1">
        <w:r w:rsidR="00DB31C1" w:rsidRPr="006C4688">
          <w:rPr>
            <w:rStyle w:val="Hyperlink"/>
            <w:rFonts w:ascii="Verdana" w:hAnsi="Verdana"/>
          </w:rPr>
          <w:t>www.if.org.uk/archives/category/research</w:t>
        </w:r>
      </w:hyperlink>
      <w:r w:rsidR="00DB31C1">
        <w:rPr>
          <w:rFonts w:ascii="Verdana" w:hAnsi="Verdana"/>
        </w:rPr>
        <w:t xml:space="preserve"> (Accessed 18 May 2012)</w:t>
      </w:r>
    </w:p>
    <w:p w:rsidR="00DB31C1" w:rsidRDefault="00DB31C1" w:rsidP="001E0D9A">
      <w:pPr>
        <w:autoSpaceDE w:val="0"/>
        <w:autoSpaceDN w:val="0"/>
        <w:adjustRightInd w:val="0"/>
        <w:spacing w:after="240"/>
        <w:rPr>
          <w:rFonts w:ascii="Verdana" w:hAnsi="Verdana"/>
        </w:rPr>
      </w:pPr>
    </w:p>
    <w:p w:rsidR="00B02DFE" w:rsidRDefault="00A62E81" w:rsidP="00B02DFE">
      <w:pPr>
        <w:autoSpaceDE w:val="0"/>
        <w:autoSpaceDN w:val="0"/>
        <w:adjustRightInd w:val="0"/>
        <w:spacing w:after="240"/>
        <w:rPr>
          <w:rFonts w:ascii="Verdana" w:hAnsi="Verdana"/>
          <w:sz w:val="20"/>
        </w:rPr>
      </w:pPr>
      <w:r w:rsidRPr="00A62E81">
        <w:rPr>
          <w:rFonts w:ascii="Verdana" w:hAnsi="Verdana"/>
        </w:rPr>
        <w:t>O’Leary</w:t>
      </w:r>
      <w:r>
        <w:rPr>
          <w:rFonts w:ascii="Verdana" w:hAnsi="Verdana"/>
        </w:rPr>
        <w:t xml:space="preserve"> N C and </w:t>
      </w:r>
      <w:r w:rsidRPr="00A62E81">
        <w:rPr>
          <w:rFonts w:ascii="Verdana" w:hAnsi="Verdana"/>
        </w:rPr>
        <w:t>Sloane</w:t>
      </w:r>
      <w:r>
        <w:rPr>
          <w:rFonts w:ascii="Verdana" w:hAnsi="Verdana"/>
        </w:rPr>
        <w:t xml:space="preserve"> P J, (2005), </w:t>
      </w:r>
      <w:r w:rsidR="006067AC">
        <w:rPr>
          <w:rFonts w:ascii="Verdana" w:hAnsi="Verdana"/>
        </w:rPr>
        <w:t>‘</w:t>
      </w:r>
      <w:r w:rsidRPr="00A62E81">
        <w:rPr>
          <w:rFonts w:ascii="Verdana" w:hAnsi="Verdana"/>
        </w:rPr>
        <w:t>T</w:t>
      </w:r>
      <w:r>
        <w:rPr>
          <w:rFonts w:ascii="Verdana" w:hAnsi="Verdana"/>
        </w:rPr>
        <w:t>he</w:t>
      </w:r>
      <w:r w:rsidRPr="00A62E81">
        <w:rPr>
          <w:rFonts w:ascii="Verdana" w:hAnsi="Verdana"/>
        </w:rPr>
        <w:t xml:space="preserve"> </w:t>
      </w:r>
      <w:r w:rsidR="0057398F">
        <w:rPr>
          <w:rFonts w:ascii="Verdana" w:hAnsi="Verdana"/>
        </w:rPr>
        <w:t>return to a university education in Great Britain</w:t>
      </w:r>
      <w:r w:rsidR="006067AC">
        <w:rPr>
          <w:rFonts w:ascii="Verdana" w:hAnsi="Verdana"/>
        </w:rPr>
        <w:t>’</w:t>
      </w:r>
      <w:r w:rsidR="0057398F">
        <w:rPr>
          <w:rFonts w:ascii="Verdana" w:hAnsi="Verdana"/>
        </w:rPr>
        <w:t xml:space="preserve">, </w:t>
      </w:r>
      <w:r w:rsidR="0057398F" w:rsidRPr="0057398F">
        <w:rPr>
          <w:rFonts w:ascii="Verdana" w:hAnsi="Verdana"/>
        </w:rPr>
        <w:t>N</w:t>
      </w:r>
      <w:r w:rsidR="0057398F">
        <w:rPr>
          <w:rFonts w:ascii="Verdana" w:hAnsi="Verdana"/>
        </w:rPr>
        <w:t xml:space="preserve">ational </w:t>
      </w:r>
      <w:r w:rsidR="0057398F" w:rsidRPr="0057398F">
        <w:rPr>
          <w:rFonts w:ascii="Verdana" w:hAnsi="Verdana"/>
        </w:rPr>
        <w:t>I</w:t>
      </w:r>
      <w:r w:rsidR="0057398F">
        <w:rPr>
          <w:rFonts w:ascii="Verdana" w:hAnsi="Verdana"/>
        </w:rPr>
        <w:t>nstitute</w:t>
      </w:r>
      <w:r w:rsidR="0057398F" w:rsidRPr="0057398F">
        <w:rPr>
          <w:rFonts w:ascii="Verdana" w:hAnsi="Verdana"/>
        </w:rPr>
        <w:t xml:space="preserve"> E</w:t>
      </w:r>
      <w:r w:rsidR="0057398F">
        <w:rPr>
          <w:rFonts w:ascii="Verdana" w:hAnsi="Verdana"/>
        </w:rPr>
        <w:t xml:space="preserve">conomic Review, </w:t>
      </w:r>
      <w:r w:rsidR="0057398F" w:rsidRPr="0057398F">
        <w:rPr>
          <w:rFonts w:ascii="Verdana" w:hAnsi="Verdana"/>
        </w:rPr>
        <w:t>193</w:t>
      </w:r>
      <w:r w:rsidR="0057398F">
        <w:rPr>
          <w:rFonts w:ascii="Verdana" w:hAnsi="Verdana"/>
        </w:rPr>
        <w:t>, 75-</w:t>
      </w:r>
      <w:r w:rsidR="00B547D6">
        <w:rPr>
          <w:rFonts w:ascii="Verdana" w:hAnsi="Verdana"/>
        </w:rPr>
        <w:t>89</w:t>
      </w:r>
      <w:r w:rsidR="00B02DFE">
        <w:rPr>
          <w:rFonts w:ascii="Verdana" w:hAnsi="Verdana"/>
        </w:rPr>
        <w:t xml:space="preserve">             </w:t>
      </w:r>
    </w:p>
    <w:p w:rsidR="00176FFD" w:rsidRDefault="00CF0AEC" w:rsidP="00174383">
      <w:pPr>
        <w:spacing w:line="300" w:lineRule="atLeast"/>
        <w:rPr>
          <w:rFonts w:ascii="Verdana" w:hAnsi="Verdana"/>
        </w:rPr>
      </w:pPr>
      <w:proofErr w:type="gramStart"/>
      <w:r w:rsidRPr="00CF0AEC">
        <w:rPr>
          <w:rFonts w:ascii="Verdana" w:hAnsi="Verdana"/>
        </w:rPr>
        <w:t>Page M E</w:t>
      </w:r>
      <w:r>
        <w:rPr>
          <w:rFonts w:ascii="Verdana" w:hAnsi="Verdana"/>
        </w:rPr>
        <w:t>, (20</w:t>
      </w:r>
      <w:r w:rsidR="00006847">
        <w:rPr>
          <w:rFonts w:ascii="Verdana" w:hAnsi="Verdana"/>
        </w:rPr>
        <w:t>10</w:t>
      </w:r>
      <w:r>
        <w:rPr>
          <w:rFonts w:ascii="Verdana" w:hAnsi="Verdana"/>
        </w:rPr>
        <w:t xml:space="preserve">), </w:t>
      </w:r>
      <w:r w:rsidR="006067AC">
        <w:rPr>
          <w:rFonts w:ascii="Verdana" w:hAnsi="Verdana"/>
        </w:rPr>
        <w:t>‘</w:t>
      </w:r>
      <w:proofErr w:type="spellStart"/>
      <w:r>
        <w:rPr>
          <w:rFonts w:ascii="Verdana" w:hAnsi="Verdana"/>
        </w:rPr>
        <w:t>Signaling</w:t>
      </w:r>
      <w:proofErr w:type="spellEnd"/>
      <w:r>
        <w:rPr>
          <w:rFonts w:ascii="Verdana" w:hAnsi="Verdana"/>
        </w:rPr>
        <w:t xml:space="preserve"> in the </w:t>
      </w:r>
      <w:proofErr w:type="spellStart"/>
      <w:r>
        <w:rPr>
          <w:rFonts w:ascii="Verdana" w:hAnsi="Verdana"/>
        </w:rPr>
        <w:t>Labor</w:t>
      </w:r>
      <w:proofErr w:type="spellEnd"/>
      <w:r>
        <w:rPr>
          <w:rFonts w:ascii="Verdana" w:hAnsi="Verdana"/>
        </w:rPr>
        <w:t xml:space="preserve"> Market</w:t>
      </w:r>
      <w:r w:rsidR="006067AC">
        <w:rPr>
          <w:rFonts w:ascii="Verdana" w:hAnsi="Verdana"/>
        </w:rPr>
        <w:t>’</w:t>
      </w:r>
      <w:r>
        <w:rPr>
          <w:rFonts w:ascii="Verdana" w:hAnsi="Verdana"/>
        </w:rPr>
        <w:t xml:space="preserve">, </w:t>
      </w:r>
      <w:r w:rsidR="00006847">
        <w:rPr>
          <w:rFonts w:ascii="Verdana" w:hAnsi="Verdana"/>
        </w:rPr>
        <w:t xml:space="preserve">33-36, in </w:t>
      </w:r>
      <w:r w:rsidR="006067AC">
        <w:rPr>
          <w:rFonts w:ascii="Verdana" w:hAnsi="Verdana"/>
        </w:rPr>
        <w:t>‘</w:t>
      </w:r>
      <w:r w:rsidR="00006847">
        <w:rPr>
          <w:rFonts w:ascii="Verdana" w:hAnsi="Verdana"/>
        </w:rPr>
        <w:t>Economics of Education</w:t>
      </w:r>
      <w:r w:rsidR="006067AC">
        <w:rPr>
          <w:rFonts w:ascii="Verdana" w:hAnsi="Verdana"/>
        </w:rPr>
        <w:t>’</w:t>
      </w:r>
      <w:r w:rsidR="00006847">
        <w:rPr>
          <w:rFonts w:ascii="Verdana" w:hAnsi="Verdana"/>
        </w:rPr>
        <w:t>, edited by D J Brewer and P J McEwan.</w:t>
      </w:r>
      <w:proofErr w:type="gramEnd"/>
      <w:r w:rsidR="00006847">
        <w:rPr>
          <w:rFonts w:ascii="Verdana" w:hAnsi="Verdana"/>
        </w:rPr>
        <w:t xml:space="preserve">  ISBN: 978-0-08-096530-7</w:t>
      </w:r>
    </w:p>
    <w:p w:rsidR="00EF101F" w:rsidRPr="00CF0AEC" w:rsidRDefault="00EF101F" w:rsidP="00EF101F">
      <w:pPr>
        <w:spacing w:line="300" w:lineRule="atLeast"/>
        <w:rPr>
          <w:rFonts w:ascii="Verdana" w:hAnsi="Verdana"/>
        </w:rPr>
      </w:pPr>
      <w:proofErr w:type="spellStart"/>
      <w:r>
        <w:rPr>
          <w:rFonts w:ascii="Verdana" w:hAnsi="Verdana"/>
        </w:rPr>
        <w:t>Piate</w:t>
      </w:r>
      <w:proofErr w:type="spellEnd"/>
      <w:r>
        <w:rPr>
          <w:rFonts w:ascii="Verdana" w:hAnsi="Verdana"/>
        </w:rPr>
        <w:t xml:space="preserve"> W, (2010), </w:t>
      </w:r>
      <w:r w:rsidRPr="002E3F5F">
        <w:rPr>
          <w:rFonts w:ascii="Verdana" w:hAnsi="Verdana"/>
        </w:rPr>
        <w:t xml:space="preserve">Russell Group </w:t>
      </w:r>
      <w:r>
        <w:rPr>
          <w:rFonts w:ascii="Verdana" w:hAnsi="Verdana"/>
        </w:rPr>
        <w:t xml:space="preserve">statement. Available at:              </w:t>
      </w:r>
      <w:hyperlink r:id="rId24" w:history="1">
        <w:r w:rsidRPr="00733F94">
          <w:rPr>
            <w:rStyle w:val="Hyperlink"/>
            <w:rFonts w:ascii="Verdana" w:hAnsi="Verdana"/>
            <w:sz w:val="16"/>
            <w:szCs w:val="16"/>
          </w:rPr>
          <w:t>www.russellgroup.ac.uk/russell-group-latest-news/121-2010/4066-social-mobility-and-access-to-professions/</w:t>
        </w:r>
      </w:hyperlink>
      <w:r>
        <w:rPr>
          <w:rFonts w:ascii="Verdana" w:hAnsi="Verdana"/>
          <w:sz w:val="16"/>
          <w:szCs w:val="16"/>
        </w:rPr>
        <w:t xml:space="preserve"> </w:t>
      </w:r>
      <w:r>
        <w:rPr>
          <w:rFonts w:ascii="Verdana" w:hAnsi="Verdana"/>
        </w:rPr>
        <w:t>(Accessed 10 April 2012)</w:t>
      </w:r>
    </w:p>
    <w:p w:rsidR="002E3F5F" w:rsidRDefault="002E3F5F" w:rsidP="002E3F5F">
      <w:pPr>
        <w:spacing w:line="300" w:lineRule="atLeast"/>
        <w:rPr>
          <w:rFonts w:ascii="Verdana" w:hAnsi="Verdana"/>
        </w:rPr>
      </w:pPr>
      <w:proofErr w:type="spellStart"/>
      <w:r>
        <w:rPr>
          <w:rFonts w:ascii="Verdana" w:hAnsi="Verdana"/>
        </w:rPr>
        <w:t>Piate</w:t>
      </w:r>
      <w:proofErr w:type="spellEnd"/>
      <w:r>
        <w:rPr>
          <w:rFonts w:ascii="Verdana" w:hAnsi="Verdana"/>
        </w:rPr>
        <w:t xml:space="preserve"> W, (201</w:t>
      </w:r>
      <w:r w:rsidR="00571A73">
        <w:rPr>
          <w:rFonts w:ascii="Verdana" w:hAnsi="Verdana"/>
        </w:rPr>
        <w:t>2</w:t>
      </w:r>
      <w:r>
        <w:rPr>
          <w:rFonts w:ascii="Verdana" w:hAnsi="Verdana"/>
        </w:rPr>
        <w:t xml:space="preserve">), </w:t>
      </w:r>
      <w:r w:rsidRPr="002E3F5F">
        <w:rPr>
          <w:rFonts w:ascii="Verdana" w:hAnsi="Verdana"/>
        </w:rPr>
        <w:t xml:space="preserve">Russell Group </w:t>
      </w:r>
      <w:r w:rsidR="00571A73">
        <w:rPr>
          <w:rFonts w:ascii="Verdana" w:hAnsi="Verdana"/>
        </w:rPr>
        <w:t>statement. Available at</w:t>
      </w:r>
      <w:r>
        <w:rPr>
          <w:rFonts w:ascii="Verdana" w:hAnsi="Verdana"/>
        </w:rPr>
        <w:t xml:space="preserve">: </w:t>
      </w:r>
      <w:hyperlink r:id="rId25" w:history="1">
        <w:r w:rsidR="00571A73" w:rsidRPr="00733F94">
          <w:rPr>
            <w:rStyle w:val="Hyperlink"/>
            <w:rFonts w:ascii="Verdana" w:hAnsi="Verdana"/>
            <w:sz w:val="18"/>
            <w:szCs w:val="18"/>
          </w:rPr>
          <w:t>www.russellgroup.ac.uk/russell-group-latest-news/151-2012/5156-agr-graduate-salary-survey/</w:t>
        </w:r>
      </w:hyperlink>
      <w:proofErr w:type="gramStart"/>
      <w:r w:rsidRPr="00571A73">
        <w:rPr>
          <w:rFonts w:ascii="Verdana" w:hAnsi="Verdana"/>
          <w:sz w:val="18"/>
          <w:szCs w:val="18"/>
        </w:rPr>
        <w:t xml:space="preserve">                     </w:t>
      </w:r>
      <w:proofErr w:type="gramEnd"/>
      <w:r w:rsidR="0015776D">
        <w:fldChar w:fldCharType="begin"/>
      </w:r>
      <w:r w:rsidR="0015776D">
        <w:instrText xml:space="preserve"> HYPERLINK "http://www.russellgroup.ac.uk/russell-group-latest-news/121-2010/4066-social-mobility-and-access-to-professions/" </w:instrText>
      </w:r>
      <w:r w:rsidR="0015776D">
        <w:fldChar w:fldCharType="separate"/>
      </w:r>
      <w:r w:rsidR="0015776D">
        <w:fldChar w:fldCharType="end"/>
      </w:r>
      <w:r w:rsidRPr="00571A73">
        <w:rPr>
          <w:rFonts w:ascii="Verdana" w:hAnsi="Verdana"/>
          <w:sz w:val="18"/>
          <w:szCs w:val="18"/>
        </w:rPr>
        <w:t xml:space="preserve">                                                           </w:t>
      </w:r>
      <w:r>
        <w:rPr>
          <w:rFonts w:ascii="Verdana" w:hAnsi="Verdana"/>
        </w:rPr>
        <w:t>(Accessed 10 April 2012)</w:t>
      </w:r>
    </w:p>
    <w:p w:rsidR="00EC5190" w:rsidRDefault="00EC5190" w:rsidP="00EC5190">
      <w:pPr>
        <w:spacing w:after="240"/>
      </w:pPr>
      <w:r w:rsidRPr="00FE1932">
        <w:rPr>
          <w:rFonts w:ascii="Verdana" w:hAnsi="Verdana"/>
        </w:rPr>
        <w:t>Purcell</w:t>
      </w:r>
      <w:r>
        <w:rPr>
          <w:rFonts w:ascii="Verdana" w:hAnsi="Verdana"/>
        </w:rPr>
        <w:t xml:space="preserve"> K</w:t>
      </w:r>
      <w:r w:rsidRPr="00FE1932">
        <w:rPr>
          <w:rFonts w:ascii="Verdana" w:hAnsi="Verdana"/>
        </w:rPr>
        <w:t>,</w:t>
      </w:r>
      <w:r>
        <w:rPr>
          <w:rFonts w:ascii="Verdana" w:hAnsi="Verdana"/>
        </w:rPr>
        <w:t xml:space="preserve"> </w:t>
      </w:r>
      <w:r w:rsidRPr="00FE1932">
        <w:rPr>
          <w:rFonts w:ascii="Verdana" w:hAnsi="Verdana"/>
        </w:rPr>
        <w:t>Elias</w:t>
      </w:r>
      <w:r>
        <w:rPr>
          <w:rFonts w:ascii="Verdana" w:hAnsi="Verdana"/>
        </w:rPr>
        <w:t xml:space="preserve"> P</w:t>
      </w:r>
      <w:r w:rsidRPr="00FE1932">
        <w:rPr>
          <w:rFonts w:ascii="Verdana" w:hAnsi="Verdana"/>
        </w:rPr>
        <w:t>, Ellison</w:t>
      </w:r>
      <w:r>
        <w:rPr>
          <w:rFonts w:ascii="Verdana" w:hAnsi="Verdana"/>
        </w:rPr>
        <w:t xml:space="preserve"> R</w:t>
      </w:r>
      <w:r w:rsidRPr="00FE1932">
        <w:rPr>
          <w:rFonts w:ascii="Verdana" w:hAnsi="Verdana"/>
        </w:rPr>
        <w:t xml:space="preserve">, </w:t>
      </w:r>
      <w:proofErr w:type="spellStart"/>
      <w:r w:rsidRPr="00FE1932">
        <w:rPr>
          <w:rFonts w:ascii="Verdana" w:hAnsi="Verdana"/>
        </w:rPr>
        <w:t>Atfield</w:t>
      </w:r>
      <w:proofErr w:type="spellEnd"/>
      <w:r>
        <w:rPr>
          <w:rFonts w:ascii="Verdana" w:hAnsi="Verdana"/>
        </w:rPr>
        <w:t xml:space="preserve"> G</w:t>
      </w:r>
      <w:r w:rsidRPr="00FE1932">
        <w:rPr>
          <w:rFonts w:ascii="Verdana" w:hAnsi="Verdana"/>
        </w:rPr>
        <w:t>,</w:t>
      </w:r>
      <w:r>
        <w:rPr>
          <w:rFonts w:ascii="Verdana" w:hAnsi="Verdana"/>
        </w:rPr>
        <w:t xml:space="preserve"> </w:t>
      </w:r>
      <w:r w:rsidRPr="00FE1932">
        <w:rPr>
          <w:rFonts w:ascii="Verdana" w:hAnsi="Verdana"/>
        </w:rPr>
        <w:t>Adam</w:t>
      </w:r>
      <w:r>
        <w:rPr>
          <w:rFonts w:ascii="Verdana" w:hAnsi="Verdana"/>
        </w:rPr>
        <w:t xml:space="preserve"> D</w:t>
      </w:r>
      <w:r w:rsidRPr="00FE1932">
        <w:rPr>
          <w:rFonts w:ascii="Verdana" w:hAnsi="Verdana"/>
        </w:rPr>
        <w:t xml:space="preserve"> and </w:t>
      </w:r>
      <w:proofErr w:type="spellStart"/>
      <w:r w:rsidRPr="00FE1932">
        <w:rPr>
          <w:rFonts w:ascii="Verdana" w:hAnsi="Verdana"/>
        </w:rPr>
        <w:t>Livanos</w:t>
      </w:r>
      <w:proofErr w:type="spellEnd"/>
      <w:r w:rsidRPr="00FE1932">
        <w:rPr>
          <w:rFonts w:ascii="Verdana" w:hAnsi="Verdana"/>
        </w:rPr>
        <w:t xml:space="preserve"> </w:t>
      </w:r>
      <w:r>
        <w:rPr>
          <w:rFonts w:ascii="Verdana" w:hAnsi="Verdana"/>
        </w:rPr>
        <w:t xml:space="preserve">I (2008), </w:t>
      </w:r>
      <w:r w:rsidR="006067AC">
        <w:rPr>
          <w:rFonts w:ascii="Verdana" w:hAnsi="Verdana"/>
        </w:rPr>
        <w:t>‘</w:t>
      </w:r>
      <w:r w:rsidRPr="00FE1932">
        <w:rPr>
          <w:rFonts w:ascii="Verdana" w:hAnsi="Verdana"/>
        </w:rPr>
        <w:t>Applying for Higher Education – the</w:t>
      </w:r>
      <w:r>
        <w:rPr>
          <w:rFonts w:ascii="Verdana" w:hAnsi="Verdana"/>
        </w:rPr>
        <w:t xml:space="preserve"> </w:t>
      </w:r>
      <w:r w:rsidRPr="00FE1932">
        <w:rPr>
          <w:rFonts w:ascii="Verdana" w:hAnsi="Verdana"/>
        </w:rPr>
        <w:t>diversity of career choices, plans and</w:t>
      </w:r>
      <w:r>
        <w:rPr>
          <w:rFonts w:ascii="Verdana" w:hAnsi="Verdana"/>
        </w:rPr>
        <w:t xml:space="preserve"> </w:t>
      </w:r>
      <w:r w:rsidRPr="00FE1932">
        <w:rPr>
          <w:rFonts w:ascii="Verdana" w:hAnsi="Verdana"/>
        </w:rPr>
        <w:t>expectations</w:t>
      </w:r>
      <w:r w:rsidR="006067AC">
        <w:rPr>
          <w:rFonts w:ascii="Verdana" w:hAnsi="Verdana"/>
        </w:rPr>
        <w:t>’</w:t>
      </w:r>
      <w:r>
        <w:rPr>
          <w:rFonts w:ascii="Verdana" w:hAnsi="Verdana"/>
        </w:rPr>
        <w:t xml:space="preserve">. HECSU Research </w:t>
      </w:r>
      <w:proofErr w:type="gramStart"/>
      <w:r>
        <w:rPr>
          <w:rFonts w:ascii="Verdana" w:hAnsi="Verdana"/>
        </w:rPr>
        <w:t xml:space="preserve">Report  </w:t>
      </w:r>
      <w:proofErr w:type="gramEnd"/>
      <w:r w:rsidR="004C2711">
        <w:fldChar w:fldCharType="begin"/>
      </w:r>
      <w:r>
        <w:instrText>HYPERLINK "http://www.hecsu.ac.uk/applying_for_higher_education.htm"</w:instrText>
      </w:r>
      <w:r w:rsidR="004C2711">
        <w:fldChar w:fldCharType="separate"/>
      </w:r>
      <w:r w:rsidRPr="00AE2B5C">
        <w:rPr>
          <w:rStyle w:val="Hyperlink"/>
          <w:rFonts w:ascii="Verdana" w:hAnsi="Verdana"/>
        </w:rPr>
        <w:t>www.hecsu.ac.uk/applying_for_higher_education.htm</w:t>
      </w:r>
      <w:r w:rsidR="004C2711">
        <w:fldChar w:fldCharType="end"/>
      </w:r>
    </w:p>
    <w:p w:rsidR="00BA38CB" w:rsidRDefault="00EF3C57" w:rsidP="00EC5190">
      <w:pPr>
        <w:spacing w:after="240"/>
        <w:rPr>
          <w:rFonts w:ascii="Verdana" w:hAnsi="Verdana"/>
          <w:sz w:val="16"/>
          <w:szCs w:val="16"/>
        </w:rPr>
      </w:pPr>
      <w:r w:rsidRPr="00EF3C57">
        <w:rPr>
          <w:rFonts w:ascii="Verdana" w:hAnsi="Verdana"/>
        </w:rPr>
        <w:t xml:space="preserve">Student </w:t>
      </w:r>
      <w:r>
        <w:rPr>
          <w:rFonts w:ascii="Verdana" w:hAnsi="Verdana"/>
        </w:rPr>
        <w:t xml:space="preserve">Finance England, (2011), </w:t>
      </w:r>
      <w:r w:rsidR="006067AC">
        <w:rPr>
          <w:rFonts w:ascii="Verdana" w:hAnsi="Verdana"/>
        </w:rPr>
        <w:t>‘</w:t>
      </w:r>
      <w:r w:rsidRPr="00EF3C57">
        <w:rPr>
          <w:rFonts w:ascii="Verdana" w:hAnsi="Verdana"/>
        </w:rPr>
        <w:t>Student loans - a guide to terms and conditions 2012/13</w:t>
      </w:r>
      <w:r w:rsidR="006067AC">
        <w:rPr>
          <w:rFonts w:ascii="Verdana" w:hAnsi="Verdana"/>
        </w:rPr>
        <w:t>’</w:t>
      </w:r>
      <w:r>
        <w:rPr>
          <w:rFonts w:ascii="Verdana" w:hAnsi="Verdana"/>
        </w:rPr>
        <w:t xml:space="preserve">, page 8.  Available at: </w:t>
      </w:r>
      <w:hyperlink r:id="rId26" w:history="1">
        <w:r w:rsidR="00BA38CB" w:rsidRPr="00826E59">
          <w:rPr>
            <w:rStyle w:val="Hyperlink"/>
            <w:rFonts w:ascii="Verdana" w:hAnsi="Verdana"/>
            <w:sz w:val="16"/>
            <w:szCs w:val="16"/>
          </w:rPr>
          <w:t>www.direct.gov.uk/prod_consum_dg/groups/dg_digitalassets/@dg/@en/@educ/documents/digitalasset/dg_200469.pdf</w:t>
        </w:r>
      </w:hyperlink>
    </w:p>
    <w:p w:rsidR="002958C9" w:rsidRDefault="00AC6435" w:rsidP="002958C9">
      <w:pPr>
        <w:spacing w:line="300" w:lineRule="atLeast"/>
        <w:rPr>
          <w:rFonts w:ascii="Verdana" w:hAnsi="Verdana"/>
        </w:rPr>
      </w:pPr>
      <w:r>
        <w:rPr>
          <w:rFonts w:ascii="Verdana" w:hAnsi="Verdana"/>
        </w:rPr>
        <w:t xml:space="preserve">Thompson A (2003), </w:t>
      </w:r>
      <w:r w:rsidR="006067AC">
        <w:rPr>
          <w:rFonts w:ascii="Verdana" w:hAnsi="Verdana"/>
        </w:rPr>
        <w:t>‘</w:t>
      </w:r>
      <w:r>
        <w:rPr>
          <w:rFonts w:ascii="Verdana" w:hAnsi="Verdana"/>
        </w:rPr>
        <w:t>Hodge: we will control market</w:t>
      </w:r>
      <w:r w:rsidR="006067AC">
        <w:rPr>
          <w:rFonts w:ascii="Verdana" w:hAnsi="Verdana"/>
        </w:rPr>
        <w:t>’</w:t>
      </w:r>
      <w:r w:rsidR="002958C9">
        <w:rPr>
          <w:rFonts w:ascii="Verdana" w:hAnsi="Verdana"/>
        </w:rPr>
        <w:t xml:space="preserve">, Times Higher Education, 23 May 2003, Available at: </w:t>
      </w:r>
      <w:hyperlink r:id="rId27" w:history="1">
        <w:r w:rsidR="002958C9" w:rsidRPr="00733F94">
          <w:rPr>
            <w:rStyle w:val="Hyperlink"/>
            <w:rFonts w:ascii="Verdana" w:hAnsi="Verdana"/>
            <w:sz w:val="20"/>
            <w:szCs w:val="20"/>
          </w:rPr>
          <w:t>www.timeshighereducation.co.uk/story.asp?storyCode=176955&amp;sectioncode=26</w:t>
        </w:r>
      </w:hyperlink>
      <w:r w:rsidR="002958C9">
        <w:rPr>
          <w:rFonts w:ascii="Verdana" w:hAnsi="Verdana"/>
          <w:sz w:val="20"/>
          <w:szCs w:val="20"/>
        </w:rPr>
        <w:t xml:space="preserve"> </w:t>
      </w:r>
      <w:r w:rsidR="002958C9">
        <w:rPr>
          <w:rFonts w:ascii="Verdana" w:hAnsi="Verdana"/>
        </w:rPr>
        <w:t>(Accessed 10 April 2012)</w:t>
      </w:r>
    </w:p>
    <w:p w:rsidR="0030092A" w:rsidRDefault="0030092A" w:rsidP="0030092A">
      <w:pPr>
        <w:spacing w:after="240"/>
      </w:pPr>
      <w:r w:rsidRPr="00F53B08">
        <w:rPr>
          <w:rFonts w:ascii="Verdana" w:hAnsi="Verdana"/>
        </w:rPr>
        <w:t xml:space="preserve">Thompson </w:t>
      </w:r>
      <w:r>
        <w:rPr>
          <w:rFonts w:ascii="Verdana" w:hAnsi="Verdana"/>
        </w:rPr>
        <w:t xml:space="preserve">J </w:t>
      </w:r>
      <w:r w:rsidRPr="00F53B08">
        <w:rPr>
          <w:rFonts w:ascii="Verdana" w:hAnsi="Verdana"/>
        </w:rPr>
        <w:t xml:space="preserve">and Bekhradnia </w:t>
      </w:r>
      <w:r>
        <w:rPr>
          <w:rFonts w:ascii="Verdana" w:hAnsi="Verdana"/>
        </w:rPr>
        <w:t>B (2010), ‘</w:t>
      </w:r>
      <w:r w:rsidRPr="00F53B08">
        <w:rPr>
          <w:rFonts w:ascii="Verdana" w:hAnsi="Verdana"/>
        </w:rPr>
        <w:t xml:space="preserve">The </w:t>
      </w:r>
      <w:r>
        <w:rPr>
          <w:rFonts w:ascii="Verdana" w:hAnsi="Verdana"/>
        </w:rPr>
        <w:t>Government</w:t>
      </w:r>
      <w:r w:rsidRPr="00F53B08">
        <w:rPr>
          <w:rFonts w:ascii="Verdana" w:hAnsi="Verdana"/>
        </w:rPr>
        <w:t>'s proposals for higher education funding and student finance – an analysis</w:t>
      </w:r>
      <w:r>
        <w:rPr>
          <w:rFonts w:ascii="Verdana" w:hAnsi="Verdana"/>
        </w:rPr>
        <w:t>’, HEPI Report</w:t>
      </w:r>
      <w:r w:rsidR="001245E8">
        <w:rPr>
          <w:rFonts w:ascii="Verdana" w:hAnsi="Verdana"/>
        </w:rPr>
        <w:t xml:space="preserve">, Addendum, Table A9, </w:t>
      </w:r>
      <w:r w:rsidRPr="00F53B08">
        <w:t xml:space="preserve"> </w:t>
      </w:r>
      <w:hyperlink r:id="rId28" w:history="1">
        <w:r w:rsidRPr="00C125EE">
          <w:rPr>
            <w:rStyle w:val="Hyperlink"/>
            <w:rFonts w:ascii="Verdana" w:hAnsi="Verdana"/>
          </w:rPr>
          <w:t>www.hepi.ac.uk/466/Reports.html</w:t>
        </w:r>
      </w:hyperlink>
    </w:p>
    <w:p w:rsidR="00445A91" w:rsidRPr="00CF0AEC" w:rsidRDefault="00445A91" w:rsidP="00445A91">
      <w:pPr>
        <w:spacing w:line="300" w:lineRule="atLeast"/>
        <w:rPr>
          <w:rFonts w:ascii="Verdana" w:hAnsi="Verdana"/>
        </w:rPr>
      </w:pPr>
      <w:r>
        <w:rPr>
          <w:rFonts w:ascii="Verdana" w:hAnsi="Verdana"/>
        </w:rPr>
        <w:t xml:space="preserve">Walker I (2011), quoted in </w:t>
      </w:r>
      <w:r w:rsidR="006067AC">
        <w:rPr>
          <w:rFonts w:ascii="Verdana" w:hAnsi="Verdana"/>
        </w:rPr>
        <w:t>‘</w:t>
      </w:r>
      <w:r w:rsidRPr="00A725D8">
        <w:rPr>
          <w:rFonts w:ascii="Verdana" w:hAnsi="Verdana"/>
        </w:rPr>
        <w:t>The earnings from learning: economists weigh up the relative returns from undergraduate degrees</w:t>
      </w:r>
      <w:r w:rsidR="006067AC">
        <w:rPr>
          <w:rFonts w:ascii="Verdana" w:hAnsi="Verdana"/>
        </w:rPr>
        <w:t>’</w:t>
      </w:r>
      <w:r>
        <w:rPr>
          <w:rFonts w:ascii="Verdana" w:hAnsi="Verdana"/>
        </w:rPr>
        <w:t xml:space="preserve"> published by </w:t>
      </w:r>
      <w:r w:rsidRPr="00A725D8">
        <w:rPr>
          <w:rFonts w:ascii="Verdana" w:hAnsi="Verdana"/>
        </w:rPr>
        <w:t>Lancaster University Management School, Lancaster</w:t>
      </w:r>
      <w:r>
        <w:rPr>
          <w:rFonts w:ascii="Verdana" w:hAnsi="Verdana"/>
        </w:rPr>
        <w:t xml:space="preserve"> at</w:t>
      </w:r>
      <w:proofErr w:type="gramStart"/>
      <w:r>
        <w:rPr>
          <w:rFonts w:ascii="Verdana" w:hAnsi="Verdana"/>
        </w:rPr>
        <w:t>:-</w:t>
      </w:r>
      <w:proofErr w:type="gramEnd"/>
      <w:r w:rsidRPr="00A725D8">
        <w:t xml:space="preserve"> </w:t>
      </w:r>
      <w:hyperlink r:id="rId29" w:history="1">
        <w:r w:rsidRPr="00733F94">
          <w:rPr>
            <w:rStyle w:val="Hyperlink"/>
            <w:rFonts w:ascii="Verdana" w:hAnsi="Verdana"/>
          </w:rPr>
          <w:t>www.lums.lancs.ac.uk/news/research/22230/earnings-from-learning/</w:t>
        </w:r>
      </w:hyperlink>
      <w:r>
        <w:rPr>
          <w:rFonts w:ascii="Verdana" w:hAnsi="Verdana"/>
        </w:rPr>
        <w:t xml:space="preserve">          (Accessed 10 April 2012)</w:t>
      </w:r>
    </w:p>
    <w:p w:rsidR="002958C9" w:rsidRDefault="001114C9" w:rsidP="001114C9">
      <w:pPr>
        <w:spacing w:line="300" w:lineRule="atLeast"/>
        <w:rPr>
          <w:rFonts w:ascii="Verdana" w:hAnsi="Verdana" w:cs="Verdana"/>
        </w:rPr>
      </w:pPr>
      <w:r w:rsidRPr="001114C9">
        <w:rPr>
          <w:rFonts w:ascii="Verdana" w:hAnsi="Verdana"/>
        </w:rPr>
        <w:t>Walker</w:t>
      </w:r>
      <w:r>
        <w:rPr>
          <w:rFonts w:ascii="Verdana" w:hAnsi="Verdana"/>
        </w:rPr>
        <w:t xml:space="preserve"> I and</w:t>
      </w:r>
      <w:r>
        <w:rPr>
          <w:rFonts w:ascii="Verdana" w:hAnsi="Verdana" w:cs="Verdana"/>
        </w:rPr>
        <w:t xml:space="preserve"> </w:t>
      </w:r>
      <w:proofErr w:type="spellStart"/>
      <w:r w:rsidRPr="001114C9">
        <w:rPr>
          <w:rFonts w:ascii="Verdana" w:hAnsi="Verdana" w:cs="Verdana"/>
        </w:rPr>
        <w:t>Zhub</w:t>
      </w:r>
      <w:proofErr w:type="spellEnd"/>
      <w:r>
        <w:rPr>
          <w:rFonts w:ascii="Verdana" w:hAnsi="Verdana" w:cs="Verdana"/>
        </w:rPr>
        <w:t xml:space="preserve"> Y, (2011), </w:t>
      </w:r>
      <w:r w:rsidR="006067AC">
        <w:rPr>
          <w:rFonts w:ascii="Verdana" w:hAnsi="Verdana" w:cs="Verdana"/>
        </w:rPr>
        <w:t>‘</w:t>
      </w:r>
      <w:r w:rsidRPr="001114C9">
        <w:rPr>
          <w:rFonts w:ascii="Verdana" w:hAnsi="Verdana" w:cs="Verdana"/>
        </w:rPr>
        <w:t>Differences by degree: Evidence of the net financial rates of return to</w:t>
      </w:r>
      <w:r>
        <w:rPr>
          <w:rFonts w:ascii="Verdana" w:hAnsi="Verdana" w:cs="Verdana"/>
        </w:rPr>
        <w:t xml:space="preserve"> </w:t>
      </w:r>
      <w:r w:rsidRPr="001114C9">
        <w:rPr>
          <w:rFonts w:ascii="Verdana" w:hAnsi="Verdana" w:cs="Verdana"/>
        </w:rPr>
        <w:t>undergraduate study for England and Wales</w:t>
      </w:r>
      <w:r w:rsidR="006067AC">
        <w:rPr>
          <w:rFonts w:ascii="Verdana" w:hAnsi="Verdana" w:cs="Verdana"/>
        </w:rPr>
        <w:t>’</w:t>
      </w:r>
      <w:r>
        <w:rPr>
          <w:rFonts w:ascii="Verdana" w:hAnsi="Verdana" w:cs="Verdana"/>
        </w:rPr>
        <w:t xml:space="preserve">, </w:t>
      </w:r>
      <w:r w:rsidRPr="001114C9">
        <w:rPr>
          <w:rFonts w:ascii="Verdana" w:hAnsi="Verdana" w:cs="Verdana"/>
        </w:rPr>
        <w:t>Economics of Education Review 30</w:t>
      </w:r>
      <w:r>
        <w:rPr>
          <w:rFonts w:ascii="Verdana" w:hAnsi="Verdana" w:cs="Verdana"/>
        </w:rPr>
        <w:t>,</w:t>
      </w:r>
      <w:r w:rsidRPr="001114C9">
        <w:rPr>
          <w:rFonts w:ascii="Verdana" w:hAnsi="Verdana" w:cs="Verdana"/>
        </w:rPr>
        <w:t xml:space="preserve"> 1177– 1186</w:t>
      </w:r>
    </w:p>
    <w:p w:rsidR="007027BA" w:rsidRPr="00546720" w:rsidRDefault="007027BA" w:rsidP="007027BA">
      <w:pPr>
        <w:autoSpaceDE w:val="0"/>
        <w:autoSpaceDN w:val="0"/>
        <w:adjustRightInd w:val="0"/>
        <w:spacing w:after="240"/>
        <w:rPr>
          <w:rFonts w:ascii="Verdana" w:hAnsi="Verdana"/>
        </w:rPr>
      </w:pPr>
      <w:proofErr w:type="spellStart"/>
      <w:r>
        <w:rPr>
          <w:rFonts w:ascii="Verdana" w:hAnsi="Verdana"/>
        </w:rPr>
        <w:t>Willetts</w:t>
      </w:r>
      <w:proofErr w:type="spellEnd"/>
      <w:r>
        <w:rPr>
          <w:rFonts w:ascii="Verdana" w:hAnsi="Verdana"/>
        </w:rPr>
        <w:t>, D (2011), “</w:t>
      </w:r>
      <w:r w:rsidRPr="00546720">
        <w:rPr>
          <w:rFonts w:ascii="Verdana" w:hAnsi="Verdana"/>
        </w:rPr>
        <w:t>We are giving young people the opportunity to achieve their ambitions</w:t>
      </w:r>
      <w:r>
        <w:rPr>
          <w:rFonts w:ascii="Verdana" w:hAnsi="Verdana"/>
        </w:rPr>
        <w:t xml:space="preserve">”, speech to Conservative Party conference, 4 October 2011, Available at: </w:t>
      </w:r>
      <w:hyperlink r:id="rId30" w:history="1">
        <w:r w:rsidRPr="006C4688">
          <w:rPr>
            <w:rStyle w:val="Hyperlink"/>
            <w:rFonts w:ascii="Verdana" w:hAnsi="Verdana"/>
            <w:sz w:val="12"/>
            <w:szCs w:val="12"/>
          </w:rPr>
          <w:t>www.conservatives.com/News/Speeches/2011/10/Willetts_We_are_giving_young_people_the_opportunity_to_achieve_their_ambitions.aspx</w:t>
        </w:r>
      </w:hyperlink>
      <w:r>
        <w:rPr>
          <w:rFonts w:ascii="Verdana" w:hAnsi="Verdana"/>
          <w:sz w:val="12"/>
          <w:szCs w:val="12"/>
        </w:rPr>
        <w:t xml:space="preserve"> </w:t>
      </w:r>
      <w:r>
        <w:rPr>
          <w:rFonts w:ascii="Verdana" w:hAnsi="Verdana"/>
        </w:rPr>
        <w:t>(Accessed 18 May 2012)</w:t>
      </w:r>
    </w:p>
    <w:p w:rsidR="007027BA" w:rsidRPr="00546720" w:rsidRDefault="007027BA" w:rsidP="007027BA">
      <w:pPr>
        <w:autoSpaceDE w:val="0"/>
        <w:autoSpaceDN w:val="0"/>
        <w:adjustRightInd w:val="0"/>
        <w:spacing w:after="240"/>
        <w:rPr>
          <w:rFonts w:ascii="Verdana" w:hAnsi="Verdana"/>
          <w:sz w:val="12"/>
          <w:szCs w:val="12"/>
        </w:rPr>
      </w:pPr>
    </w:p>
    <w:p w:rsidR="007027BA" w:rsidRDefault="007027BA" w:rsidP="007027BA">
      <w:pPr>
        <w:autoSpaceDE w:val="0"/>
        <w:autoSpaceDN w:val="0"/>
        <w:adjustRightInd w:val="0"/>
        <w:spacing w:after="240"/>
        <w:rPr>
          <w:rFonts w:ascii="Verdana" w:hAnsi="Verdana"/>
        </w:rPr>
      </w:pPr>
    </w:p>
    <w:p w:rsidR="007027BA" w:rsidRDefault="007027BA" w:rsidP="007027BA">
      <w:pPr>
        <w:autoSpaceDE w:val="0"/>
        <w:autoSpaceDN w:val="0"/>
        <w:adjustRightInd w:val="0"/>
        <w:spacing w:after="240"/>
        <w:rPr>
          <w:rFonts w:ascii="Verdana" w:hAnsi="Verdana"/>
        </w:rPr>
      </w:pPr>
      <w:proofErr w:type="spellStart"/>
      <w:r>
        <w:rPr>
          <w:rFonts w:ascii="Verdana" w:hAnsi="Verdana"/>
        </w:rPr>
        <w:t>Willetts</w:t>
      </w:r>
      <w:proofErr w:type="spellEnd"/>
      <w:r>
        <w:rPr>
          <w:rFonts w:ascii="Verdana" w:hAnsi="Verdana"/>
        </w:rPr>
        <w:t>, D (2012), BBC Radio 4, The World Tonight, 17 May 2012.</w:t>
      </w:r>
    </w:p>
    <w:p w:rsidR="007027BA" w:rsidRDefault="007027BA" w:rsidP="007027BA">
      <w:pPr>
        <w:autoSpaceDE w:val="0"/>
        <w:autoSpaceDN w:val="0"/>
        <w:adjustRightInd w:val="0"/>
        <w:spacing w:after="240"/>
        <w:rPr>
          <w:rFonts w:ascii="Verdana" w:hAnsi="Verdana"/>
        </w:rPr>
      </w:pPr>
    </w:p>
    <w:p w:rsidR="007027BA" w:rsidRDefault="007027BA" w:rsidP="001114C9">
      <w:pPr>
        <w:spacing w:line="300" w:lineRule="atLeast"/>
        <w:rPr>
          <w:rFonts w:ascii="Verdana" w:hAnsi="Verdana"/>
        </w:rPr>
      </w:pPr>
    </w:p>
    <w:sectPr w:rsidR="007027BA" w:rsidSect="007C28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0D1" w:rsidRDefault="006A40D1" w:rsidP="00D8339E">
      <w:pPr>
        <w:spacing w:after="0" w:line="240" w:lineRule="auto"/>
      </w:pPr>
      <w:r>
        <w:separator/>
      </w:r>
    </w:p>
  </w:endnote>
  <w:endnote w:type="continuationSeparator" w:id="0">
    <w:p w:rsidR="006A40D1" w:rsidRDefault="006A40D1" w:rsidP="00D8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FuturaBT-Medium">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0D1" w:rsidRDefault="006A40D1" w:rsidP="00D8339E">
      <w:pPr>
        <w:spacing w:after="0" w:line="240" w:lineRule="auto"/>
      </w:pPr>
      <w:r>
        <w:separator/>
      </w:r>
    </w:p>
  </w:footnote>
  <w:footnote w:type="continuationSeparator" w:id="0">
    <w:p w:rsidR="006A40D1" w:rsidRDefault="006A40D1" w:rsidP="00D8339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4CED"/>
    <w:multiLevelType w:val="hybridMultilevel"/>
    <w:tmpl w:val="B18E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6A64F5"/>
    <w:multiLevelType w:val="hybridMultilevel"/>
    <w:tmpl w:val="26CA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257FD"/>
    <w:multiLevelType w:val="hybridMultilevel"/>
    <w:tmpl w:val="79FC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6C505C"/>
    <w:multiLevelType w:val="hybridMultilevel"/>
    <w:tmpl w:val="4BA21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8806194"/>
    <w:multiLevelType w:val="hybridMultilevel"/>
    <w:tmpl w:val="9F842B72"/>
    <w:lvl w:ilvl="0" w:tplc="E02ECB7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21C76"/>
    <w:multiLevelType w:val="hybridMultilevel"/>
    <w:tmpl w:val="2F6A7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881FD9"/>
    <w:multiLevelType w:val="hybridMultilevel"/>
    <w:tmpl w:val="E3909EF0"/>
    <w:lvl w:ilvl="0" w:tplc="E4D2D034">
      <w:start w:val="1"/>
      <w:numFmt w:val="bullet"/>
      <w:lvlText w:val="•"/>
      <w:lvlJc w:val="left"/>
      <w:pPr>
        <w:tabs>
          <w:tab w:val="num" w:pos="720"/>
        </w:tabs>
        <w:ind w:left="720" w:hanging="360"/>
      </w:pPr>
      <w:rPr>
        <w:rFonts w:ascii="Arial" w:hAnsi="Arial" w:hint="default"/>
      </w:rPr>
    </w:lvl>
    <w:lvl w:ilvl="1" w:tplc="FA7C32E4" w:tentative="1">
      <w:start w:val="1"/>
      <w:numFmt w:val="bullet"/>
      <w:lvlText w:val="•"/>
      <w:lvlJc w:val="left"/>
      <w:pPr>
        <w:tabs>
          <w:tab w:val="num" w:pos="1440"/>
        </w:tabs>
        <w:ind w:left="1440" w:hanging="360"/>
      </w:pPr>
      <w:rPr>
        <w:rFonts w:ascii="Arial" w:hAnsi="Arial" w:hint="default"/>
      </w:rPr>
    </w:lvl>
    <w:lvl w:ilvl="2" w:tplc="BB38FC80" w:tentative="1">
      <w:start w:val="1"/>
      <w:numFmt w:val="bullet"/>
      <w:lvlText w:val="•"/>
      <w:lvlJc w:val="left"/>
      <w:pPr>
        <w:tabs>
          <w:tab w:val="num" w:pos="2160"/>
        </w:tabs>
        <w:ind w:left="2160" w:hanging="360"/>
      </w:pPr>
      <w:rPr>
        <w:rFonts w:ascii="Arial" w:hAnsi="Arial" w:hint="default"/>
      </w:rPr>
    </w:lvl>
    <w:lvl w:ilvl="3" w:tplc="6EFE6F20" w:tentative="1">
      <w:start w:val="1"/>
      <w:numFmt w:val="bullet"/>
      <w:lvlText w:val="•"/>
      <w:lvlJc w:val="left"/>
      <w:pPr>
        <w:tabs>
          <w:tab w:val="num" w:pos="2880"/>
        </w:tabs>
        <w:ind w:left="2880" w:hanging="360"/>
      </w:pPr>
      <w:rPr>
        <w:rFonts w:ascii="Arial" w:hAnsi="Arial" w:hint="default"/>
      </w:rPr>
    </w:lvl>
    <w:lvl w:ilvl="4" w:tplc="A6C092E4" w:tentative="1">
      <w:start w:val="1"/>
      <w:numFmt w:val="bullet"/>
      <w:lvlText w:val="•"/>
      <w:lvlJc w:val="left"/>
      <w:pPr>
        <w:tabs>
          <w:tab w:val="num" w:pos="3600"/>
        </w:tabs>
        <w:ind w:left="3600" w:hanging="360"/>
      </w:pPr>
      <w:rPr>
        <w:rFonts w:ascii="Arial" w:hAnsi="Arial" w:hint="default"/>
      </w:rPr>
    </w:lvl>
    <w:lvl w:ilvl="5" w:tplc="9A7C1A30" w:tentative="1">
      <w:start w:val="1"/>
      <w:numFmt w:val="bullet"/>
      <w:lvlText w:val="•"/>
      <w:lvlJc w:val="left"/>
      <w:pPr>
        <w:tabs>
          <w:tab w:val="num" w:pos="4320"/>
        </w:tabs>
        <w:ind w:left="4320" w:hanging="360"/>
      </w:pPr>
      <w:rPr>
        <w:rFonts w:ascii="Arial" w:hAnsi="Arial" w:hint="default"/>
      </w:rPr>
    </w:lvl>
    <w:lvl w:ilvl="6" w:tplc="27206570" w:tentative="1">
      <w:start w:val="1"/>
      <w:numFmt w:val="bullet"/>
      <w:lvlText w:val="•"/>
      <w:lvlJc w:val="left"/>
      <w:pPr>
        <w:tabs>
          <w:tab w:val="num" w:pos="5040"/>
        </w:tabs>
        <w:ind w:left="5040" w:hanging="360"/>
      </w:pPr>
      <w:rPr>
        <w:rFonts w:ascii="Arial" w:hAnsi="Arial" w:hint="default"/>
      </w:rPr>
    </w:lvl>
    <w:lvl w:ilvl="7" w:tplc="F130727A" w:tentative="1">
      <w:start w:val="1"/>
      <w:numFmt w:val="bullet"/>
      <w:lvlText w:val="•"/>
      <w:lvlJc w:val="left"/>
      <w:pPr>
        <w:tabs>
          <w:tab w:val="num" w:pos="5760"/>
        </w:tabs>
        <w:ind w:left="5760" w:hanging="360"/>
      </w:pPr>
      <w:rPr>
        <w:rFonts w:ascii="Arial" w:hAnsi="Arial" w:hint="default"/>
      </w:rPr>
    </w:lvl>
    <w:lvl w:ilvl="8" w:tplc="164CD40E" w:tentative="1">
      <w:start w:val="1"/>
      <w:numFmt w:val="bullet"/>
      <w:lvlText w:val="•"/>
      <w:lvlJc w:val="left"/>
      <w:pPr>
        <w:tabs>
          <w:tab w:val="num" w:pos="6480"/>
        </w:tabs>
        <w:ind w:left="6480" w:hanging="360"/>
      </w:pPr>
      <w:rPr>
        <w:rFonts w:ascii="Arial" w:hAnsi="Arial" w:hint="default"/>
      </w:rPr>
    </w:lvl>
  </w:abstractNum>
  <w:abstractNum w:abstractNumId="7">
    <w:nsid w:val="5C58660D"/>
    <w:multiLevelType w:val="hybridMultilevel"/>
    <w:tmpl w:val="8352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2237C8"/>
    <w:multiLevelType w:val="hybridMultilevel"/>
    <w:tmpl w:val="5A54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69456C"/>
    <w:multiLevelType w:val="hybridMultilevel"/>
    <w:tmpl w:val="05D8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9F5CFD"/>
    <w:multiLevelType w:val="hybridMultilevel"/>
    <w:tmpl w:val="25D4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0F6157"/>
    <w:multiLevelType w:val="hybridMultilevel"/>
    <w:tmpl w:val="00B2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A668E0"/>
    <w:multiLevelType w:val="hybridMultilevel"/>
    <w:tmpl w:val="5B7C1B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11"/>
  </w:num>
  <w:num w:numId="5">
    <w:abstractNumId w:val="10"/>
  </w:num>
  <w:num w:numId="6">
    <w:abstractNumId w:val="2"/>
  </w:num>
  <w:num w:numId="7">
    <w:abstractNumId w:val="1"/>
  </w:num>
  <w:num w:numId="8">
    <w:abstractNumId w:val="4"/>
  </w:num>
  <w:num w:numId="9">
    <w:abstractNumId w:val="5"/>
  </w:num>
  <w:num w:numId="10">
    <w:abstractNumId w:val="3"/>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410D"/>
    <w:rsid w:val="00000733"/>
    <w:rsid w:val="00001409"/>
    <w:rsid w:val="00002FFD"/>
    <w:rsid w:val="00006847"/>
    <w:rsid w:val="00012B49"/>
    <w:rsid w:val="00012D09"/>
    <w:rsid w:val="00013A0D"/>
    <w:rsid w:val="000176B0"/>
    <w:rsid w:val="0002412E"/>
    <w:rsid w:val="00027A0A"/>
    <w:rsid w:val="00030B00"/>
    <w:rsid w:val="00042178"/>
    <w:rsid w:val="00050079"/>
    <w:rsid w:val="00053744"/>
    <w:rsid w:val="000570CE"/>
    <w:rsid w:val="0006043E"/>
    <w:rsid w:val="0007280E"/>
    <w:rsid w:val="0009092F"/>
    <w:rsid w:val="00090D51"/>
    <w:rsid w:val="00094907"/>
    <w:rsid w:val="000971D3"/>
    <w:rsid w:val="00097C23"/>
    <w:rsid w:val="000A1245"/>
    <w:rsid w:val="000A5322"/>
    <w:rsid w:val="000A7474"/>
    <w:rsid w:val="000B13CA"/>
    <w:rsid w:val="000B18F3"/>
    <w:rsid w:val="000B263B"/>
    <w:rsid w:val="000B56E0"/>
    <w:rsid w:val="000B5FD1"/>
    <w:rsid w:val="000C0BF9"/>
    <w:rsid w:val="000C2478"/>
    <w:rsid w:val="000D08D2"/>
    <w:rsid w:val="000D5AA4"/>
    <w:rsid w:val="000D602D"/>
    <w:rsid w:val="000D6243"/>
    <w:rsid w:val="000E5446"/>
    <w:rsid w:val="000F1B1F"/>
    <w:rsid w:val="000F3D4B"/>
    <w:rsid w:val="000F4BEF"/>
    <w:rsid w:val="000F76F8"/>
    <w:rsid w:val="00100222"/>
    <w:rsid w:val="001114C9"/>
    <w:rsid w:val="00112AD7"/>
    <w:rsid w:val="0012072D"/>
    <w:rsid w:val="001216D2"/>
    <w:rsid w:val="00121AB5"/>
    <w:rsid w:val="0012289F"/>
    <w:rsid w:val="001245E8"/>
    <w:rsid w:val="0012598C"/>
    <w:rsid w:val="00126A35"/>
    <w:rsid w:val="00131689"/>
    <w:rsid w:val="00131D1D"/>
    <w:rsid w:val="0013249E"/>
    <w:rsid w:val="00132D86"/>
    <w:rsid w:val="001336C6"/>
    <w:rsid w:val="00133E9C"/>
    <w:rsid w:val="00140F22"/>
    <w:rsid w:val="001421C0"/>
    <w:rsid w:val="001438C3"/>
    <w:rsid w:val="00155EE2"/>
    <w:rsid w:val="0015776D"/>
    <w:rsid w:val="0016027D"/>
    <w:rsid w:val="0016109E"/>
    <w:rsid w:val="00161952"/>
    <w:rsid w:val="00162B46"/>
    <w:rsid w:val="0016381E"/>
    <w:rsid w:val="001673E2"/>
    <w:rsid w:val="00174383"/>
    <w:rsid w:val="001746B8"/>
    <w:rsid w:val="00175739"/>
    <w:rsid w:val="00176FFD"/>
    <w:rsid w:val="001775DD"/>
    <w:rsid w:val="0018348D"/>
    <w:rsid w:val="0018678C"/>
    <w:rsid w:val="001878CC"/>
    <w:rsid w:val="00187A7A"/>
    <w:rsid w:val="00195AFB"/>
    <w:rsid w:val="001A7EA2"/>
    <w:rsid w:val="001B1326"/>
    <w:rsid w:val="001B6F7A"/>
    <w:rsid w:val="001B7423"/>
    <w:rsid w:val="001B7ACE"/>
    <w:rsid w:val="001C0180"/>
    <w:rsid w:val="001C312D"/>
    <w:rsid w:val="001C773A"/>
    <w:rsid w:val="001D0313"/>
    <w:rsid w:val="001D21BE"/>
    <w:rsid w:val="001D51F4"/>
    <w:rsid w:val="001D624D"/>
    <w:rsid w:val="001E0D9A"/>
    <w:rsid w:val="001E1E95"/>
    <w:rsid w:val="001E2CE7"/>
    <w:rsid w:val="001E305C"/>
    <w:rsid w:val="001E4469"/>
    <w:rsid w:val="001E6ADB"/>
    <w:rsid w:val="001E6E26"/>
    <w:rsid w:val="001F61DD"/>
    <w:rsid w:val="00202AB4"/>
    <w:rsid w:val="002074A4"/>
    <w:rsid w:val="002102C0"/>
    <w:rsid w:val="0021082D"/>
    <w:rsid w:val="002131E3"/>
    <w:rsid w:val="00213A1B"/>
    <w:rsid w:val="002160CA"/>
    <w:rsid w:val="00220BFD"/>
    <w:rsid w:val="002218BB"/>
    <w:rsid w:val="0022203A"/>
    <w:rsid w:val="0022554C"/>
    <w:rsid w:val="00225811"/>
    <w:rsid w:val="00226A50"/>
    <w:rsid w:val="0023231C"/>
    <w:rsid w:val="00233513"/>
    <w:rsid w:val="00234F4E"/>
    <w:rsid w:val="0024161B"/>
    <w:rsid w:val="0024189A"/>
    <w:rsid w:val="00242E66"/>
    <w:rsid w:val="00245780"/>
    <w:rsid w:val="00246C8E"/>
    <w:rsid w:val="002516A2"/>
    <w:rsid w:val="00255B3F"/>
    <w:rsid w:val="00257E16"/>
    <w:rsid w:val="00267729"/>
    <w:rsid w:val="00272230"/>
    <w:rsid w:val="0027260D"/>
    <w:rsid w:val="002730B6"/>
    <w:rsid w:val="002731C3"/>
    <w:rsid w:val="00273B95"/>
    <w:rsid w:val="00274A9C"/>
    <w:rsid w:val="00277BA8"/>
    <w:rsid w:val="00280AB5"/>
    <w:rsid w:val="00282171"/>
    <w:rsid w:val="00282DDF"/>
    <w:rsid w:val="0028387B"/>
    <w:rsid w:val="00292907"/>
    <w:rsid w:val="00292A49"/>
    <w:rsid w:val="00293E86"/>
    <w:rsid w:val="002958C9"/>
    <w:rsid w:val="002A410D"/>
    <w:rsid w:val="002A4BA3"/>
    <w:rsid w:val="002A69FD"/>
    <w:rsid w:val="002C385D"/>
    <w:rsid w:val="002C763D"/>
    <w:rsid w:val="002D2904"/>
    <w:rsid w:val="002D5E73"/>
    <w:rsid w:val="002D78AF"/>
    <w:rsid w:val="002E13FC"/>
    <w:rsid w:val="002E2D83"/>
    <w:rsid w:val="002E3F5F"/>
    <w:rsid w:val="002E4F73"/>
    <w:rsid w:val="002E7887"/>
    <w:rsid w:val="002F39FF"/>
    <w:rsid w:val="002F6F28"/>
    <w:rsid w:val="003007AD"/>
    <w:rsid w:val="0030092A"/>
    <w:rsid w:val="00302A69"/>
    <w:rsid w:val="003033AE"/>
    <w:rsid w:val="00303CBD"/>
    <w:rsid w:val="00305683"/>
    <w:rsid w:val="00305F89"/>
    <w:rsid w:val="00310517"/>
    <w:rsid w:val="0031237B"/>
    <w:rsid w:val="00313D38"/>
    <w:rsid w:val="00315034"/>
    <w:rsid w:val="00315D18"/>
    <w:rsid w:val="00321C2A"/>
    <w:rsid w:val="00322D13"/>
    <w:rsid w:val="0033001B"/>
    <w:rsid w:val="0033271C"/>
    <w:rsid w:val="00334005"/>
    <w:rsid w:val="00336683"/>
    <w:rsid w:val="00343A19"/>
    <w:rsid w:val="00351163"/>
    <w:rsid w:val="00354CA9"/>
    <w:rsid w:val="00362F79"/>
    <w:rsid w:val="00363E75"/>
    <w:rsid w:val="003654C1"/>
    <w:rsid w:val="0037139D"/>
    <w:rsid w:val="00372F31"/>
    <w:rsid w:val="00390039"/>
    <w:rsid w:val="00390211"/>
    <w:rsid w:val="0039030C"/>
    <w:rsid w:val="00393673"/>
    <w:rsid w:val="00397969"/>
    <w:rsid w:val="003A3816"/>
    <w:rsid w:val="003A540A"/>
    <w:rsid w:val="003A5FE8"/>
    <w:rsid w:val="003B1C5E"/>
    <w:rsid w:val="003B2766"/>
    <w:rsid w:val="003B6AD0"/>
    <w:rsid w:val="003C2526"/>
    <w:rsid w:val="003C60D2"/>
    <w:rsid w:val="003E46C8"/>
    <w:rsid w:val="003E4B22"/>
    <w:rsid w:val="003F48BE"/>
    <w:rsid w:val="003F52B5"/>
    <w:rsid w:val="003F7056"/>
    <w:rsid w:val="00402732"/>
    <w:rsid w:val="00404E6A"/>
    <w:rsid w:val="004255B6"/>
    <w:rsid w:val="00425C77"/>
    <w:rsid w:val="004362BE"/>
    <w:rsid w:val="00441FF3"/>
    <w:rsid w:val="00443B3A"/>
    <w:rsid w:val="00445A91"/>
    <w:rsid w:val="00455349"/>
    <w:rsid w:val="00456366"/>
    <w:rsid w:val="00456BD7"/>
    <w:rsid w:val="0046204B"/>
    <w:rsid w:val="004633C6"/>
    <w:rsid w:val="00464FE2"/>
    <w:rsid w:val="00467587"/>
    <w:rsid w:val="004759EF"/>
    <w:rsid w:val="00476282"/>
    <w:rsid w:val="004770CE"/>
    <w:rsid w:val="00487AEE"/>
    <w:rsid w:val="0049386D"/>
    <w:rsid w:val="004939C2"/>
    <w:rsid w:val="00494C75"/>
    <w:rsid w:val="00495692"/>
    <w:rsid w:val="0049785A"/>
    <w:rsid w:val="004A1C7F"/>
    <w:rsid w:val="004A2CA4"/>
    <w:rsid w:val="004A5A60"/>
    <w:rsid w:val="004B033C"/>
    <w:rsid w:val="004B19A7"/>
    <w:rsid w:val="004B6D8C"/>
    <w:rsid w:val="004B72B6"/>
    <w:rsid w:val="004C0552"/>
    <w:rsid w:val="004C0D36"/>
    <w:rsid w:val="004C2711"/>
    <w:rsid w:val="004C30C0"/>
    <w:rsid w:val="004C3509"/>
    <w:rsid w:val="004C493D"/>
    <w:rsid w:val="004D6B6D"/>
    <w:rsid w:val="004E2810"/>
    <w:rsid w:val="004E4FBE"/>
    <w:rsid w:val="004E55A8"/>
    <w:rsid w:val="004E5CBE"/>
    <w:rsid w:val="004E6D1D"/>
    <w:rsid w:val="004F204D"/>
    <w:rsid w:val="004F44A6"/>
    <w:rsid w:val="004F44F9"/>
    <w:rsid w:val="004F5873"/>
    <w:rsid w:val="004F792A"/>
    <w:rsid w:val="00506249"/>
    <w:rsid w:val="005069BE"/>
    <w:rsid w:val="005105E2"/>
    <w:rsid w:val="00510ED5"/>
    <w:rsid w:val="00516F4A"/>
    <w:rsid w:val="005209A5"/>
    <w:rsid w:val="005217F5"/>
    <w:rsid w:val="0052372B"/>
    <w:rsid w:val="0053379F"/>
    <w:rsid w:val="00534792"/>
    <w:rsid w:val="00535891"/>
    <w:rsid w:val="0053793A"/>
    <w:rsid w:val="00537940"/>
    <w:rsid w:val="00540AA0"/>
    <w:rsid w:val="00543E77"/>
    <w:rsid w:val="00546720"/>
    <w:rsid w:val="0054735F"/>
    <w:rsid w:val="00554B65"/>
    <w:rsid w:val="005559FD"/>
    <w:rsid w:val="005615D9"/>
    <w:rsid w:val="00565C68"/>
    <w:rsid w:val="00571A73"/>
    <w:rsid w:val="0057398F"/>
    <w:rsid w:val="005741C9"/>
    <w:rsid w:val="00581998"/>
    <w:rsid w:val="00586462"/>
    <w:rsid w:val="0058732F"/>
    <w:rsid w:val="00590271"/>
    <w:rsid w:val="005908EC"/>
    <w:rsid w:val="00596590"/>
    <w:rsid w:val="00596ADF"/>
    <w:rsid w:val="005A3E4C"/>
    <w:rsid w:val="005A43B9"/>
    <w:rsid w:val="005B039F"/>
    <w:rsid w:val="005B22DF"/>
    <w:rsid w:val="005B4094"/>
    <w:rsid w:val="005B4F99"/>
    <w:rsid w:val="005B7435"/>
    <w:rsid w:val="005B7853"/>
    <w:rsid w:val="005C0453"/>
    <w:rsid w:val="005C3F8E"/>
    <w:rsid w:val="005D2724"/>
    <w:rsid w:val="005D322F"/>
    <w:rsid w:val="005D338B"/>
    <w:rsid w:val="005D5123"/>
    <w:rsid w:val="005E04C5"/>
    <w:rsid w:val="005F06E8"/>
    <w:rsid w:val="005F2272"/>
    <w:rsid w:val="005F59E3"/>
    <w:rsid w:val="005F5E52"/>
    <w:rsid w:val="006067AC"/>
    <w:rsid w:val="0061048A"/>
    <w:rsid w:val="00611F70"/>
    <w:rsid w:val="00621E69"/>
    <w:rsid w:val="00630238"/>
    <w:rsid w:val="006327CE"/>
    <w:rsid w:val="00632D41"/>
    <w:rsid w:val="0063508A"/>
    <w:rsid w:val="00637DC5"/>
    <w:rsid w:val="00646E59"/>
    <w:rsid w:val="006524E5"/>
    <w:rsid w:val="00654056"/>
    <w:rsid w:val="006571C9"/>
    <w:rsid w:val="00657B7D"/>
    <w:rsid w:val="00662E25"/>
    <w:rsid w:val="00671DF2"/>
    <w:rsid w:val="00672875"/>
    <w:rsid w:val="0067782E"/>
    <w:rsid w:val="00682226"/>
    <w:rsid w:val="006839BD"/>
    <w:rsid w:val="0068493F"/>
    <w:rsid w:val="0069141D"/>
    <w:rsid w:val="00692FFA"/>
    <w:rsid w:val="006A13F4"/>
    <w:rsid w:val="006A21D9"/>
    <w:rsid w:val="006A40D1"/>
    <w:rsid w:val="006B13E6"/>
    <w:rsid w:val="006B4844"/>
    <w:rsid w:val="006C2AB3"/>
    <w:rsid w:val="006C2BB3"/>
    <w:rsid w:val="006D7B13"/>
    <w:rsid w:val="006E47B5"/>
    <w:rsid w:val="006E485E"/>
    <w:rsid w:val="006E7ED1"/>
    <w:rsid w:val="006F0193"/>
    <w:rsid w:val="006F1856"/>
    <w:rsid w:val="006F2EAF"/>
    <w:rsid w:val="006F4E28"/>
    <w:rsid w:val="0070211E"/>
    <w:rsid w:val="007027BA"/>
    <w:rsid w:val="007075C1"/>
    <w:rsid w:val="00710991"/>
    <w:rsid w:val="00721B94"/>
    <w:rsid w:val="00726457"/>
    <w:rsid w:val="0072776B"/>
    <w:rsid w:val="00730C96"/>
    <w:rsid w:val="00733717"/>
    <w:rsid w:val="00735010"/>
    <w:rsid w:val="007369D1"/>
    <w:rsid w:val="00744628"/>
    <w:rsid w:val="00747CAD"/>
    <w:rsid w:val="00752D8A"/>
    <w:rsid w:val="00760A32"/>
    <w:rsid w:val="0076184A"/>
    <w:rsid w:val="007656F1"/>
    <w:rsid w:val="007769C2"/>
    <w:rsid w:val="007813E4"/>
    <w:rsid w:val="00785A75"/>
    <w:rsid w:val="0079295E"/>
    <w:rsid w:val="00793EEE"/>
    <w:rsid w:val="00794CAB"/>
    <w:rsid w:val="00796B72"/>
    <w:rsid w:val="00797427"/>
    <w:rsid w:val="007A39C9"/>
    <w:rsid w:val="007A5A3A"/>
    <w:rsid w:val="007B7CF0"/>
    <w:rsid w:val="007C2813"/>
    <w:rsid w:val="007C76BE"/>
    <w:rsid w:val="007D0DA0"/>
    <w:rsid w:val="007D334C"/>
    <w:rsid w:val="007E055A"/>
    <w:rsid w:val="007E1292"/>
    <w:rsid w:val="007E2C0B"/>
    <w:rsid w:val="007E313C"/>
    <w:rsid w:val="007F2FDC"/>
    <w:rsid w:val="007F4A9F"/>
    <w:rsid w:val="007F7F51"/>
    <w:rsid w:val="00800956"/>
    <w:rsid w:val="00802380"/>
    <w:rsid w:val="00802630"/>
    <w:rsid w:val="008047B5"/>
    <w:rsid w:val="00805AEC"/>
    <w:rsid w:val="00806B4B"/>
    <w:rsid w:val="0081040D"/>
    <w:rsid w:val="00810BD9"/>
    <w:rsid w:val="00811A6C"/>
    <w:rsid w:val="00814293"/>
    <w:rsid w:val="0081451F"/>
    <w:rsid w:val="00814DDA"/>
    <w:rsid w:val="00815028"/>
    <w:rsid w:val="008175A1"/>
    <w:rsid w:val="00820CB9"/>
    <w:rsid w:val="00821EED"/>
    <w:rsid w:val="00835CD8"/>
    <w:rsid w:val="00837CCD"/>
    <w:rsid w:val="0084238C"/>
    <w:rsid w:val="00842FEB"/>
    <w:rsid w:val="00843238"/>
    <w:rsid w:val="00843A95"/>
    <w:rsid w:val="00850F5C"/>
    <w:rsid w:val="00861030"/>
    <w:rsid w:val="008613C2"/>
    <w:rsid w:val="00863703"/>
    <w:rsid w:val="008649EE"/>
    <w:rsid w:val="00871E76"/>
    <w:rsid w:val="008727F8"/>
    <w:rsid w:val="00875BA4"/>
    <w:rsid w:val="00876E61"/>
    <w:rsid w:val="00876E6A"/>
    <w:rsid w:val="00877718"/>
    <w:rsid w:val="008807AB"/>
    <w:rsid w:val="00881095"/>
    <w:rsid w:val="00890867"/>
    <w:rsid w:val="00892C17"/>
    <w:rsid w:val="008A1525"/>
    <w:rsid w:val="008C048F"/>
    <w:rsid w:val="008C1857"/>
    <w:rsid w:val="008C6831"/>
    <w:rsid w:val="008D5585"/>
    <w:rsid w:val="008D5BA4"/>
    <w:rsid w:val="008E1982"/>
    <w:rsid w:val="008E7A2D"/>
    <w:rsid w:val="008F0519"/>
    <w:rsid w:val="008F1B32"/>
    <w:rsid w:val="008F303E"/>
    <w:rsid w:val="008F55C6"/>
    <w:rsid w:val="00900B7D"/>
    <w:rsid w:val="009010CD"/>
    <w:rsid w:val="00901638"/>
    <w:rsid w:val="00902DE0"/>
    <w:rsid w:val="009030C1"/>
    <w:rsid w:val="00903E9C"/>
    <w:rsid w:val="00905026"/>
    <w:rsid w:val="009061CC"/>
    <w:rsid w:val="00912062"/>
    <w:rsid w:val="00917ACA"/>
    <w:rsid w:val="00927C82"/>
    <w:rsid w:val="00941679"/>
    <w:rsid w:val="00941E74"/>
    <w:rsid w:val="00942839"/>
    <w:rsid w:val="00944E86"/>
    <w:rsid w:val="00950D5E"/>
    <w:rsid w:val="0095216F"/>
    <w:rsid w:val="00953C62"/>
    <w:rsid w:val="00954336"/>
    <w:rsid w:val="0095541C"/>
    <w:rsid w:val="0095693A"/>
    <w:rsid w:val="009634E5"/>
    <w:rsid w:val="00963B98"/>
    <w:rsid w:val="009711D4"/>
    <w:rsid w:val="009719A5"/>
    <w:rsid w:val="00985964"/>
    <w:rsid w:val="00987E94"/>
    <w:rsid w:val="00990803"/>
    <w:rsid w:val="00990E5F"/>
    <w:rsid w:val="00992938"/>
    <w:rsid w:val="00996A9E"/>
    <w:rsid w:val="009A328B"/>
    <w:rsid w:val="009A37C7"/>
    <w:rsid w:val="009A7444"/>
    <w:rsid w:val="009B136C"/>
    <w:rsid w:val="009B1580"/>
    <w:rsid w:val="009B3CBD"/>
    <w:rsid w:val="009B5A53"/>
    <w:rsid w:val="009C33BB"/>
    <w:rsid w:val="009D4B3C"/>
    <w:rsid w:val="009D4C0B"/>
    <w:rsid w:val="009D6AC8"/>
    <w:rsid w:val="009E2E83"/>
    <w:rsid w:val="009E6A1D"/>
    <w:rsid w:val="009F0E74"/>
    <w:rsid w:val="009F65C0"/>
    <w:rsid w:val="00A018BD"/>
    <w:rsid w:val="00A02875"/>
    <w:rsid w:val="00A02B69"/>
    <w:rsid w:val="00A03E04"/>
    <w:rsid w:val="00A04DFD"/>
    <w:rsid w:val="00A06A48"/>
    <w:rsid w:val="00A06B1D"/>
    <w:rsid w:val="00A11794"/>
    <w:rsid w:val="00A12540"/>
    <w:rsid w:val="00A142F3"/>
    <w:rsid w:val="00A17650"/>
    <w:rsid w:val="00A2139B"/>
    <w:rsid w:val="00A21CB7"/>
    <w:rsid w:val="00A21CBF"/>
    <w:rsid w:val="00A2412D"/>
    <w:rsid w:val="00A307CB"/>
    <w:rsid w:val="00A40330"/>
    <w:rsid w:val="00A463D6"/>
    <w:rsid w:val="00A46682"/>
    <w:rsid w:val="00A5544B"/>
    <w:rsid w:val="00A62E81"/>
    <w:rsid w:val="00A6379E"/>
    <w:rsid w:val="00A637CA"/>
    <w:rsid w:val="00A65363"/>
    <w:rsid w:val="00A67ECB"/>
    <w:rsid w:val="00A7235B"/>
    <w:rsid w:val="00A725D8"/>
    <w:rsid w:val="00A730EF"/>
    <w:rsid w:val="00A762DA"/>
    <w:rsid w:val="00A81D5C"/>
    <w:rsid w:val="00A867AB"/>
    <w:rsid w:val="00A86D22"/>
    <w:rsid w:val="00A879C5"/>
    <w:rsid w:val="00A946D7"/>
    <w:rsid w:val="00A95B88"/>
    <w:rsid w:val="00AA111E"/>
    <w:rsid w:val="00AA2B8B"/>
    <w:rsid w:val="00AA4197"/>
    <w:rsid w:val="00AA75FD"/>
    <w:rsid w:val="00AB1005"/>
    <w:rsid w:val="00AC0E8E"/>
    <w:rsid w:val="00AC1667"/>
    <w:rsid w:val="00AC3B63"/>
    <w:rsid w:val="00AC5939"/>
    <w:rsid w:val="00AC6435"/>
    <w:rsid w:val="00AD487E"/>
    <w:rsid w:val="00AE44E8"/>
    <w:rsid w:val="00AE56C8"/>
    <w:rsid w:val="00AE64A0"/>
    <w:rsid w:val="00AE7EDD"/>
    <w:rsid w:val="00AF0FDE"/>
    <w:rsid w:val="00AF14D4"/>
    <w:rsid w:val="00AF609F"/>
    <w:rsid w:val="00AF719F"/>
    <w:rsid w:val="00B01E7B"/>
    <w:rsid w:val="00B02536"/>
    <w:rsid w:val="00B02DFE"/>
    <w:rsid w:val="00B04F7F"/>
    <w:rsid w:val="00B06EED"/>
    <w:rsid w:val="00B11272"/>
    <w:rsid w:val="00B12C17"/>
    <w:rsid w:val="00B16055"/>
    <w:rsid w:val="00B1673C"/>
    <w:rsid w:val="00B219B1"/>
    <w:rsid w:val="00B23066"/>
    <w:rsid w:val="00B25382"/>
    <w:rsid w:val="00B2772C"/>
    <w:rsid w:val="00B31FA8"/>
    <w:rsid w:val="00B4175A"/>
    <w:rsid w:val="00B475D1"/>
    <w:rsid w:val="00B50739"/>
    <w:rsid w:val="00B52D4F"/>
    <w:rsid w:val="00B547D6"/>
    <w:rsid w:val="00B7145D"/>
    <w:rsid w:val="00B72F6C"/>
    <w:rsid w:val="00B83A92"/>
    <w:rsid w:val="00B84B6E"/>
    <w:rsid w:val="00BA38CB"/>
    <w:rsid w:val="00BA59A4"/>
    <w:rsid w:val="00BB09FB"/>
    <w:rsid w:val="00BB2986"/>
    <w:rsid w:val="00BB5B50"/>
    <w:rsid w:val="00BC1EC8"/>
    <w:rsid w:val="00BC27D3"/>
    <w:rsid w:val="00BC30EE"/>
    <w:rsid w:val="00BC69E4"/>
    <w:rsid w:val="00BD4195"/>
    <w:rsid w:val="00BE48E3"/>
    <w:rsid w:val="00BE4E92"/>
    <w:rsid w:val="00BE6EFB"/>
    <w:rsid w:val="00BF1CEA"/>
    <w:rsid w:val="00BF21CC"/>
    <w:rsid w:val="00BF288D"/>
    <w:rsid w:val="00BF2C87"/>
    <w:rsid w:val="00BF39A3"/>
    <w:rsid w:val="00BF3CA9"/>
    <w:rsid w:val="00BF64CD"/>
    <w:rsid w:val="00C07135"/>
    <w:rsid w:val="00C071E0"/>
    <w:rsid w:val="00C10113"/>
    <w:rsid w:val="00C125EF"/>
    <w:rsid w:val="00C1491F"/>
    <w:rsid w:val="00C1787E"/>
    <w:rsid w:val="00C209CF"/>
    <w:rsid w:val="00C20B27"/>
    <w:rsid w:val="00C35444"/>
    <w:rsid w:val="00C3591B"/>
    <w:rsid w:val="00C3702E"/>
    <w:rsid w:val="00C410D0"/>
    <w:rsid w:val="00C421D3"/>
    <w:rsid w:val="00C422C7"/>
    <w:rsid w:val="00C440BE"/>
    <w:rsid w:val="00C515E8"/>
    <w:rsid w:val="00C54318"/>
    <w:rsid w:val="00C6098D"/>
    <w:rsid w:val="00C66C1D"/>
    <w:rsid w:val="00C67C4E"/>
    <w:rsid w:val="00C757EF"/>
    <w:rsid w:val="00C810A8"/>
    <w:rsid w:val="00C81A3D"/>
    <w:rsid w:val="00C868DC"/>
    <w:rsid w:val="00C92C16"/>
    <w:rsid w:val="00C93108"/>
    <w:rsid w:val="00C95E47"/>
    <w:rsid w:val="00C96A15"/>
    <w:rsid w:val="00C96A84"/>
    <w:rsid w:val="00CA7364"/>
    <w:rsid w:val="00CB284E"/>
    <w:rsid w:val="00CB6978"/>
    <w:rsid w:val="00CD241E"/>
    <w:rsid w:val="00CD3BA4"/>
    <w:rsid w:val="00CD60C6"/>
    <w:rsid w:val="00CD6A2E"/>
    <w:rsid w:val="00CE77F5"/>
    <w:rsid w:val="00CF0AEC"/>
    <w:rsid w:val="00CF0F6C"/>
    <w:rsid w:val="00CF2381"/>
    <w:rsid w:val="00CF2CAD"/>
    <w:rsid w:val="00CF4817"/>
    <w:rsid w:val="00CF6AA1"/>
    <w:rsid w:val="00D008AB"/>
    <w:rsid w:val="00D00C38"/>
    <w:rsid w:val="00D04814"/>
    <w:rsid w:val="00D05295"/>
    <w:rsid w:val="00D067B6"/>
    <w:rsid w:val="00D07703"/>
    <w:rsid w:val="00D102F8"/>
    <w:rsid w:val="00D1635B"/>
    <w:rsid w:val="00D2024D"/>
    <w:rsid w:val="00D21D4C"/>
    <w:rsid w:val="00D24CEC"/>
    <w:rsid w:val="00D269F7"/>
    <w:rsid w:val="00D27E48"/>
    <w:rsid w:val="00D30CC5"/>
    <w:rsid w:val="00D30E70"/>
    <w:rsid w:val="00D318B5"/>
    <w:rsid w:val="00D32962"/>
    <w:rsid w:val="00D33222"/>
    <w:rsid w:val="00D40D8E"/>
    <w:rsid w:val="00D42D70"/>
    <w:rsid w:val="00D4380A"/>
    <w:rsid w:val="00D43C1F"/>
    <w:rsid w:val="00D4492A"/>
    <w:rsid w:val="00D642D7"/>
    <w:rsid w:val="00D71088"/>
    <w:rsid w:val="00D747C9"/>
    <w:rsid w:val="00D75787"/>
    <w:rsid w:val="00D778E8"/>
    <w:rsid w:val="00D81501"/>
    <w:rsid w:val="00D8339E"/>
    <w:rsid w:val="00D86CB3"/>
    <w:rsid w:val="00D9226B"/>
    <w:rsid w:val="00D92577"/>
    <w:rsid w:val="00D95645"/>
    <w:rsid w:val="00D95974"/>
    <w:rsid w:val="00D95C4A"/>
    <w:rsid w:val="00D96F2B"/>
    <w:rsid w:val="00DA0B1E"/>
    <w:rsid w:val="00DA33EE"/>
    <w:rsid w:val="00DB1C0F"/>
    <w:rsid w:val="00DB31C1"/>
    <w:rsid w:val="00DB534E"/>
    <w:rsid w:val="00DB764A"/>
    <w:rsid w:val="00DC0251"/>
    <w:rsid w:val="00DC08DF"/>
    <w:rsid w:val="00DC2696"/>
    <w:rsid w:val="00DC72BC"/>
    <w:rsid w:val="00DD1869"/>
    <w:rsid w:val="00DD30B3"/>
    <w:rsid w:val="00DD32A6"/>
    <w:rsid w:val="00DD6D30"/>
    <w:rsid w:val="00DE0676"/>
    <w:rsid w:val="00DE1CD9"/>
    <w:rsid w:val="00DE20A2"/>
    <w:rsid w:val="00DE5187"/>
    <w:rsid w:val="00DE7896"/>
    <w:rsid w:val="00DF0574"/>
    <w:rsid w:val="00DF2B33"/>
    <w:rsid w:val="00DF4CEF"/>
    <w:rsid w:val="00E006F8"/>
    <w:rsid w:val="00E06C92"/>
    <w:rsid w:val="00E128A0"/>
    <w:rsid w:val="00E142D6"/>
    <w:rsid w:val="00E16C86"/>
    <w:rsid w:val="00E200E5"/>
    <w:rsid w:val="00E20FCD"/>
    <w:rsid w:val="00E21FE8"/>
    <w:rsid w:val="00E23BC6"/>
    <w:rsid w:val="00E269A1"/>
    <w:rsid w:val="00E26D1E"/>
    <w:rsid w:val="00E309FA"/>
    <w:rsid w:val="00E36C30"/>
    <w:rsid w:val="00E40862"/>
    <w:rsid w:val="00E44BB7"/>
    <w:rsid w:val="00E4619F"/>
    <w:rsid w:val="00E513C0"/>
    <w:rsid w:val="00E53C3B"/>
    <w:rsid w:val="00E72D13"/>
    <w:rsid w:val="00E7613F"/>
    <w:rsid w:val="00E80C29"/>
    <w:rsid w:val="00E80C6E"/>
    <w:rsid w:val="00E81B21"/>
    <w:rsid w:val="00E862DE"/>
    <w:rsid w:val="00E8644F"/>
    <w:rsid w:val="00E91B0E"/>
    <w:rsid w:val="00E92390"/>
    <w:rsid w:val="00E92BE9"/>
    <w:rsid w:val="00EA24B9"/>
    <w:rsid w:val="00EA43BB"/>
    <w:rsid w:val="00EA44C6"/>
    <w:rsid w:val="00EA7753"/>
    <w:rsid w:val="00EB1D57"/>
    <w:rsid w:val="00EB2713"/>
    <w:rsid w:val="00EB663A"/>
    <w:rsid w:val="00EB7334"/>
    <w:rsid w:val="00EC292D"/>
    <w:rsid w:val="00EC5190"/>
    <w:rsid w:val="00EC5F1E"/>
    <w:rsid w:val="00EC7168"/>
    <w:rsid w:val="00EC78F6"/>
    <w:rsid w:val="00ED0A12"/>
    <w:rsid w:val="00ED1D44"/>
    <w:rsid w:val="00ED440E"/>
    <w:rsid w:val="00EE1AA2"/>
    <w:rsid w:val="00EE3766"/>
    <w:rsid w:val="00EE68A6"/>
    <w:rsid w:val="00EE7B74"/>
    <w:rsid w:val="00EF101F"/>
    <w:rsid w:val="00EF232D"/>
    <w:rsid w:val="00EF2C2E"/>
    <w:rsid w:val="00EF3C57"/>
    <w:rsid w:val="00EF4E21"/>
    <w:rsid w:val="00EF7B0B"/>
    <w:rsid w:val="00F00A58"/>
    <w:rsid w:val="00F02551"/>
    <w:rsid w:val="00F11C74"/>
    <w:rsid w:val="00F11E78"/>
    <w:rsid w:val="00F16671"/>
    <w:rsid w:val="00F23F07"/>
    <w:rsid w:val="00F2430F"/>
    <w:rsid w:val="00F252D9"/>
    <w:rsid w:val="00F272F8"/>
    <w:rsid w:val="00F40221"/>
    <w:rsid w:val="00F40972"/>
    <w:rsid w:val="00F414CB"/>
    <w:rsid w:val="00F417DC"/>
    <w:rsid w:val="00F42A9E"/>
    <w:rsid w:val="00F43067"/>
    <w:rsid w:val="00F43735"/>
    <w:rsid w:val="00F439EB"/>
    <w:rsid w:val="00F50364"/>
    <w:rsid w:val="00F545C4"/>
    <w:rsid w:val="00F65E88"/>
    <w:rsid w:val="00F71B4E"/>
    <w:rsid w:val="00F71F54"/>
    <w:rsid w:val="00F87F78"/>
    <w:rsid w:val="00F917DF"/>
    <w:rsid w:val="00F943F8"/>
    <w:rsid w:val="00FA0DC0"/>
    <w:rsid w:val="00FA5EE4"/>
    <w:rsid w:val="00FA6940"/>
    <w:rsid w:val="00FB31A7"/>
    <w:rsid w:val="00FB5C77"/>
    <w:rsid w:val="00FC0C59"/>
    <w:rsid w:val="00FC11AC"/>
    <w:rsid w:val="00FC2B8F"/>
    <w:rsid w:val="00FD2AA8"/>
    <w:rsid w:val="00FD325B"/>
    <w:rsid w:val="00FE0D7A"/>
    <w:rsid w:val="00FE29BC"/>
    <w:rsid w:val="00FF02CA"/>
    <w:rsid w:val="00FF27F9"/>
    <w:rsid w:val="00FF30E7"/>
    <w:rsid w:val="00FF468E"/>
    <w:rsid w:val="00FF5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39E"/>
  </w:style>
  <w:style w:type="paragraph" w:styleId="Footer">
    <w:name w:val="footer"/>
    <w:basedOn w:val="Normal"/>
    <w:link w:val="FooterChar"/>
    <w:uiPriority w:val="99"/>
    <w:semiHidden/>
    <w:unhideWhenUsed/>
    <w:rsid w:val="00D833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8339E"/>
  </w:style>
  <w:style w:type="table" w:styleId="TableGrid">
    <w:name w:val="Table Grid"/>
    <w:basedOn w:val="TableNormal"/>
    <w:uiPriority w:val="59"/>
    <w:rsid w:val="00DA0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2381"/>
    <w:pPr>
      <w:ind w:left="720"/>
      <w:contextualSpacing/>
    </w:pPr>
  </w:style>
  <w:style w:type="character" w:styleId="Hyperlink">
    <w:name w:val="Hyperlink"/>
    <w:basedOn w:val="DefaultParagraphFont"/>
    <w:uiPriority w:val="99"/>
    <w:unhideWhenUsed/>
    <w:rsid w:val="00A725D8"/>
    <w:rPr>
      <w:color w:val="0000FF" w:themeColor="hyperlink"/>
      <w:u w:val="single"/>
    </w:rPr>
  </w:style>
  <w:style w:type="character" w:styleId="FollowedHyperlink">
    <w:name w:val="FollowedHyperlink"/>
    <w:basedOn w:val="DefaultParagraphFont"/>
    <w:uiPriority w:val="99"/>
    <w:semiHidden/>
    <w:unhideWhenUsed/>
    <w:rsid w:val="002C385D"/>
    <w:rPr>
      <w:color w:val="800080" w:themeColor="followedHyperlink"/>
      <w:u w:val="single"/>
    </w:rPr>
  </w:style>
  <w:style w:type="paragraph" w:styleId="BalloonText">
    <w:name w:val="Balloon Text"/>
    <w:basedOn w:val="Normal"/>
    <w:link w:val="BalloonTextChar"/>
    <w:uiPriority w:val="99"/>
    <w:semiHidden/>
    <w:unhideWhenUsed/>
    <w:rsid w:val="0080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630"/>
    <w:rPr>
      <w:rFonts w:ascii="Tahoma" w:hAnsi="Tahoma" w:cs="Tahoma"/>
      <w:sz w:val="16"/>
      <w:szCs w:val="16"/>
    </w:rPr>
  </w:style>
  <w:style w:type="paragraph" w:styleId="NormalWeb">
    <w:name w:val="Normal (Web)"/>
    <w:basedOn w:val="Normal"/>
    <w:uiPriority w:val="99"/>
    <w:semiHidden/>
    <w:unhideWhenUsed/>
    <w:rsid w:val="002D78AF"/>
    <w:pPr>
      <w:spacing w:before="100" w:beforeAutospacing="1" w:after="100" w:afterAutospacing="1" w:line="336" w:lineRule="atLeast"/>
      <w:textAlignment w:val="top"/>
    </w:pPr>
    <w:rPr>
      <w:rFonts w:ascii="Times New Roman" w:eastAsia="Times New Roman" w:hAnsi="Times New Roman" w:cs="Times New Roman"/>
      <w:sz w:val="17"/>
      <w:szCs w:val="17"/>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4064">
      <w:bodyDiv w:val="1"/>
      <w:marLeft w:val="0"/>
      <w:marRight w:val="0"/>
      <w:marTop w:val="0"/>
      <w:marBottom w:val="0"/>
      <w:divBdr>
        <w:top w:val="none" w:sz="0" w:space="0" w:color="auto"/>
        <w:left w:val="none" w:sz="0" w:space="0" w:color="auto"/>
        <w:bottom w:val="none" w:sz="0" w:space="0" w:color="auto"/>
        <w:right w:val="none" w:sz="0" w:space="0" w:color="auto"/>
      </w:divBdr>
      <w:divsChild>
        <w:div w:id="1316178249">
          <w:marLeft w:val="2837"/>
          <w:marRight w:val="0"/>
          <w:marTop w:val="154"/>
          <w:marBottom w:val="0"/>
          <w:divBdr>
            <w:top w:val="none" w:sz="0" w:space="0" w:color="auto"/>
            <w:left w:val="none" w:sz="0" w:space="0" w:color="auto"/>
            <w:bottom w:val="none" w:sz="0" w:space="0" w:color="auto"/>
            <w:right w:val="none" w:sz="0" w:space="0" w:color="auto"/>
          </w:divBdr>
        </w:div>
      </w:divsChild>
    </w:div>
    <w:div w:id="485122616">
      <w:bodyDiv w:val="1"/>
      <w:marLeft w:val="0"/>
      <w:marRight w:val="0"/>
      <w:marTop w:val="0"/>
      <w:marBottom w:val="0"/>
      <w:divBdr>
        <w:top w:val="none" w:sz="0" w:space="0" w:color="auto"/>
        <w:left w:val="none" w:sz="0" w:space="0" w:color="auto"/>
        <w:bottom w:val="none" w:sz="0" w:space="0" w:color="auto"/>
        <w:right w:val="none" w:sz="0" w:space="0" w:color="auto"/>
      </w:divBdr>
      <w:divsChild>
        <w:div w:id="582371344">
          <w:marLeft w:val="0"/>
          <w:marRight w:val="0"/>
          <w:marTop w:val="0"/>
          <w:marBottom w:val="0"/>
          <w:divBdr>
            <w:top w:val="none" w:sz="0" w:space="0" w:color="auto"/>
            <w:left w:val="none" w:sz="0" w:space="0" w:color="auto"/>
            <w:bottom w:val="none" w:sz="0" w:space="0" w:color="auto"/>
            <w:right w:val="none" w:sz="0" w:space="0" w:color="auto"/>
          </w:divBdr>
          <w:divsChild>
            <w:div w:id="1567377237">
              <w:marLeft w:val="0"/>
              <w:marRight w:val="0"/>
              <w:marTop w:val="0"/>
              <w:marBottom w:val="435"/>
              <w:divBdr>
                <w:top w:val="none" w:sz="0" w:space="0" w:color="auto"/>
                <w:left w:val="none" w:sz="0" w:space="0" w:color="auto"/>
                <w:bottom w:val="none" w:sz="0" w:space="0" w:color="auto"/>
                <w:right w:val="none" w:sz="0" w:space="0" w:color="auto"/>
              </w:divBdr>
              <w:divsChild>
                <w:div w:id="421529149">
                  <w:marLeft w:val="0"/>
                  <w:marRight w:val="0"/>
                  <w:marTop w:val="0"/>
                  <w:marBottom w:val="0"/>
                  <w:divBdr>
                    <w:top w:val="none" w:sz="0" w:space="0" w:color="auto"/>
                    <w:left w:val="none" w:sz="0" w:space="0" w:color="auto"/>
                    <w:bottom w:val="none" w:sz="0" w:space="0" w:color="auto"/>
                    <w:right w:val="none" w:sz="0" w:space="0" w:color="auto"/>
                  </w:divBdr>
                  <w:divsChild>
                    <w:div w:id="1000549823">
                      <w:marLeft w:val="0"/>
                      <w:marRight w:val="0"/>
                      <w:marTop w:val="0"/>
                      <w:marBottom w:val="0"/>
                      <w:divBdr>
                        <w:top w:val="none" w:sz="0" w:space="0" w:color="auto"/>
                        <w:left w:val="none" w:sz="0" w:space="0" w:color="auto"/>
                        <w:bottom w:val="none" w:sz="0" w:space="0" w:color="auto"/>
                        <w:right w:val="none" w:sz="0" w:space="0" w:color="auto"/>
                      </w:divBdr>
                      <w:divsChild>
                        <w:div w:id="2082749089">
                          <w:marLeft w:val="0"/>
                          <w:marRight w:val="0"/>
                          <w:marTop w:val="0"/>
                          <w:marBottom w:val="0"/>
                          <w:divBdr>
                            <w:top w:val="none" w:sz="0" w:space="0" w:color="auto"/>
                            <w:left w:val="none" w:sz="0" w:space="0" w:color="auto"/>
                            <w:bottom w:val="none" w:sz="0" w:space="0" w:color="auto"/>
                            <w:right w:val="none" w:sz="0" w:space="0" w:color="auto"/>
                          </w:divBdr>
                          <w:divsChild>
                            <w:div w:id="125121439">
                              <w:marLeft w:val="0"/>
                              <w:marRight w:val="195"/>
                              <w:marTop w:val="195"/>
                              <w:marBottom w:val="0"/>
                              <w:divBdr>
                                <w:top w:val="none" w:sz="0" w:space="0" w:color="auto"/>
                                <w:left w:val="none" w:sz="0" w:space="0" w:color="auto"/>
                                <w:bottom w:val="none" w:sz="0" w:space="0" w:color="auto"/>
                                <w:right w:val="none" w:sz="0" w:space="0" w:color="auto"/>
                              </w:divBdr>
                              <w:divsChild>
                                <w:div w:id="565989068">
                                  <w:marLeft w:val="0"/>
                                  <w:marRight w:val="0"/>
                                  <w:marTop w:val="0"/>
                                  <w:marBottom w:val="195"/>
                                  <w:divBdr>
                                    <w:top w:val="single" w:sz="6" w:space="10" w:color="D7D6C2"/>
                                    <w:left w:val="single" w:sz="6" w:space="12" w:color="D7D6C2"/>
                                    <w:bottom w:val="single" w:sz="6" w:space="3" w:color="D7D6C2"/>
                                    <w:right w:val="single" w:sz="6" w:space="12" w:color="D7D6C2"/>
                                  </w:divBdr>
                                  <w:divsChild>
                                    <w:div w:id="441846856">
                                      <w:marLeft w:val="0"/>
                                      <w:marRight w:val="0"/>
                                      <w:marTop w:val="0"/>
                                      <w:marBottom w:val="0"/>
                                      <w:divBdr>
                                        <w:top w:val="none" w:sz="0" w:space="0" w:color="auto"/>
                                        <w:left w:val="none" w:sz="0" w:space="0" w:color="auto"/>
                                        <w:bottom w:val="none" w:sz="0" w:space="0" w:color="auto"/>
                                        <w:right w:val="none" w:sz="0" w:space="0" w:color="auto"/>
                                      </w:divBdr>
                                      <w:divsChild>
                                        <w:div w:id="761686865">
                                          <w:marLeft w:val="0"/>
                                          <w:marRight w:val="0"/>
                                          <w:marTop w:val="105"/>
                                          <w:marBottom w:val="150"/>
                                          <w:divBdr>
                                            <w:top w:val="none" w:sz="0" w:space="0" w:color="auto"/>
                                            <w:left w:val="none" w:sz="0" w:space="0" w:color="auto"/>
                                            <w:bottom w:val="none" w:sz="0" w:space="0" w:color="auto"/>
                                            <w:right w:val="none" w:sz="0" w:space="0" w:color="auto"/>
                                          </w:divBdr>
                                          <w:divsChild>
                                            <w:div w:id="6638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130118">
      <w:bodyDiv w:val="1"/>
      <w:marLeft w:val="0"/>
      <w:marRight w:val="0"/>
      <w:marTop w:val="0"/>
      <w:marBottom w:val="0"/>
      <w:divBdr>
        <w:top w:val="none" w:sz="0" w:space="0" w:color="auto"/>
        <w:left w:val="none" w:sz="0" w:space="0" w:color="auto"/>
        <w:bottom w:val="none" w:sz="0" w:space="0" w:color="auto"/>
        <w:right w:val="none" w:sz="0" w:space="0" w:color="auto"/>
      </w:divBdr>
      <w:divsChild>
        <w:div w:id="1224634627">
          <w:marLeft w:val="0"/>
          <w:marRight w:val="0"/>
          <w:marTop w:val="375"/>
          <w:marBottom w:val="375"/>
          <w:divBdr>
            <w:top w:val="none" w:sz="0" w:space="0" w:color="auto"/>
            <w:left w:val="none" w:sz="0" w:space="0" w:color="auto"/>
            <w:bottom w:val="none" w:sz="0" w:space="0" w:color="auto"/>
            <w:right w:val="none" w:sz="0" w:space="0" w:color="auto"/>
          </w:divBdr>
          <w:divsChild>
            <w:div w:id="1314456431">
              <w:marLeft w:val="0"/>
              <w:marRight w:val="0"/>
              <w:marTop w:val="0"/>
              <w:marBottom w:val="0"/>
              <w:divBdr>
                <w:top w:val="none" w:sz="0" w:space="0" w:color="auto"/>
                <w:left w:val="none" w:sz="0" w:space="0" w:color="auto"/>
                <w:bottom w:val="none" w:sz="0" w:space="0" w:color="auto"/>
                <w:right w:val="none" w:sz="0" w:space="0" w:color="auto"/>
              </w:divBdr>
              <w:divsChild>
                <w:div w:id="20671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97593">
      <w:bodyDiv w:val="1"/>
      <w:marLeft w:val="0"/>
      <w:marRight w:val="0"/>
      <w:marTop w:val="0"/>
      <w:marBottom w:val="0"/>
      <w:divBdr>
        <w:top w:val="none" w:sz="0" w:space="0" w:color="auto"/>
        <w:left w:val="none" w:sz="0" w:space="0" w:color="auto"/>
        <w:bottom w:val="none" w:sz="0" w:space="0" w:color="auto"/>
        <w:right w:val="none" w:sz="0" w:space="0" w:color="auto"/>
      </w:divBdr>
      <w:divsChild>
        <w:div w:id="1453868599">
          <w:marLeft w:val="0"/>
          <w:marRight w:val="0"/>
          <w:marTop w:val="375"/>
          <w:marBottom w:val="375"/>
          <w:divBdr>
            <w:top w:val="none" w:sz="0" w:space="0" w:color="auto"/>
            <w:left w:val="none" w:sz="0" w:space="0" w:color="auto"/>
            <w:bottom w:val="none" w:sz="0" w:space="0" w:color="auto"/>
            <w:right w:val="none" w:sz="0" w:space="0" w:color="auto"/>
          </w:divBdr>
          <w:divsChild>
            <w:div w:id="491484420">
              <w:marLeft w:val="0"/>
              <w:marRight w:val="0"/>
              <w:marTop w:val="0"/>
              <w:marBottom w:val="0"/>
              <w:divBdr>
                <w:top w:val="none" w:sz="0" w:space="0" w:color="auto"/>
                <w:left w:val="none" w:sz="0" w:space="0" w:color="auto"/>
                <w:bottom w:val="none" w:sz="0" w:space="0" w:color="auto"/>
                <w:right w:val="none" w:sz="0" w:space="0" w:color="auto"/>
              </w:divBdr>
              <w:divsChild>
                <w:div w:id="15956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5711">
      <w:bodyDiv w:val="1"/>
      <w:marLeft w:val="0"/>
      <w:marRight w:val="0"/>
      <w:marTop w:val="0"/>
      <w:marBottom w:val="0"/>
      <w:divBdr>
        <w:top w:val="none" w:sz="0" w:space="0" w:color="auto"/>
        <w:left w:val="none" w:sz="0" w:space="0" w:color="auto"/>
        <w:bottom w:val="none" w:sz="0" w:space="0" w:color="auto"/>
        <w:right w:val="none" w:sz="0" w:space="0" w:color="auto"/>
      </w:divBdr>
    </w:div>
    <w:div w:id="1458645225">
      <w:bodyDiv w:val="1"/>
      <w:marLeft w:val="0"/>
      <w:marRight w:val="0"/>
      <w:marTop w:val="0"/>
      <w:marBottom w:val="0"/>
      <w:divBdr>
        <w:top w:val="none" w:sz="0" w:space="0" w:color="auto"/>
        <w:left w:val="none" w:sz="0" w:space="0" w:color="auto"/>
        <w:bottom w:val="none" w:sz="0" w:space="0" w:color="auto"/>
        <w:right w:val="none" w:sz="0" w:space="0" w:color="auto"/>
      </w:divBdr>
    </w:div>
    <w:div w:id="1740009611">
      <w:bodyDiv w:val="1"/>
      <w:marLeft w:val="0"/>
      <w:marRight w:val="0"/>
      <w:marTop w:val="0"/>
      <w:marBottom w:val="0"/>
      <w:divBdr>
        <w:top w:val="none" w:sz="0" w:space="0" w:color="auto"/>
        <w:left w:val="none" w:sz="0" w:space="0" w:color="auto"/>
        <w:bottom w:val="none" w:sz="0" w:space="0" w:color="auto"/>
        <w:right w:val="none" w:sz="0" w:space="0" w:color="auto"/>
      </w:divBdr>
    </w:div>
    <w:div w:id="195883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hyperlink" Target="http://www.hefce.ac.uk/pubs/hefce/2009/09_18/" TargetMode="External"/><Relationship Id="rId21" Type="http://schemas.openxmlformats.org/officeDocument/2006/relationships/hyperlink" Target="http://www.hesa.ac.uk/content/view/2072/141/" TargetMode="External"/><Relationship Id="rId22" Type="http://schemas.openxmlformats.org/officeDocument/2006/relationships/hyperlink" Target="http://cee.lse.ac.uk/ceedps/ceedp99.pdf" TargetMode="External"/><Relationship Id="rId23" Type="http://schemas.openxmlformats.org/officeDocument/2006/relationships/hyperlink" Target="http://www.if.org.uk/archives/category/research" TargetMode="External"/><Relationship Id="rId24" Type="http://schemas.openxmlformats.org/officeDocument/2006/relationships/hyperlink" Target="http://www.russellgroup.ac.uk/russell-group-latest-news/121-2010/4066-social-mobility-and-access-to-professions/" TargetMode="External"/><Relationship Id="rId25" Type="http://schemas.openxmlformats.org/officeDocument/2006/relationships/hyperlink" Target="http://www.russellgroup.ac.uk/russell-group-latest-news/151-2012/5156-agr-graduate-salary-survey/" TargetMode="External"/><Relationship Id="rId26" Type="http://schemas.openxmlformats.org/officeDocument/2006/relationships/hyperlink" Target="http://www.direct.gov.uk/prod_consum_dg/groups/dg_digitalassets/@dg/@en/@educ/documents/digitalasset/dg_200469.pdf" TargetMode="External"/><Relationship Id="rId27" Type="http://schemas.openxmlformats.org/officeDocument/2006/relationships/hyperlink" Target="http://www.timeshighereducation.co.uk/story.asp?storyCode=176955&amp;sectioncode=26" TargetMode="External"/><Relationship Id="rId28" Type="http://schemas.openxmlformats.org/officeDocument/2006/relationships/hyperlink" Target="http://www.hepi.ac.uk/466/Reports.html" TargetMode="External"/><Relationship Id="rId29" Type="http://schemas.openxmlformats.org/officeDocument/2006/relationships/hyperlink" Target="http://www.lums.lancs.ac.uk/news/research/22230/earnings-from-learning/" TargetMode="External"/><Relationship Id="rId30" Type="http://schemas.openxmlformats.org/officeDocument/2006/relationships/hyperlink" Target="http://www.conservatives.com/News/Speeches/2011/10/Willetts_We_are_giving_young_people_the_opportunity_to_achieve_their_ambitions.aspx"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hyperlink" Target="http://www.ucas.com/students/ucas_tariff/tarifftables/" TargetMode="External"/><Relationship Id="rId12" Type="http://schemas.openxmlformats.org/officeDocument/2006/relationships/chart" Target="charts/chart3.xml"/><Relationship Id="rId13" Type="http://schemas.openxmlformats.org/officeDocument/2006/relationships/hyperlink" Target="http://ftp.iza.org/dp6337.pdf" TargetMode="External"/><Relationship Id="rId14" Type="http://schemas.openxmlformats.org/officeDocument/2006/relationships/hyperlink" Target="http://ftp.iza.org/dp848.pdf" TargetMode="External"/><Relationship Id="rId15" Type="http://schemas.openxmlformats.org/officeDocument/2006/relationships/hyperlink" Target="http://cee.lse.ac.uk/pubs/The_Returns_to_Higher_Education_Teaching.pdf" TargetMode="External"/><Relationship Id="rId16" Type="http://schemas.openxmlformats.org/officeDocument/2006/relationships/hyperlink" Target="http://www.bis.gov.uk/assets/biscore/higher-education/docs/r/11-973-returns-to-higher-education-qualifications.pdf" TargetMode="External"/><Relationship Id="rId17" Type="http://schemas.openxmlformats.org/officeDocument/2006/relationships/hyperlink" Target="http://www.education.gov.uk/publications/eOrderingDownload/RR386.pdf" TargetMode="External"/><Relationship Id="rId18" Type="http://schemas.openxmlformats.org/officeDocument/2006/relationships/hyperlink" Target="http://www.ifs.org.uk/publications/2719" TargetMode="External"/><Relationship Id="rId19" Type="http://schemas.openxmlformats.org/officeDocument/2006/relationships/hyperlink" Target="http://danhawes.blogspot.co.uk/2008/03/graduates-with-good-degrees-and-poor.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hn\John%20Files\Documents\Analysis\HEPI\Returns%20conference\KS5%20HE%20participation.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hn\John%20Files\Documents\Analysis\HEPI\Returns%20conference\KS5%20HE%20participation.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hn\John%20Files\Documents\Analysis\HEPI\Returns%20conference\Devereux_data_plo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HE</c:v>
          </c:tx>
          <c:invertIfNegative val="0"/>
          <c:cat>
            <c:strRef>
              <c:f>Sheet2!$M$12:$M$16</c:f>
              <c:strCache>
                <c:ptCount val="5"/>
                <c:pt idx="0">
                  <c:v>&gt;= 3 A levels</c:v>
                </c:pt>
                <c:pt idx="1">
                  <c:v>Int Bac</c:v>
                </c:pt>
                <c:pt idx="2">
                  <c:v>2 A levels</c:v>
                </c:pt>
                <c:pt idx="3">
                  <c:v>BTEC Dip</c:v>
                </c:pt>
                <c:pt idx="4">
                  <c:v>BTEC Cert</c:v>
                </c:pt>
              </c:strCache>
            </c:strRef>
          </c:cat>
          <c:val>
            <c:numRef>
              <c:f>Sheet2!$N$12:$N$16</c:f>
              <c:numCache>
                <c:formatCode>0%</c:formatCode>
                <c:ptCount val="5"/>
                <c:pt idx="0">
                  <c:v>0.753742107118823</c:v>
                </c:pt>
                <c:pt idx="1">
                  <c:v>0.00541684028334246</c:v>
                </c:pt>
                <c:pt idx="2">
                  <c:v>0.128978492900413</c:v>
                </c:pt>
                <c:pt idx="3">
                  <c:v>0.0873104907208565</c:v>
                </c:pt>
                <c:pt idx="4">
                  <c:v>0.0245520689765698</c:v>
                </c:pt>
              </c:numCache>
            </c:numRef>
          </c:val>
        </c:ser>
        <c:ser>
          <c:idx val="1"/>
          <c:order val="1"/>
          <c:tx>
            <c:v>Not HE</c:v>
          </c:tx>
          <c:invertIfNegative val="0"/>
          <c:cat>
            <c:strRef>
              <c:f>Sheet2!$M$12:$M$16</c:f>
              <c:strCache>
                <c:ptCount val="5"/>
                <c:pt idx="0">
                  <c:v>&gt;= 3 A levels</c:v>
                </c:pt>
                <c:pt idx="1">
                  <c:v>Int Bac</c:v>
                </c:pt>
                <c:pt idx="2">
                  <c:v>2 A levels</c:v>
                </c:pt>
                <c:pt idx="3">
                  <c:v>BTEC Dip</c:v>
                </c:pt>
                <c:pt idx="4">
                  <c:v>BTEC Cert</c:v>
                </c:pt>
              </c:strCache>
            </c:strRef>
          </c:cat>
          <c:val>
            <c:numRef>
              <c:f>Sheet2!$O$12:$O$16</c:f>
              <c:numCache>
                <c:formatCode>0%</c:formatCode>
                <c:ptCount val="5"/>
                <c:pt idx="0">
                  <c:v>0.383374454355669</c:v>
                </c:pt>
                <c:pt idx="1">
                  <c:v>0.00275194534067186</c:v>
                </c:pt>
                <c:pt idx="2">
                  <c:v>0.225374833934333</c:v>
                </c:pt>
                <c:pt idx="3">
                  <c:v>0.275858796735625</c:v>
                </c:pt>
                <c:pt idx="4">
                  <c:v>0.112639969633706</c:v>
                </c:pt>
              </c:numCache>
            </c:numRef>
          </c:val>
        </c:ser>
        <c:dLbls>
          <c:showLegendKey val="0"/>
          <c:showVal val="0"/>
          <c:showCatName val="0"/>
          <c:showSerName val="0"/>
          <c:showPercent val="0"/>
          <c:showBubbleSize val="0"/>
        </c:dLbls>
        <c:gapWidth val="150"/>
        <c:axId val="-2062057784"/>
        <c:axId val="-2084628648"/>
      </c:barChart>
      <c:catAx>
        <c:axId val="-2062057784"/>
        <c:scaling>
          <c:orientation val="minMax"/>
        </c:scaling>
        <c:delete val="0"/>
        <c:axPos val="b"/>
        <c:numFmt formatCode="General" sourceLinked="1"/>
        <c:majorTickMark val="out"/>
        <c:minorTickMark val="none"/>
        <c:tickLblPos val="nextTo"/>
        <c:txPr>
          <a:bodyPr/>
          <a:lstStyle/>
          <a:p>
            <a:pPr>
              <a:defRPr sz="1100" baseline="0">
                <a:latin typeface="Verdana" pitchFamily="34" charset="0"/>
              </a:defRPr>
            </a:pPr>
            <a:endParaRPr lang="en-US"/>
          </a:p>
        </c:txPr>
        <c:crossAx val="-2084628648"/>
        <c:crosses val="autoZero"/>
        <c:auto val="1"/>
        <c:lblAlgn val="ctr"/>
        <c:lblOffset val="100"/>
        <c:noMultiLvlLbl val="0"/>
      </c:catAx>
      <c:valAx>
        <c:axId val="-2084628648"/>
        <c:scaling>
          <c:orientation val="minMax"/>
        </c:scaling>
        <c:delete val="0"/>
        <c:axPos val="l"/>
        <c:majorGridlines/>
        <c:numFmt formatCode="0%" sourceLinked="1"/>
        <c:majorTickMark val="out"/>
        <c:minorTickMark val="none"/>
        <c:tickLblPos val="nextTo"/>
        <c:txPr>
          <a:bodyPr/>
          <a:lstStyle/>
          <a:p>
            <a:pPr>
              <a:defRPr sz="1100" baseline="0">
                <a:latin typeface="Verdana" pitchFamily="34" charset="0"/>
              </a:defRPr>
            </a:pPr>
            <a:endParaRPr lang="en-US"/>
          </a:p>
        </c:txPr>
        <c:crossAx val="-2062057784"/>
        <c:crosses val="autoZero"/>
        <c:crossBetween val="between"/>
      </c:valAx>
      <c:spPr>
        <a:noFill/>
        <a:ln w="25400">
          <a:noFill/>
        </a:ln>
      </c:spPr>
    </c:plotArea>
    <c:legend>
      <c:legendPos val="r"/>
      <c:layout/>
      <c:overlay val="0"/>
      <c:txPr>
        <a:bodyPr/>
        <a:lstStyle/>
        <a:p>
          <a:pPr>
            <a:defRPr sz="1100" baseline="0">
              <a:latin typeface="Verdana" pitchFamily="34" charset="0"/>
            </a:defRPr>
          </a:pPr>
          <a:endParaRPr lang="en-US"/>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HE</c:v>
          </c:tx>
          <c:invertIfNegative val="0"/>
          <c:cat>
            <c:numRef>
              <c:f>Sheet1!$N$3:$N$15</c:f>
              <c:numCache>
                <c:formatCode>0</c:formatCode>
                <c:ptCount val="13"/>
                <c:pt idx="0">
                  <c:v>120.0</c:v>
                </c:pt>
                <c:pt idx="1">
                  <c:v>140.0</c:v>
                </c:pt>
                <c:pt idx="2">
                  <c:v>160.0</c:v>
                </c:pt>
                <c:pt idx="3">
                  <c:v>180.0</c:v>
                </c:pt>
                <c:pt idx="4">
                  <c:v>200.0</c:v>
                </c:pt>
                <c:pt idx="5">
                  <c:v>220.0</c:v>
                </c:pt>
                <c:pt idx="6">
                  <c:v>240.0</c:v>
                </c:pt>
                <c:pt idx="7">
                  <c:v>260.0</c:v>
                </c:pt>
                <c:pt idx="8">
                  <c:v>280.0</c:v>
                </c:pt>
                <c:pt idx="9">
                  <c:v>300.0</c:v>
                </c:pt>
                <c:pt idx="10">
                  <c:v>320.0</c:v>
                </c:pt>
                <c:pt idx="11">
                  <c:v>340.0</c:v>
                </c:pt>
                <c:pt idx="12">
                  <c:v>360.0</c:v>
                </c:pt>
              </c:numCache>
            </c:numRef>
          </c:cat>
          <c:val>
            <c:numRef>
              <c:f>Sheet1!$O$3:$O$15</c:f>
              <c:numCache>
                <c:formatCode>0%</c:formatCode>
                <c:ptCount val="13"/>
                <c:pt idx="0">
                  <c:v>0.00134619699349339</c:v>
                </c:pt>
                <c:pt idx="1">
                  <c:v>0.00673098496746689</c:v>
                </c:pt>
                <c:pt idx="2">
                  <c:v>0.0158017885188629</c:v>
                </c:pt>
                <c:pt idx="3">
                  <c:v>0.0300009615692811</c:v>
                </c:pt>
                <c:pt idx="4">
                  <c:v>0.0438155069072727</c:v>
                </c:pt>
                <c:pt idx="5">
                  <c:v>0.0581428891951665</c:v>
                </c:pt>
                <c:pt idx="6">
                  <c:v>0.0704830283021892</c:v>
                </c:pt>
                <c:pt idx="7">
                  <c:v>0.0800666688034877</c:v>
                </c:pt>
                <c:pt idx="8">
                  <c:v>0.0832077951216385</c:v>
                </c:pt>
                <c:pt idx="9">
                  <c:v>0.0850027244462963</c:v>
                </c:pt>
                <c:pt idx="10">
                  <c:v>0.0835603705246977</c:v>
                </c:pt>
                <c:pt idx="11">
                  <c:v>0.0766370717010161</c:v>
                </c:pt>
                <c:pt idx="12">
                  <c:v>0.118946120067952</c:v>
                </c:pt>
              </c:numCache>
            </c:numRef>
          </c:val>
        </c:ser>
        <c:ser>
          <c:idx val="1"/>
          <c:order val="1"/>
          <c:tx>
            <c:v>Not HE</c:v>
          </c:tx>
          <c:invertIfNegative val="0"/>
          <c:cat>
            <c:numRef>
              <c:f>Sheet1!$N$3:$N$15</c:f>
              <c:numCache>
                <c:formatCode>0</c:formatCode>
                <c:ptCount val="13"/>
                <c:pt idx="0">
                  <c:v>120.0</c:v>
                </c:pt>
                <c:pt idx="1">
                  <c:v>140.0</c:v>
                </c:pt>
                <c:pt idx="2">
                  <c:v>160.0</c:v>
                </c:pt>
                <c:pt idx="3">
                  <c:v>180.0</c:v>
                </c:pt>
                <c:pt idx="4">
                  <c:v>200.0</c:v>
                </c:pt>
                <c:pt idx="5">
                  <c:v>220.0</c:v>
                </c:pt>
                <c:pt idx="6">
                  <c:v>240.0</c:v>
                </c:pt>
                <c:pt idx="7">
                  <c:v>260.0</c:v>
                </c:pt>
                <c:pt idx="8">
                  <c:v>280.0</c:v>
                </c:pt>
                <c:pt idx="9">
                  <c:v>300.0</c:v>
                </c:pt>
                <c:pt idx="10">
                  <c:v>320.0</c:v>
                </c:pt>
                <c:pt idx="11">
                  <c:v>340.0</c:v>
                </c:pt>
                <c:pt idx="12">
                  <c:v>360.0</c:v>
                </c:pt>
              </c:numCache>
            </c:numRef>
          </c:cat>
          <c:val>
            <c:numRef>
              <c:f>Sheet1!$P$3:$P$15</c:f>
              <c:numCache>
                <c:formatCode>0%</c:formatCode>
                <c:ptCount val="13"/>
                <c:pt idx="0">
                  <c:v>0.00464983867906624</c:v>
                </c:pt>
                <c:pt idx="1">
                  <c:v>0.0160371987094326</c:v>
                </c:pt>
                <c:pt idx="2">
                  <c:v>0.0280888214082368</c:v>
                </c:pt>
                <c:pt idx="3">
                  <c:v>0.0378629721009681</c:v>
                </c:pt>
                <c:pt idx="4">
                  <c:v>0.0462137027899032</c:v>
                </c:pt>
                <c:pt idx="5">
                  <c:v>0.0488707534636552</c:v>
                </c:pt>
                <c:pt idx="6">
                  <c:v>0.0470677547921807</c:v>
                </c:pt>
                <c:pt idx="7">
                  <c:v>0.0410893907762384</c:v>
                </c:pt>
                <c:pt idx="8">
                  <c:v>0.0342569747580186</c:v>
                </c:pt>
                <c:pt idx="9">
                  <c:v>0.0276143480736384</c:v>
                </c:pt>
                <c:pt idx="10">
                  <c:v>0.0212564053900171</c:v>
                </c:pt>
                <c:pt idx="11">
                  <c:v>0.0151831467071551</c:v>
                </c:pt>
                <c:pt idx="12">
                  <c:v>0.0151831467071551</c:v>
                </c:pt>
              </c:numCache>
            </c:numRef>
          </c:val>
        </c:ser>
        <c:dLbls>
          <c:showLegendKey val="0"/>
          <c:showVal val="0"/>
          <c:showCatName val="0"/>
          <c:showSerName val="0"/>
          <c:showPercent val="0"/>
          <c:showBubbleSize val="0"/>
        </c:dLbls>
        <c:gapWidth val="150"/>
        <c:axId val="-2083848504"/>
        <c:axId val="-2088859368"/>
      </c:barChart>
      <c:catAx>
        <c:axId val="-2083848504"/>
        <c:scaling>
          <c:orientation val="minMax"/>
        </c:scaling>
        <c:delete val="0"/>
        <c:axPos val="b"/>
        <c:title>
          <c:tx>
            <c:rich>
              <a:bodyPr/>
              <a:lstStyle/>
              <a:p>
                <a:pPr>
                  <a:defRPr sz="1100" b="0" i="0" baseline="0">
                    <a:latin typeface="Verdana" pitchFamily="34" charset="0"/>
                  </a:defRPr>
                </a:pPr>
                <a:r>
                  <a:rPr lang="en-GB" sz="1100" b="0" i="0" baseline="0">
                    <a:latin typeface="Verdana" pitchFamily="34" charset="0"/>
                  </a:rPr>
                  <a:t>Tariff Points</a:t>
                </a:r>
              </a:p>
            </c:rich>
          </c:tx>
          <c:layout>
            <c:manualLayout>
              <c:xMode val="edge"/>
              <c:yMode val="edge"/>
              <c:x val="0.440558461410338"/>
              <c:y val="0.947324891598589"/>
            </c:manualLayout>
          </c:layout>
          <c:overlay val="0"/>
        </c:title>
        <c:numFmt formatCode="0" sourceLinked="1"/>
        <c:majorTickMark val="out"/>
        <c:minorTickMark val="none"/>
        <c:tickLblPos val="nextTo"/>
        <c:txPr>
          <a:bodyPr/>
          <a:lstStyle/>
          <a:p>
            <a:pPr>
              <a:defRPr sz="1100" baseline="0">
                <a:latin typeface="Verdana" pitchFamily="34" charset="0"/>
              </a:defRPr>
            </a:pPr>
            <a:endParaRPr lang="en-US"/>
          </a:p>
        </c:txPr>
        <c:crossAx val="-2088859368"/>
        <c:crosses val="autoZero"/>
        <c:auto val="1"/>
        <c:lblAlgn val="ctr"/>
        <c:lblOffset val="100"/>
        <c:noMultiLvlLbl val="0"/>
      </c:catAx>
      <c:valAx>
        <c:axId val="-2088859368"/>
        <c:scaling>
          <c:orientation val="minMax"/>
          <c:max val="0.12"/>
          <c:min val="0.0"/>
        </c:scaling>
        <c:delete val="0"/>
        <c:axPos val="l"/>
        <c:majorGridlines/>
        <c:numFmt formatCode="0%" sourceLinked="1"/>
        <c:majorTickMark val="out"/>
        <c:minorTickMark val="none"/>
        <c:tickLblPos val="nextTo"/>
        <c:txPr>
          <a:bodyPr/>
          <a:lstStyle/>
          <a:p>
            <a:pPr>
              <a:defRPr sz="1100" baseline="0">
                <a:latin typeface="Verdana" pitchFamily="34" charset="0"/>
              </a:defRPr>
            </a:pPr>
            <a:endParaRPr lang="en-US"/>
          </a:p>
        </c:txPr>
        <c:crossAx val="-2083848504"/>
        <c:crosses val="autoZero"/>
        <c:crossBetween val="between"/>
      </c:valAx>
    </c:plotArea>
    <c:legend>
      <c:legendPos val="r"/>
      <c:overlay val="0"/>
      <c:txPr>
        <a:bodyPr/>
        <a:lstStyle/>
        <a:p>
          <a:pPr>
            <a:defRPr sz="1100" baseline="0">
              <a:latin typeface="Verdana" pitchFamily="34"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Men</c:v>
          </c:tx>
          <c:spPr>
            <a:ln>
              <a:solidFill>
                <a:schemeClr val="tx1"/>
              </a:solidFill>
            </a:ln>
          </c:spPr>
          <c:marker>
            <c:symbol val="square"/>
            <c:size val="7"/>
            <c:spPr>
              <a:solidFill>
                <a:schemeClr val="tx1"/>
              </a:solidFill>
              <a:ln>
                <a:solidFill>
                  <a:schemeClr val="tx1"/>
                </a:solidFill>
              </a:ln>
            </c:spPr>
          </c:marker>
          <c:xVal>
            <c:numRef>
              <c:f>Data!$A$3:$A$27</c:f>
              <c:numCache>
                <c:formatCode>General</c:formatCode>
                <c:ptCount val="25"/>
                <c:pt idx="0">
                  <c:v>1958.0</c:v>
                </c:pt>
                <c:pt idx="1">
                  <c:v>1959.0</c:v>
                </c:pt>
                <c:pt idx="2">
                  <c:v>1960.0</c:v>
                </c:pt>
                <c:pt idx="3">
                  <c:v>1961.0</c:v>
                </c:pt>
                <c:pt idx="4">
                  <c:v>1962.0</c:v>
                </c:pt>
                <c:pt idx="5">
                  <c:v>1963.0</c:v>
                </c:pt>
                <c:pt idx="6">
                  <c:v>1964.0</c:v>
                </c:pt>
                <c:pt idx="7">
                  <c:v>1965.0</c:v>
                </c:pt>
                <c:pt idx="8">
                  <c:v>1966.0</c:v>
                </c:pt>
                <c:pt idx="9">
                  <c:v>1967.0</c:v>
                </c:pt>
                <c:pt idx="10">
                  <c:v>1968.0</c:v>
                </c:pt>
                <c:pt idx="11">
                  <c:v>1969.0</c:v>
                </c:pt>
                <c:pt idx="12">
                  <c:v>1970.0</c:v>
                </c:pt>
                <c:pt idx="13">
                  <c:v>1971.0</c:v>
                </c:pt>
                <c:pt idx="14">
                  <c:v>1972.0</c:v>
                </c:pt>
                <c:pt idx="15">
                  <c:v>1973.0</c:v>
                </c:pt>
                <c:pt idx="16">
                  <c:v>1974.0</c:v>
                </c:pt>
                <c:pt idx="17">
                  <c:v>1975.0</c:v>
                </c:pt>
                <c:pt idx="18">
                  <c:v>1976.0</c:v>
                </c:pt>
                <c:pt idx="19">
                  <c:v>1977.0</c:v>
                </c:pt>
                <c:pt idx="20">
                  <c:v>1978.0</c:v>
                </c:pt>
                <c:pt idx="21">
                  <c:v>1979.0</c:v>
                </c:pt>
                <c:pt idx="22">
                  <c:v>1980.0</c:v>
                </c:pt>
                <c:pt idx="23">
                  <c:v>1981.0</c:v>
                </c:pt>
                <c:pt idx="24">
                  <c:v>1982.0</c:v>
                </c:pt>
              </c:numCache>
            </c:numRef>
          </c:xVal>
          <c:yVal>
            <c:numRef>
              <c:f>Data!$G$3:$G$27</c:f>
              <c:numCache>
                <c:formatCode>0.0</c:formatCode>
                <c:ptCount val="25"/>
                <c:pt idx="0">
                  <c:v>0.717277486910995</c:v>
                </c:pt>
                <c:pt idx="1">
                  <c:v>0.699453551912565</c:v>
                </c:pt>
                <c:pt idx="2">
                  <c:v>0.716577540106948</c:v>
                </c:pt>
                <c:pt idx="3">
                  <c:v>0.752808988764045</c:v>
                </c:pt>
                <c:pt idx="4">
                  <c:v>0.723756906077348</c:v>
                </c:pt>
                <c:pt idx="5">
                  <c:v>0.725274725274726</c:v>
                </c:pt>
                <c:pt idx="6">
                  <c:v>0.765957446808515</c:v>
                </c:pt>
                <c:pt idx="7">
                  <c:v>0.754010695187166</c:v>
                </c:pt>
                <c:pt idx="8">
                  <c:v>0.735135135135136</c:v>
                </c:pt>
                <c:pt idx="9">
                  <c:v>0.751351351351351</c:v>
                </c:pt>
                <c:pt idx="10">
                  <c:v>0.798913043478261</c:v>
                </c:pt>
                <c:pt idx="11">
                  <c:v>0.785340314136126</c:v>
                </c:pt>
                <c:pt idx="12">
                  <c:v>0.829787234042554</c:v>
                </c:pt>
                <c:pt idx="13">
                  <c:v>0.860824742268046</c:v>
                </c:pt>
                <c:pt idx="14">
                  <c:v>0.879227053140102</c:v>
                </c:pt>
                <c:pt idx="15">
                  <c:v>0.863436123348018</c:v>
                </c:pt>
                <c:pt idx="16">
                  <c:v>0.86454183266933</c:v>
                </c:pt>
                <c:pt idx="17">
                  <c:v>0.832713754646841</c:v>
                </c:pt>
                <c:pt idx="18">
                  <c:v>0.857142857142858</c:v>
                </c:pt>
                <c:pt idx="19">
                  <c:v>0.867647058823535</c:v>
                </c:pt>
                <c:pt idx="20">
                  <c:v>0.894366197183099</c:v>
                </c:pt>
                <c:pt idx="21">
                  <c:v>0.923664122137405</c:v>
                </c:pt>
                <c:pt idx="22">
                  <c:v>0.882978723404255</c:v>
                </c:pt>
                <c:pt idx="23">
                  <c:v>0.945454545454545</c:v>
                </c:pt>
                <c:pt idx="24">
                  <c:v>0.955882352941177</c:v>
                </c:pt>
              </c:numCache>
            </c:numRef>
          </c:yVal>
          <c:smooth val="0"/>
        </c:ser>
        <c:ser>
          <c:idx val="1"/>
          <c:order val="1"/>
          <c:tx>
            <c:v>Women</c:v>
          </c:tx>
          <c:spPr>
            <a:ln>
              <a:solidFill>
                <a:schemeClr val="tx1"/>
              </a:solidFill>
              <a:prstDash val="sysDash"/>
            </a:ln>
          </c:spPr>
          <c:marker>
            <c:symbol val="triangle"/>
            <c:size val="7"/>
            <c:spPr>
              <a:solidFill>
                <a:schemeClr val="tx1"/>
              </a:solidFill>
              <a:ln>
                <a:solidFill>
                  <a:schemeClr val="tx1"/>
                </a:solidFill>
              </a:ln>
            </c:spPr>
          </c:marker>
          <c:xVal>
            <c:numRef>
              <c:f>Data!$A$3:$A$27</c:f>
              <c:numCache>
                <c:formatCode>General</c:formatCode>
                <c:ptCount val="25"/>
                <c:pt idx="0">
                  <c:v>1958.0</c:v>
                </c:pt>
                <c:pt idx="1">
                  <c:v>1959.0</c:v>
                </c:pt>
                <c:pt idx="2">
                  <c:v>1960.0</c:v>
                </c:pt>
                <c:pt idx="3">
                  <c:v>1961.0</c:v>
                </c:pt>
                <c:pt idx="4">
                  <c:v>1962.0</c:v>
                </c:pt>
                <c:pt idx="5">
                  <c:v>1963.0</c:v>
                </c:pt>
                <c:pt idx="6">
                  <c:v>1964.0</c:v>
                </c:pt>
                <c:pt idx="7">
                  <c:v>1965.0</c:v>
                </c:pt>
                <c:pt idx="8">
                  <c:v>1966.0</c:v>
                </c:pt>
                <c:pt idx="9">
                  <c:v>1967.0</c:v>
                </c:pt>
                <c:pt idx="10">
                  <c:v>1968.0</c:v>
                </c:pt>
                <c:pt idx="11">
                  <c:v>1969.0</c:v>
                </c:pt>
                <c:pt idx="12">
                  <c:v>1970.0</c:v>
                </c:pt>
                <c:pt idx="13">
                  <c:v>1971.0</c:v>
                </c:pt>
                <c:pt idx="14">
                  <c:v>1972.0</c:v>
                </c:pt>
                <c:pt idx="15">
                  <c:v>1973.0</c:v>
                </c:pt>
                <c:pt idx="16">
                  <c:v>1974.0</c:v>
                </c:pt>
                <c:pt idx="17">
                  <c:v>1975.0</c:v>
                </c:pt>
                <c:pt idx="18">
                  <c:v>1976.0</c:v>
                </c:pt>
                <c:pt idx="19">
                  <c:v>1977.0</c:v>
                </c:pt>
                <c:pt idx="20">
                  <c:v>1978.0</c:v>
                </c:pt>
                <c:pt idx="21">
                  <c:v>1979.0</c:v>
                </c:pt>
                <c:pt idx="22">
                  <c:v>1980.0</c:v>
                </c:pt>
                <c:pt idx="23">
                  <c:v>1981.0</c:v>
                </c:pt>
                <c:pt idx="24">
                  <c:v>1982.0</c:v>
                </c:pt>
              </c:numCache>
            </c:numRef>
          </c:xVal>
          <c:yVal>
            <c:numRef>
              <c:f>Data!$H$3:$H$27</c:f>
              <c:numCache>
                <c:formatCode>0.0</c:formatCode>
                <c:ptCount val="25"/>
                <c:pt idx="0">
                  <c:v>0.698795180722892</c:v>
                </c:pt>
                <c:pt idx="1">
                  <c:v>0.674556213017752</c:v>
                </c:pt>
                <c:pt idx="2">
                  <c:v>0.658823529411765</c:v>
                </c:pt>
                <c:pt idx="3">
                  <c:v>0.715151515151516</c:v>
                </c:pt>
                <c:pt idx="4">
                  <c:v>0.69822485207101</c:v>
                </c:pt>
                <c:pt idx="5">
                  <c:v>0.73988439306359</c:v>
                </c:pt>
                <c:pt idx="6">
                  <c:v>0.683060109289617</c:v>
                </c:pt>
                <c:pt idx="7">
                  <c:v>0.675675675675685</c:v>
                </c:pt>
                <c:pt idx="8">
                  <c:v>0.675392670157068</c:v>
                </c:pt>
                <c:pt idx="9">
                  <c:v>0.687830687830688</c:v>
                </c:pt>
                <c:pt idx="10">
                  <c:v>0.710227272727273</c:v>
                </c:pt>
                <c:pt idx="11">
                  <c:v>0.683060109289617</c:v>
                </c:pt>
                <c:pt idx="12">
                  <c:v>0.75531914893617</c:v>
                </c:pt>
                <c:pt idx="13">
                  <c:v>0.778894472361818</c:v>
                </c:pt>
                <c:pt idx="14">
                  <c:v>0.791855203619913</c:v>
                </c:pt>
                <c:pt idx="15">
                  <c:v>0.841463414634147</c:v>
                </c:pt>
                <c:pt idx="16">
                  <c:v>0.865671641791045</c:v>
                </c:pt>
                <c:pt idx="17">
                  <c:v>0.836805555555559</c:v>
                </c:pt>
                <c:pt idx="18">
                  <c:v>0.856666666666667</c:v>
                </c:pt>
                <c:pt idx="19">
                  <c:v>0.89869281045752</c:v>
                </c:pt>
                <c:pt idx="20">
                  <c:v>0.875409836065583</c:v>
                </c:pt>
                <c:pt idx="21">
                  <c:v>0.930379746835443</c:v>
                </c:pt>
                <c:pt idx="22">
                  <c:v>0.936305732484083</c:v>
                </c:pt>
                <c:pt idx="23">
                  <c:v>1.0</c:v>
                </c:pt>
                <c:pt idx="24">
                  <c:v>0.914754098360656</c:v>
                </c:pt>
              </c:numCache>
            </c:numRef>
          </c:yVal>
          <c:smooth val="0"/>
        </c:ser>
        <c:dLbls>
          <c:showLegendKey val="0"/>
          <c:showVal val="0"/>
          <c:showCatName val="0"/>
          <c:showSerName val="0"/>
          <c:showPercent val="0"/>
          <c:showBubbleSize val="0"/>
        </c:dLbls>
        <c:axId val="-2084080776"/>
        <c:axId val="-2084078264"/>
      </c:scatterChart>
      <c:valAx>
        <c:axId val="-2084080776"/>
        <c:scaling>
          <c:orientation val="minMax"/>
          <c:max val="1985.0"/>
          <c:min val="1955.0"/>
        </c:scaling>
        <c:delete val="0"/>
        <c:axPos val="b"/>
        <c:numFmt formatCode="General" sourceLinked="1"/>
        <c:majorTickMark val="out"/>
        <c:minorTickMark val="none"/>
        <c:tickLblPos val="nextTo"/>
        <c:txPr>
          <a:bodyPr rot="0" vert="horz"/>
          <a:lstStyle/>
          <a:p>
            <a:pPr>
              <a:defRPr sz="1100" baseline="0">
                <a:latin typeface="Verdana" pitchFamily="34" charset="0"/>
              </a:defRPr>
            </a:pPr>
            <a:endParaRPr lang="en-US"/>
          </a:p>
        </c:txPr>
        <c:crossAx val="-2084078264"/>
        <c:crosses val="autoZero"/>
        <c:crossBetween val="midCat"/>
        <c:majorUnit val="5.0"/>
      </c:valAx>
      <c:valAx>
        <c:axId val="-2084078264"/>
        <c:scaling>
          <c:orientation val="minMax"/>
          <c:max val="1.0"/>
          <c:min val="0.600000000000001"/>
        </c:scaling>
        <c:delete val="0"/>
        <c:axPos val="l"/>
        <c:majorGridlines/>
        <c:title>
          <c:tx>
            <c:rich>
              <a:bodyPr rot="-5400000" vert="horz"/>
              <a:lstStyle/>
              <a:p>
                <a:pPr>
                  <a:defRPr sz="1100" b="0" i="0" baseline="0">
                    <a:latin typeface="Verdana" pitchFamily="34" charset="0"/>
                  </a:defRPr>
                </a:pPr>
                <a:r>
                  <a:rPr lang="en-GB" sz="1100" b="0" i="0" baseline="0">
                    <a:latin typeface="Verdana" pitchFamily="34" charset="0"/>
                  </a:rPr>
                  <a:t>% with first degree / % with 2+ A-levels or equivalent</a:t>
                </a:r>
              </a:p>
            </c:rich>
          </c:tx>
          <c:overlay val="0"/>
        </c:title>
        <c:numFmt formatCode="0.0" sourceLinked="1"/>
        <c:majorTickMark val="out"/>
        <c:minorTickMark val="none"/>
        <c:tickLblPos val="nextTo"/>
        <c:txPr>
          <a:bodyPr/>
          <a:lstStyle/>
          <a:p>
            <a:pPr>
              <a:defRPr sz="1100" baseline="0">
                <a:latin typeface="Verdana" pitchFamily="34" charset="0"/>
              </a:defRPr>
            </a:pPr>
            <a:endParaRPr lang="en-US"/>
          </a:p>
        </c:txPr>
        <c:crossAx val="-2084080776"/>
        <c:crosses val="autoZero"/>
        <c:crossBetween val="midCat"/>
        <c:majorUnit val="0.1"/>
      </c:valAx>
    </c:plotArea>
    <c:legend>
      <c:legendPos val="r"/>
      <c:overlay val="0"/>
      <c:txPr>
        <a:bodyPr/>
        <a:lstStyle/>
        <a:p>
          <a:pPr>
            <a:defRPr sz="1100" baseline="0">
              <a:latin typeface="Verdana" pitchFamily="34" charset="0"/>
            </a:defRPr>
          </a:pPr>
          <a:endParaRPr lang="en-US"/>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7A889-53F1-E646-A446-8F9A9564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10256</Words>
  <Characters>58460</Characters>
  <Application>Microsoft Macintosh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Bahram Bekhradnia</cp:lastModifiedBy>
  <cp:revision>2</cp:revision>
  <cp:lastPrinted>2012-06-19T10:42:00Z</cp:lastPrinted>
  <dcterms:created xsi:type="dcterms:W3CDTF">2012-06-21T09:58:00Z</dcterms:created>
  <dcterms:modified xsi:type="dcterms:W3CDTF">2012-06-21T09:58:00Z</dcterms:modified>
</cp:coreProperties>
</file>