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40" w:rsidRDefault="00612240" w:rsidP="00612240">
      <w:pPr>
        <w:spacing w:after="240" w:line="360" w:lineRule="auto"/>
        <w:contextualSpacing/>
        <w:jc w:val="center"/>
        <w:rPr>
          <w:rFonts w:ascii="Verdana" w:eastAsia="Times New Roman" w:hAnsi="Verdana"/>
          <w:b/>
          <w:sz w:val="24"/>
          <w:szCs w:val="24"/>
          <w:lang w:eastAsia="en-US"/>
        </w:rPr>
      </w:pPr>
      <w:r>
        <w:rPr>
          <w:rFonts w:ascii="Verdana" w:eastAsia="Times New Roman" w:hAnsi="Verdana"/>
          <w:b/>
          <w:sz w:val="24"/>
          <w:szCs w:val="24"/>
          <w:lang w:eastAsia="en-US"/>
        </w:rPr>
        <w:t>Comparability of degree standards</w:t>
      </w:r>
      <w:r w:rsidR="005A0455">
        <w:rPr>
          <w:rFonts w:ascii="Verdana" w:eastAsia="Times New Roman" w:hAnsi="Verdana"/>
          <w:b/>
          <w:sz w:val="24"/>
          <w:szCs w:val="24"/>
          <w:lang w:eastAsia="en-US"/>
        </w:rPr>
        <w:t>?</w:t>
      </w:r>
    </w:p>
    <w:p w:rsidR="00612240" w:rsidRPr="00F66A23" w:rsidRDefault="00612240" w:rsidP="00612240">
      <w:pPr>
        <w:spacing w:after="240" w:line="360" w:lineRule="auto"/>
        <w:contextualSpacing/>
        <w:jc w:val="center"/>
        <w:rPr>
          <w:rFonts w:ascii="Verdana" w:eastAsia="Times New Roman" w:hAnsi="Verdana"/>
          <w:b/>
          <w:sz w:val="24"/>
          <w:szCs w:val="24"/>
          <w:lang w:eastAsia="en-US"/>
        </w:rPr>
      </w:pPr>
      <w:r>
        <w:rPr>
          <w:rFonts w:ascii="Verdana" w:eastAsia="Times New Roman" w:hAnsi="Verdana"/>
          <w:b/>
          <w:sz w:val="24"/>
          <w:szCs w:val="24"/>
          <w:lang w:eastAsia="en-US"/>
        </w:rPr>
        <w:t>Roger Brown</w:t>
      </w:r>
    </w:p>
    <w:p w:rsidR="00121984" w:rsidRPr="00AB3DAC" w:rsidRDefault="00121984" w:rsidP="00AB3DAC">
      <w:pPr>
        <w:pStyle w:val="Heading2"/>
        <w:spacing w:before="120" w:line="240" w:lineRule="auto"/>
        <w:rPr>
          <w:rFonts w:ascii="Verdana" w:hAnsi="Verdana" w:cs="Arial"/>
          <w:bCs w:val="0"/>
          <w:sz w:val="24"/>
          <w:szCs w:val="28"/>
        </w:rPr>
      </w:pPr>
      <w:r w:rsidRPr="00AB3DAC">
        <w:rPr>
          <w:rFonts w:ascii="Verdana" w:hAnsi="Verdana" w:cs="Arial"/>
          <w:bCs w:val="0"/>
          <w:sz w:val="24"/>
          <w:szCs w:val="28"/>
        </w:rPr>
        <w:t>Introduction</w:t>
      </w:r>
    </w:p>
    <w:p w:rsidR="00AB3DAC" w:rsidRDefault="00121984"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In August 2009 the House of Commons Innovation, Universities</w:t>
      </w:r>
      <w:r w:rsidR="00F12552" w:rsidRPr="00AB3DAC">
        <w:rPr>
          <w:rFonts w:ascii="Verdana" w:hAnsi="Verdana"/>
          <w:szCs w:val="20"/>
          <w:lang w:val="en-GB" w:eastAsia="en-GB"/>
        </w:rPr>
        <w:t>,</w:t>
      </w:r>
      <w:r w:rsidRPr="00AB3DAC">
        <w:rPr>
          <w:rFonts w:ascii="Verdana" w:hAnsi="Verdana"/>
          <w:szCs w:val="20"/>
          <w:lang w:val="en-GB" w:eastAsia="en-GB"/>
        </w:rPr>
        <w:t xml:space="preserve"> Science and Skills Committee</w:t>
      </w:r>
      <w:r w:rsidR="007F4FFF" w:rsidRPr="00AB3DAC">
        <w:rPr>
          <w:rFonts w:ascii="Verdana" w:hAnsi="Verdana"/>
          <w:szCs w:val="20"/>
          <w:lang w:val="en-GB" w:eastAsia="en-GB"/>
        </w:rPr>
        <w:t xml:space="preserve"> (IUSSC)</w:t>
      </w:r>
      <w:r w:rsidRPr="00AB3DAC">
        <w:rPr>
          <w:rFonts w:ascii="Verdana" w:hAnsi="Verdana"/>
          <w:szCs w:val="20"/>
          <w:lang w:val="en-GB" w:eastAsia="en-GB"/>
        </w:rPr>
        <w:t xml:space="preserve"> concluded that th</w:t>
      </w:r>
      <w:r w:rsidR="007F4FFF" w:rsidRPr="00AB3DAC">
        <w:rPr>
          <w:rFonts w:ascii="Verdana" w:hAnsi="Verdana"/>
          <w:szCs w:val="20"/>
          <w:lang w:val="en-GB" w:eastAsia="en-GB"/>
        </w:rPr>
        <w:t>e Quality Assurance Agency for Higher E</w:t>
      </w:r>
      <w:r w:rsidRPr="00AB3DAC">
        <w:rPr>
          <w:rFonts w:ascii="Verdana" w:hAnsi="Verdana"/>
          <w:szCs w:val="20"/>
          <w:lang w:val="en-GB" w:eastAsia="en-GB"/>
        </w:rPr>
        <w:t>ducation (QAA) should be responsible for “maintaining consistent, national standards</w:t>
      </w:r>
      <w:r w:rsidR="00D9641C" w:rsidRPr="00AB3DAC">
        <w:rPr>
          <w:rFonts w:ascii="Verdana" w:hAnsi="Verdana"/>
          <w:szCs w:val="20"/>
          <w:lang w:val="en-GB" w:eastAsia="en-GB"/>
        </w:rPr>
        <w:t xml:space="preserve"> in higher education institutions in England and for monitoring and</w:t>
      </w:r>
      <w:r w:rsidR="00C74C88" w:rsidRPr="00AB3DAC">
        <w:rPr>
          <w:rFonts w:ascii="Verdana" w:hAnsi="Verdana"/>
          <w:szCs w:val="20"/>
          <w:lang w:val="en-GB" w:eastAsia="en-GB"/>
        </w:rPr>
        <w:t xml:space="preserve"> reporting on standards” (IUSSC</w:t>
      </w:r>
      <w:r w:rsidR="00D9641C" w:rsidRPr="00AB3DAC">
        <w:rPr>
          <w:rFonts w:ascii="Verdana" w:hAnsi="Verdana"/>
          <w:szCs w:val="20"/>
          <w:lang w:val="en-GB" w:eastAsia="en-GB"/>
        </w:rPr>
        <w:t>, 2009: 148</w:t>
      </w:r>
      <w:r w:rsidR="00AD7F70">
        <w:rPr>
          <w:rStyle w:val="FootnoteReference"/>
          <w:rFonts w:ascii="Verdana" w:hAnsi="Verdana"/>
          <w:szCs w:val="20"/>
          <w:lang w:val="en-GB" w:eastAsia="en-GB"/>
        </w:rPr>
        <w:footnoteReference w:id="1"/>
      </w:r>
      <w:r w:rsidR="00D9641C" w:rsidRPr="00AB3DAC">
        <w:rPr>
          <w:rFonts w:ascii="Verdana" w:hAnsi="Verdana"/>
          <w:szCs w:val="20"/>
          <w:lang w:val="en-GB" w:eastAsia="en-GB"/>
        </w:rPr>
        <w:t>)</w:t>
      </w:r>
      <w:r w:rsidR="00CE6E56" w:rsidRPr="00AB3DAC">
        <w:rPr>
          <w:rFonts w:ascii="Verdana" w:hAnsi="Verdana"/>
          <w:szCs w:val="20"/>
          <w:lang w:val="en-GB" w:eastAsia="en-GB"/>
        </w:rPr>
        <w:t>.  The Committee made a number o</w:t>
      </w:r>
      <w:r w:rsidR="00D9641C" w:rsidRPr="00AB3DAC">
        <w:rPr>
          <w:rFonts w:ascii="Verdana" w:hAnsi="Verdana"/>
          <w:szCs w:val="20"/>
          <w:lang w:val="en-GB" w:eastAsia="en-GB"/>
        </w:rPr>
        <w:t>f r</w:t>
      </w:r>
      <w:r w:rsidR="00CE6E56" w:rsidRPr="00AB3DAC">
        <w:rPr>
          <w:rFonts w:ascii="Verdana" w:hAnsi="Verdana"/>
          <w:szCs w:val="20"/>
          <w:lang w:val="en-GB" w:eastAsia="en-GB"/>
        </w:rPr>
        <w:t>ecommendations to give effect to</w:t>
      </w:r>
      <w:r w:rsidR="007F4FFF" w:rsidRPr="00AB3DAC">
        <w:rPr>
          <w:rFonts w:ascii="Verdana" w:hAnsi="Verdana"/>
          <w:szCs w:val="20"/>
          <w:lang w:val="en-GB" w:eastAsia="en-GB"/>
        </w:rPr>
        <w:t xml:space="preserve"> this.  </w:t>
      </w:r>
      <w:r w:rsidR="000B03F5" w:rsidRPr="00AB3DAC">
        <w:rPr>
          <w:rFonts w:ascii="Verdana" w:hAnsi="Verdana"/>
          <w:szCs w:val="20"/>
          <w:lang w:val="en-GB" w:eastAsia="en-GB"/>
        </w:rPr>
        <w:t xml:space="preserve">While their recommendations did not refer to comparability of standards, much of their questioning of witnesses had focused upon this. </w:t>
      </w:r>
    </w:p>
    <w:p w:rsidR="00121984" w:rsidRPr="00AB3DAC" w:rsidRDefault="007F4FFF"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This</w:t>
      </w:r>
      <w:r w:rsidR="000B03F5" w:rsidRPr="00AB3DAC">
        <w:rPr>
          <w:rFonts w:ascii="Verdana" w:hAnsi="Verdana"/>
          <w:szCs w:val="20"/>
          <w:lang w:val="en-GB" w:eastAsia="en-GB"/>
        </w:rPr>
        <w:t xml:space="preserve"> report </w:t>
      </w:r>
      <w:r w:rsidRPr="00AB3DAC">
        <w:rPr>
          <w:rFonts w:ascii="Verdana" w:hAnsi="Verdana"/>
          <w:szCs w:val="20"/>
          <w:lang w:val="en-GB" w:eastAsia="en-GB"/>
        </w:rPr>
        <w:t xml:space="preserve">discusses the issues involved in </w:t>
      </w:r>
      <w:r w:rsidR="00D9641C" w:rsidRPr="00AB3DAC">
        <w:rPr>
          <w:rFonts w:ascii="Verdana" w:hAnsi="Verdana"/>
          <w:szCs w:val="20"/>
          <w:lang w:val="en-GB" w:eastAsia="en-GB"/>
        </w:rPr>
        <w:t xml:space="preserve">comparability of </w:t>
      </w:r>
      <w:r w:rsidRPr="00AB3DAC">
        <w:rPr>
          <w:rFonts w:ascii="Verdana" w:hAnsi="Verdana"/>
          <w:szCs w:val="20"/>
          <w:lang w:val="en-GB" w:eastAsia="en-GB"/>
        </w:rPr>
        <w:t xml:space="preserve">degree standards. </w:t>
      </w:r>
      <w:r w:rsidR="00850968" w:rsidRPr="00AB3DAC">
        <w:rPr>
          <w:rFonts w:ascii="Verdana" w:hAnsi="Verdana"/>
          <w:szCs w:val="20"/>
          <w:lang w:val="en-GB" w:eastAsia="en-GB"/>
        </w:rPr>
        <w:t>It is in two parts. Part 1</w:t>
      </w:r>
      <w:r w:rsidRPr="00AB3DAC">
        <w:rPr>
          <w:rFonts w:ascii="Verdana" w:hAnsi="Verdana"/>
          <w:szCs w:val="20"/>
          <w:lang w:val="en-GB" w:eastAsia="en-GB"/>
        </w:rPr>
        <w:t xml:space="preserve"> begins by outlining the means by which</w:t>
      </w:r>
      <w:r w:rsidR="007402E3" w:rsidRPr="00AB3DAC">
        <w:rPr>
          <w:rFonts w:ascii="Verdana" w:hAnsi="Verdana"/>
          <w:szCs w:val="20"/>
          <w:lang w:val="en-GB" w:eastAsia="en-GB"/>
        </w:rPr>
        <w:t xml:space="preserve"> </w:t>
      </w:r>
      <w:r w:rsidRPr="00AB3DAC">
        <w:rPr>
          <w:rFonts w:ascii="Verdana" w:hAnsi="Verdana"/>
          <w:szCs w:val="20"/>
          <w:lang w:val="en-GB" w:eastAsia="en-GB"/>
        </w:rPr>
        <w:t>individual</w:t>
      </w:r>
      <w:r w:rsidR="00CE6E56" w:rsidRPr="00AB3DAC">
        <w:rPr>
          <w:rFonts w:ascii="Verdana" w:hAnsi="Verdana"/>
          <w:szCs w:val="20"/>
          <w:lang w:val="en-GB" w:eastAsia="en-GB"/>
        </w:rPr>
        <w:t xml:space="preserve"> </w:t>
      </w:r>
      <w:r w:rsidRPr="00AB3DAC">
        <w:rPr>
          <w:rFonts w:ascii="Verdana" w:hAnsi="Verdana"/>
          <w:szCs w:val="20"/>
          <w:lang w:val="en-GB" w:eastAsia="en-GB"/>
        </w:rPr>
        <w:t xml:space="preserve">universities and colleges and the academic community collectively protect the </w:t>
      </w:r>
      <w:r w:rsidR="00CE6E56" w:rsidRPr="00AB3DAC">
        <w:rPr>
          <w:rFonts w:ascii="Verdana" w:hAnsi="Verdana"/>
          <w:szCs w:val="20"/>
          <w:lang w:val="en-GB" w:eastAsia="en-GB"/>
        </w:rPr>
        <w:t>standards of UK</w:t>
      </w:r>
      <w:r w:rsidRPr="00AB3DAC">
        <w:rPr>
          <w:rFonts w:ascii="Verdana" w:hAnsi="Verdana"/>
          <w:szCs w:val="20"/>
          <w:lang w:val="en-GB" w:eastAsia="en-GB"/>
        </w:rPr>
        <w:t xml:space="preserve"> degrees</w:t>
      </w:r>
      <w:r w:rsidR="00CE6E56" w:rsidRPr="00AB3DAC">
        <w:rPr>
          <w:rFonts w:ascii="Verdana" w:hAnsi="Verdana"/>
          <w:szCs w:val="20"/>
          <w:lang w:val="en-GB" w:eastAsia="en-GB"/>
        </w:rPr>
        <w:t>. It then describes the historical attachment to comparability and the pressures which have led to questions bein</w:t>
      </w:r>
      <w:r w:rsidR="00850968" w:rsidRPr="00AB3DAC">
        <w:rPr>
          <w:rFonts w:ascii="Verdana" w:hAnsi="Verdana"/>
          <w:szCs w:val="20"/>
          <w:lang w:val="en-GB" w:eastAsia="en-GB"/>
        </w:rPr>
        <w:t>g raised about</w:t>
      </w:r>
      <w:r w:rsidR="007402E3" w:rsidRPr="00AB3DAC">
        <w:rPr>
          <w:rFonts w:ascii="Verdana" w:hAnsi="Verdana"/>
          <w:szCs w:val="20"/>
          <w:lang w:val="en-GB" w:eastAsia="en-GB"/>
        </w:rPr>
        <w:t xml:space="preserve"> it</w:t>
      </w:r>
      <w:r w:rsidR="00850968" w:rsidRPr="00AB3DAC">
        <w:rPr>
          <w:rFonts w:ascii="Verdana" w:hAnsi="Verdana"/>
          <w:szCs w:val="20"/>
          <w:lang w:val="en-GB" w:eastAsia="en-GB"/>
        </w:rPr>
        <w:t>. Part 2 considers</w:t>
      </w:r>
      <w:r w:rsidR="00CE6E56" w:rsidRPr="00AB3DAC">
        <w:rPr>
          <w:rFonts w:ascii="Verdana" w:hAnsi="Verdana"/>
          <w:szCs w:val="20"/>
          <w:lang w:val="en-GB" w:eastAsia="en-GB"/>
        </w:rPr>
        <w:t xml:space="preserve"> whether </w:t>
      </w:r>
      <w:r w:rsidR="006346B1" w:rsidRPr="00AB3DAC">
        <w:rPr>
          <w:rFonts w:ascii="Verdana" w:hAnsi="Verdana"/>
          <w:szCs w:val="20"/>
          <w:lang w:val="en-GB" w:eastAsia="en-GB"/>
        </w:rPr>
        <w:t xml:space="preserve">genuine </w:t>
      </w:r>
      <w:r w:rsidR="00CE6E56" w:rsidRPr="00AB3DAC">
        <w:rPr>
          <w:rFonts w:ascii="Verdana" w:hAnsi="Verdana"/>
          <w:szCs w:val="20"/>
          <w:lang w:val="en-GB" w:eastAsia="en-GB"/>
        </w:rPr>
        <w:t>comp</w:t>
      </w:r>
      <w:r w:rsidR="00C74C88" w:rsidRPr="00AB3DAC">
        <w:rPr>
          <w:rFonts w:ascii="Verdana" w:hAnsi="Verdana"/>
          <w:szCs w:val="20"/>
          <w:lang w:val="en-GB" w:eastAsia="en-GB"/>
        </w:rPr>
        <w:t>arability is still</w:t>
      </w:r>
      <w:r w:rsidR="00CE6E56" w:rsidRPr="00AB3DAC">
        <w:rPr>
          <w:rFonts w:ascii="Verdana" w:hAnsi="Verdana"/>
          <w:szCs w:val="20"/>
          <w:lang w:val="en-GB" w:eastAsia="en-GB"/>
        </w:rPr>
        <w:t xml:space="preserve"> feasible, and what options may be open to </w:t>
      </w:r>
      <w:r w:rsidR="006346B1" w:rsidRPr="00AB3DAC">
        <w:rPr>
          <w:rFonts w:ascii="Verdana" w:hAnsi="Verdana"/>
          <w:szCs w:val="20"/>
          <w:lang w:val="en-GB" w:eastAsia="en-GB"/>
        </w:rPr>
        <w:t>UK higher education if it</w:t>
      </w:r>
      <w:r w:rsidR="00F8068D" w:rsidRPr="00AB3DAC">
        <w:rPr>
          <w:rFonts w:ascii="Verdana" w:hAnsi="Verdana"/>
          <w:szCs w:val="20"/>
          <w:lang w:val="en-GB" w:eastAsia="en-GB"/>
        </w:rPr>
        <w:t xml:space="preserve"> were</w:t>
      </w:r>
      <w:r w:rsidR="00CE6E56" w:rsidRPr="00AB3DAC">
        <w:rPr>
          <w:rFonts w:ascii="Verdana" w:hAnsi="Verdana"/>
          <w:szCs w:val="20"/>
          <w:lang w:val="en-GB" w:eastAsia="en-GB"/>
        </w:rPr>
        <w:t xml:space="preserve"> found to be i</w:t>
      </w:r>
      <w:r w:rsidR="00130375" w:rsidRPr="00AB3DAC">
        <w:rPr>
          <w:rFonts w:ascii="Verdana" w:hAnsi="Verdana"/>
          <w:szCs w:val="20"/>
          <w:lang w:val="en-GB" w:eastAsia="en-GB"/>
        </w:rPr>
        <w:t>mpracticable. It should be noted that some other organisations, such as many professional and statutory bodies, set down minimum standards for professional practice. But it is with the academic standards that universities and colleges establish for their awards that this report is concerned.</w:t>
      </w:r>
    </w:p>
    <w:p w:rsidR="00D9641C" w:rsidRPr="007F4FFF" w:rsidRDefault="00D9641C" w:rsidP="00AB3DAC">
      <w:pPr>
        <w:pStyle w:val="Heading2"/>
        <w:spacing w:before="120" w:line="240" w:lineRule="auto"/>
        <w:rPr>
          <w:rFonts w:ascii="Times New Roman" w:hAnsi="Times New Roman"/>
          <w:b w:val="0"/>
          <w:sz w:val="24"/>
          <w:szCs w:val="24"/>
        </w:rPr>
      </w:pPr>
      <w:r w:rsidRPr="00AB3DAC">
        <w:rPr>
          <w:rFonts w:ascii="Verdana" w:hAnsi="Verdana" w:cs="Arial"/>
          <w:bCs w:val="0"/>
          <w:sz w:val="24"/>
          <w:szCs w:val="28"/>
        </w:rPr>
        <w:t>Definitions</w:t>
      </w:r>
    </w:p>
    <w:p w:rsidR="00D9641C" w:rsidRPr="00AB3DAC" w:rsidRDefault="00D9641C"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For the purposes of this paper, </w:t>
      </w:r>
      <w:r w:rsidR="00850968" w:rsidRPr="00AB3DAC">
        <w:rPr>
          <w:rFonts w:ascii="Verdana" w:hAnsi="Verdana"/>
          <w:szCs w:val="20"/>
          <w:lang w:val="en-GB" w:eastAsia="en-GB"/>
        </w:rPr>
        <w:t>“</w:t>
      </w:r>
      <w:r w:rsidR="00A41504" w:rsidRPr="00AB3DAC">
        <w:rPr>
          <w:rFonts w:ascii="Verdana" w:hAnsi="Verdana"/>
          <w:szCs w:val="20"/>
          <w:lang w:val="en-GB" w:eastAsia="en-GB"/>
        </w:rPr>
        <w:t>standards</w:t>
      </w:r>
      <w:r w:rsidR="00850968" w:rsidRPr="00AB3DAC">
        <w:rPr>
          <w:rFonts w:ascii="Verdana" w:hAnsi="Verdana"/>
          <w:szCs w:val="20"/>
          <w:lang w:val="en-GB" w:eastAsia="en-GB"/>
        </w:rPr>
        <w:t>”</w:t>
      </w:r>
      <w:r w:rsidR="00A41504" w:rsidRPr="00AB3DAC">
        <w:rPr>
          <w:rFonts w:ascii="Verdana" w:hAnsi="Verdana"/>
          <w:szCs w:val="20"/>
          <w:lang w:val="en-GB" w:eastAsia="en-GB"/>
        </w:rPr>
        <w:t xml:space="preserve"> are described as the l</w:t>
      </w:r>
      <w:r w:rsidR="007402E3" w:rsidRPr="00AB3DAC">
        <w:rPr>
          <w:rFonts w:ascii="Verdana" w:hAnsi="Verdana"/>
          <w:szCs w:val="20"/>
          <w:lang w:val="en-GB" w:eastAsia="en-GB"/>
        </w:rPr>
        <w:t>evels of achievement required to gain</w:t>
      </w:r>
      <w:r w:rsidRPr="00AB3DAC">
        <w:rPr>
          <w:rFonts w:ascii="Verdana" w:hAnsi="Verdana"/>
          <w:szCs w:val="20"/>
          <w:lang w:val="en-GB" w:eastAsia="en-GB"/>
        </w:rPr>
        <w:t xml:space="preserve"> a specific university </w:t>
      </w:r>
      <w:r w:rsidR="00890BCC" w:rsidRPr="00AB3DAC">
        <w:rPr>
          <w:rFonts w:ascii="Verdana" w:hAnsi="Verdana"/>
          <w:szCs w:val="20"/>
          <w:lang w:val="en-GB" w:eastAsia="en-GB"/>
        </w:rPr>
        <w:t xml:space="preserve">degree </w:t>
      </w:r>
      <w:r w:rsidRPr="00AB3DAC">
        <w:rPr>
          <w:rFonts w:ascii="Verdana" w:hAnsi="Verdana"/>
          <w:szCs w:val="20"/>
          <w:lang w:val="en-GB" w:eastAsia="en-GB"/>
        </w:rPr>
        <w:t>award.  As regards “comparable”, the Concise Oxford Dictionary</w:t>
      </w:r>
      <w:r w:rsidR="000B1ECE" w:rsidRPr="00AB3DAC">
        <w:rPr>
          <w:rFonts w:ascii="Verdana" w:hAnsi="Verdana"/>
          <w:szCs w:val="20"/>
          <w:lang w:val="en-GB" w:eastAsia="en-GB"/>
        </w:rPr>
        <w:t xml:space="preserve"> (Eighth </w:t>
      </w:r>
      <w:r w:rsidRPr="00AB3DAC">
        <w:rPr>
          <w:rFonts w:ascii="Verdana" w:hAnsi="Verdana"/>
          <w:szCs w:val="20"/>
          <w:lang w:val="en-GB" w:eastAsia="en-GB"/>
        </w:rPr>
        <w:t>edition</w:t>
      </w:r>
      <w:r w:rsidR="00890BCC" w:rsidRPr="00AB3DAC">
        <w:rPr>
          <w:rFonts w:ascii="Verdana" w:hAnsi="Verdana"/>
          <w:szCs w:val="20"/>
          <w:lang w:val="en-GB" w:eastAsia="en-GB"/>
        </w:rPr>
        <w:t>,</w:t>
      </w:r>
      <w:r w:rsidR="000B1ECE" w:rsidRPr="00AB3DAC">
        <w:rPr>
          <w:rFonts w:ascii="Verdana" w:hAnsi="Verdana"/>
          <w:szCs w:val="20"/>
          <w:lang w:val="en-GB" w:eastAsia="en-GB"/>
        </w:rPr>
        <w:t xml:space="preserve"> 1990) lists</w:t>
      </w:r>
      <w:r w:rsidRPr="00AB3DAC">
        <w:rPr>
          <w:rFonts w:ascii="Verdana" w:hAnsi="Verdana"/>
          <w:szCs w:val="20"/>
          <w:lang w:val="en-GB" w:eastAsia="en-GB"/>
        </w:rPr>
        <w:t xml:space="preserve"> a number of meanings.  The one that is used here is: “4. the equal or equivalent to</w:t>
      </w:r>
      <w:r w:rsidR="000B1ECE" w:rsidRPr="00AB3DAC">
        <w:rPr>
          <w:rFonts w:ascii="Verdana" w:hAnsi="Verdana"/>
          <w:szCs w:val="20"/>
          <w:lang w:val="en-GB" w:eastAsia="en-GB"/>
        </w:rPr>
        <w:t>”. In other words, for the purposes of this discussion</w:t>
      </w:r>
      <w:r w:rsidR="00850968" w:rsidRPr="00AB3DAC">
        <w:rPr>
          <w:rFonts w:ascii="Verdana" w:hAnsi="Verdana"/>
          <w:szCs w:val="20"/>
          <w:lang w:val="en-GB" w:eastAsia="en-GB"/>
        </w:rPr>
        <w:t>,</w:t>
      </w:r>
      <w:r w:rsidR="000B1ECE" w:rsidRPr="00AB3DAC">
        <w:rPr>
          <w:rFonts w:ascii="Verdana" w:hAnsi="Verdana"/>
          <w:szCs w:val="20"/>
          <w:lang w:val="en-GB" w:eastAsia="en-GB"/>
        </w:rPr>
        <w:t xml:space="preserve"> “comparability” </w:t>
      </w:r>
      <w:r w:rsidR="00C74C88" w:rsidRPr="00AB3DAC">
        <w:rPr>
          <w:rFonts w:ascii="Verdana" w:hAnsi="Verdana"/>
          <w:szCs w:val="20"/>
          <w:lang w:val="en-GB" w:eastAsia="en-GB"/>
        </w:rPr>
        <w:t>m</w:t>
      </w:r>
      <w:r w:rsidR="002E096E" w:rsidRPr="00AB3DAC">
        <w:rPr>
          <w:rFonts w:ascii="Verdana" w:hAnsi="Verdana"/>
          <w:szCs w:val="20"/>
          <w:lang w:val="en-GB" w:eastAsia="en-GB"/>
        </w:rPr>
        <w:t>eans that there is genuine</w:t>
      </w:r>
      <w:r w:rsidR="000B1ECE" w:rsidRPr="00AB3DAC">
        <w:rPr>
          <w:rFonts w:ascii="Verdana" w:hAnsi="Verdana"/>
          <w:szCs w:val="20"/>
          <w:lang w:val="en-GB" w:eastAsia="en-GB"/>
        </w:rPr>
        <w:t xml:space="preserve"> equivalence in the standards of learning</w:t>
      </w:r>
      <w:r w:rsidR="000B03F5" w:rsidRPr="00AB3DAC">
        <w:rPr>
          <w:rFonts w:ascii="Verdana" w:hAnsi="Verdana"/>
          <w:szCs w:val="20"/>
          <w:lang w:val="en-GB" w:eastAsia="en-GB"/>
        </w:rPr>
        <w:t xml:space="preserve"> required of</w:t>
      </w:r>
      <w:r w:rsidR="005B195A" w:rsidRPr="00AB3DAC">
        <w:rPr>
          <w:rFonts w:ascii="Verdana" w:hAnsi="Verdana"/>
          <w:szCs w:val="20"/>
          <w:lang w:val="en-GB" w:eastAsia="en-GB"/>
        </w:rPr>
        <w:t xml:space="preserve">, and achieved by, </w:t>
      </w:r>
      <w:r w:rsidR="000B1ECE" w:rsidRPr="00AB3DAC">
        <w:rPr>
          <w:rFonts w:ascii="Verdana" w:hAnsi="Verdana"/>
          <w:szCs w:val="20"/>
          <w:lang w:val="en-GB" w:eastAsia="en-GB"/>
        </w:rPr>
        <w:t xml:space="preserve">students following </w:t>
      </w:r>
      <w:r w:rsidR="007402E3" w:rsidRPr="00AB3DAC">
        <w:rPr>
          <w:rFonts w:ascii="Verdana" w:hAnsi="Verdana"/>
          <w:szCs w:val="20"/>
          <w:lang w:val="en-GB" w:eastAsia="en-GB"/>
        </w:rPr>
        <w:t xml:space="preserve">any </w:t>
      </w:r>
      <w:r w:rsidR="000B1ECE" w:rsidRPr="00AB3DAC">
        <w:rPr>
          <w:rFonts w:ascii="Verdana" w:hAnsi="Verdana"/>
          <w:szCs w:val="20"/>
          <w:lang w:val="en-GB" w:eastAsia="en-GB"/>
        </w:rPr>
        <w:t>two or more different programmes of study</w:t>
      </w:r>
      <w:r w:rsidR="002E096E" w:rsidRPr="00AB3DAC">
        <w:rPr>
          <w:rFonts w:ascii="Verdana" w:hAnsi="Verdana"/>
          <w:szCs w:val="20"/>
          <w:lang w:val="en-GB" w:eastAsia="en-GB"/>
        </w:rPr>
        <w:t xml:space="preserve"> at one or more institutions in the same or different subjects</w:t>
      </w:r>
      <w:r w:rsidR="00F8068D" w:rsidRPr="00AB3DAC">
        <w:rPr>
          <w:rFonts w:ascii="Verdana" w:hAnsi="Verdana"/>
          <w:szCs w:val="20"/>
          <w:lang w:val="en-GB" w:eastAsia="en-GB"/>
        </w:rPr>
        <w:t>,</w:t>
      </w:r>
      <w:r w:rsidR="00C74C88" w:rsidRPr="00AB3DAC">
        <w:rPr>
          <w:rFonts w:ascii="Verdana" w:hAnsi="Verdana"/>
          <w:szCs w:val="20"/>
          <w:lang w:val="en-GB" w:eastAsia="en-GB"/>
        </w:rPr>
        <w:t xml:space="preserve"> and leading to the same or a cognate award</w:t>
      </w:r>
      <w:r w:rsidR="00D06C06" w:rsidRPr="00AB3DAC">
        <w:rPr>
          <w:rFonts w:ascii="Verdana" w:hAnsi="Verdana"/>
          <w:szCs w:val="20"/>
          <w:lang w:val="en-GB" w:eastAsia="en-GB"/>
        </w:rPr>
        <w:t xml:space="preserve"> (this of course assumes that they are able to be compared</w:t>
      </w:r>
      <w:r w:rsidR="00C71029" w:rsidRPr="00AB3DAC">
        <w:rPr>
          <w:rFonts w:ascii="Verdana" w:hAnsi="Verdana"/>
          <w:szCs w:val="20"/>
          <w:lang w:val="en-GB" w:eastAsia="en-GB"/>
        </w:rPr>
        <w:t>)</w:t>
      </w:r>
      <w:r w:rsidR="00D06C06" w:rsidRPr="00AB3DAC">
        <w:rPr>
          <w:rFonts w:ascii="Verdana" w:hAnsi="Verdana"/>
          <w:szCs w:val="20"/>
          <w:lang w:val="en-GB" w:eastAsia="en-GB"/>
        </w:rPr>
        <w:t>. I</w:t>
      </w:r>
      <w:r w:rsidR="000B03F5" w:rsidRPr="00AB3DAC">
        <w:rPr>
          <w:rFonts w:ascii="Verdana" w:hAnsi="Verdana"/>
          <w:szCs w:val="20"/>
          <w:lang w:val="en-GB" w:eastAsia="en-GB"/>
        </w:rPr>
        <w:t xml:space="preserve">ssues related to standards differ from those related to quality. </w:t>
      </w:r>
      <w:r w:rsidR="005B195A" w:rsidRPr="00AB3DAC">
        <w:rPr>
          <w:rFonts w:ascii="Verdana" w:hAnsi="Verdana"/>
          <w:szCs w:val="20"/>
          <w:lang w:val="en-GB" w:eastAsia="en-GB"/>
        </w:rPr>
        <w:t>For the purpose of this discussion, m</w:t>
      </w:r>
      <w:r w:rsidR="000B03F5" w:rsidRPr="00AB3DAC">
        <w:rPr>
          <w:rFonts w:ascii="Verdana" w:hAnsi="Verdana"/>
          <w:szCs w:val="20"/>
          <w:lang w:val="en-GB" w:eastAsia="en-GB"/>
        </w:rPr>
        <w:t>atters related to quality</w:t>
      </w:r>
      <w:r w:rsidR="005B195A" w:rsidRPr="00AB3DAC">
        <w:rPr>
          <w:rFonts w:ascii="Verdana" w:hAnsi="Verdana"/>
          <w:szCs w:val="20"/>
          <w:lang w:val="en-GB" w:eastAsia="en-GB"/>
        </w:rPr>
        <w:t xml:space="preserve"> are taken to</w:t>
      </w:r>
      <w:r w:rsidR="000B03F5" w:rsidRPr="00AB3DAC">
        <w:rPr>
          <w:rFonts w:ascii="Verdana" w:hAnsi="Verdana"/>
          <w:szCs w:val="20"/>
          <w:lang w:val="en-GB" w:eastAsia="en-GB"/>
        </w:rPr>
        <w:t xml:space="preserve"> refer to </w:t>
      </w:r>
      <w:r w:rsidR="005B195A" w:rsidRPr="00AB3DAC">
        <w:rPr>
          <w:rFonts w:ascii="Verdana" w:hAnsi="Verdana"/>
          <w:szCs w:val="20"/>
          <w:lang w:val="en-GB" w:eastAsia="en-GB"/>
        </w:rPr>
        <w:t xml:space="preserve">the </w:t>
      </w:r>
      <w:r w:rsidR="000B03F5" w:rsidRPr="00AB3DAC">
        <w:rPr>
          <w:rFonts w:ascii="Verdana" w:hAnsi="Verdana"/>
          <w:i/>
          <w:szCs w:val="20"/>
          <w:lang w:val="en-GB" w:eastAsia="en-GB"/>
        </w:rPr>
        <w:t>process</w:t>
      </w:r>
      <w:r w:rsidR="005B195A" w:rsidRPr="00AB3DAC">
        <w:rPr>
          <w:rFonts w:ascii="Verdana" w:hAnsi="Verdana"/>
          <w:szCs w:val="20"/>
          <w:lang w:val="en-GB" w:eastAsia="en-GB"/>
        </w:rPr>
        <w:t xml:space="preserve"> of learning</w:t>
      </w:r>
      <w:r w:rsidR="000B03F5" w:rsidRPr="00AB3DAC">
        <w:rPr>
          <w:rFonts w:ascii="Verdana" w:hAnsi="Verdana"/>
          <w:szCs w:val="20"/>
          <w:lang w:val="en-GB" w:eastAsia="en-GB"/>
        </w:rPr>
        <w:t xml:space="preserve">, those concerned with standards </w:t>
      </w:r>
      <w:r w:rsidR="002D5083" w:rsidRPr="00AB3DAC">
        <w:rPr>
          <w:rFonts w:ascii="Verdana" w:hAnsi="Verdana"/>
          <w:szCs w:val="20"/>
          <w:lang w:val="en-GB" w:eastAsia="en-GB"/>
        </w:rPr>
        <w:t>refer</w:t>
      </w:r>
      <w:r w:rsidR="000B03F5" w:rsidRPr="00AB3DAC">
        <w:rPr>
          <w:rFonts w:ascii="Verdana" w:hAnsi="Verdana"/>
          <w:szCs w:val="20"/>
          <w:lang w:val="en-GB" w:eastAsia="en-GB"/>
        </w:rPr>
        <w:t xml:space="preserve"> to </w:t>
      </w:r>
      <w:r w:rsidR="005B195A" w:rsidRPr="00AB3DAC">
        <w:rPr>
          <w:rFonts w:ascii="Verdana" w:hAnsi="Verdana"/>
          <w:szCs w:val="20"/>
          <w:lang w:val="en-GB" w:eastAsia="en-GB"/>
        </w:rPr>
        <w:t xml:space="preserve">learning </w:t>
      </w:r>
      <w:r w:rsidR="005B195A" w:rsidRPr="00AB3DAC">
        <w:rPr>
          <w:rFonts w:ascii="Verdana" w:hAnsi="Verdana"/>
          <w:i/>
          <w:szCs w:val="20"/>
          <w:lang w:val="en-GB" w:eastAsia="en-GB"/>
        </w:rPr>
        <w:t>outcomes</w:t>
      </w:r>
      <w:r w:rsidR="005B195A" w:rsidRPr="00AB3DAC">
        <w:rPr>
          <w:rFonts w:ascii="Verdana" w:hAnsi="Verdana"/>
          <w:szCs w:val="20"/>
          <w:lang w:val="en-GB" w:eastAsia="en-GB"/>
        </w:rPr>
        <w:t>.</w:t>
      </w:r>
    </w:p>
    <w:p w:rsidR="00A41504" w:rsidRPr="00AB3DAC" w:rsidRDefault="00AB3DAC" w:rsidP="00AB3DAC">
      <w:pPr>
        <w:pStyle w:val="Heading2"/>
        <w:spacing w:before="120" w:line="240" w:lineRule="auto"/>
        <w:rPr>
          <w:rFonts w:ascii="Verdana" w:hAnsi="Verdana" w:cs="Arial"/>
          <w:bCs w:val="0"/>
          <w:sz w:val="24"/>
          <w:szCs w:val="28"/>
        </w:rPr>
      </w:pPr>
      <w:r>
        <w:rPr>
          <w:rFonts w:ascii="Verdana" w:hAnsi="Verdana" w:cs="Arial"/>
          <w:bCs w:val="0"/>
          <w:sz w:val="24"/>
          <w:szCs w:val="28"/>
        </w:rPr>
        <w:lastRenderedPageBreak/>
        <w:t xml:space="preserve">Part 1: </w:t>
      </w:r>
      <w:r w:rsidR="00A41504" w:rsidRPr="00AB3DAC">
        <w:rPr>
          <w:rFonts w:ascii="Verdana" w:hAnsi="Verdana" w:cs="Arial"/>
          <w:bCs w:val="0"/>
          <w:sz w:val="24"/>
          <w:szCs w:val="28"/>
        </w:rPr>
        <w:t xml:space="preserve">Institutional </w:t>
      </w:r>
      <w:r>
        <w:rPr>
          <w:rFonts w:ascii="Verdana" w:hAnsi="Verdana" w:cs="Arial"/>
          <w:bCs w:val="0"/>
          <w:sz w:val="24"/>
          <w:szCs w:val="28"/>
        </w:rPr>
        <w:t>m</w:t>
      </w:r>
      <w:r w:rsidR="00A41504" w:rsidRPr="00AB3DAC">
        <w:rPr>
          <w:rFonts w:ascii="Verdana" w:hAnsi="Verdana" w:cs="Arial"/>
          <w:bCs w:val="0"/>
          <w:sz w:val="24"/>
          <w:szCs w:val="28"/>
        </w:rPr>
        <w:t>echanisms</w:t>
      </w:r>
      <w:r>
        <w:rPr>
          <w:rFonts w:ascii="Verdana" w:hAnsi="Verdana" w:cs="Arial"/>
          <w:bCs w:val="0"/>
          <w:sz w:val="24"/>
          <w:szCs w:val="28"/>
        </w:rPr>
        <w:t xml:space="preserve"> to c</w:t>
      </w:r>
      <w:r w:rsidR="000B03F5" w:rsidRPr="00AB3DAC">
        <w:rPr>
          <w:rFonts w:ascii="Verdana" w:hAnsi="Verdana" w:cs="Arial"/>
          <w:bCs w:val="0"/>
          <w:sz w:val="24"/>
          <w:szCs w:val="28"/>
        </w:rPr>
        <w:t xml:space="preserve">ontrol </w:t>
      </w:r>
      <w:r>
        <w:rPr>
          <w:rFonts w:ascii="Verdana" w:hAnsi="Verdana" w:cs="Arial"/>
          <w:bCs w:val="0"/>
          <w:sz w:val="24"/>
          <w:szCs w:val="28"/>
        </w:rPr>
        <w:t>quality and s</w:t>
      </w:r>
      <w:r w:rsidR="000B03F5" w:rsidRPr="00AB3DAC">
        <w:rPr>
          <w:rFonts w:ascii="Verdana" w:hAnsi="Verdana" w:cs="Arial"/>
          <w:bCs w:val="0"/>
          <w:sz w:val="24"/>
          <w:szCs w:val="28"/>
        </w:rPr>
        <w:t>tandards</w:t>
      </w:r>
    </w:p>
    <w:p w:rsidR="00A41504" w:rsidRPr="00AB3DAC" w:rsidRDefault="00A41504"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By international standards, UK universities and colleges have quite elaborate </w:t>
      </w:r>
      <w:r w:rsidR="00F12552" w:rsidRPr="00AB3DAC">
        <w:rPr>
          <w:rFonts w:ascii="Verdana" w:hAnsi="Verdana"/>
          <w:szCs w:val="20"/>
          <w:lang w:val="en-GB" w:eastAsia="en-GB"/>
        </w:rPr>
        <w:t xml:space="preserve">internal </w:t>
      </w:r>
      <w:r w:rsidR="000B03F5" w:rsidRPr="00AB3DAC">
        <w:rPr>
          <w:rFonts w:ascii="Verdana" w:hAnsi="Verdana"/>
          <w:szCs w:val="20"/>
          <w:lang w:val="en-GB" w:eastAsia="en-GB"/>
        </w:rPr>
        <w:t xml:space="preserve">controls over </w:t>
      </w:r>
      <w:r w:rsidR="00131DEE" w:rsidRPr="00AB3DAC">
        <w:rPr>
          <w:rFonts w:ascii="Verdana" w:hAnsi="Verdana"/>
          <w:szCs w:val="20"/>
          <w:lang w:val="en-GB" w:eastAsia="en-GB"/>
        </w:rPr>
        <w:t xml:space="preserve">quality and </w:t>
      </w:r>
      <w:r w:rsidR="000B03F5" w:rsidRPr="00AB3DAC">
        <w:rPr>
          <w:rFonts w:ascii="Verdana" w:hAnsi="Verdana"/>
          <w:szCs w:val="20"/>
          <w:lang w:val="en-GB" w:eastAsia="en-GB"/>
        </w:rPr>
        <w:t>standards</w:t>
      </w:r>
      <w:r w:rsidRPr="00AB3DAC">
        <w:rPr>
          <w:rFonts w:ascii="Verdana" w:hAnsi="Verdana"/>
          <w:szCs w:val="20"/>
          <w:lang w:val="en-GB" w:eastAsia="en-GB"/>
        </w:rPr>
        <w:t>.  The chief ones are:</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Admissions </w:t>
      </w:r>
      <w:r w:rsidR="00A41504" w:rsidRPr="00AB3DAC">
        <w:rPr>
          <w:rFonts w:ascii="Verdana" w:hAnsi="Verdana"/>
          <w:szCs w:val="20"/>
          <w:lang w:val="en-GB" w:eastAsia="en-GB"/>
        </w:rPr>
        <w:t>policies</w:t>
      </w:r>
      <w:r w:rsidR="000B1ECE" w:rsidRPr="00AB3DAC">
        <w:rPr>
          <w:rFonts w:ascii="Verdana" w:hAnsi="Verdana"/>
          <w:szCs w:val="20"/>
          <w:lang w:val="en-GB" w:eastAsia="en-GB"/>
        </w:rPr>
        <w:t>,</w:t>
      </w:r>
      <w:r w:rsidR="00A41504" w:rsidRPr="00AB3DAC">
        <w:rPr>
          <w:rFonts w:ascii="Verdana" w:hAnsi="Verdana"/>
          <w:szCs w:val="20"/>
          <w:lang w:val="en-GB" w:eastAsia="en-GB"/>
        </w:rPr>
        <w:t xml:space="preserve"> so that only students capable of benefitting from particular programmes are enrolled</w:t>
      </w:r>
      <w:r w:rsidR="002D5083" w:rsidRPr="00AB3DAC">
        <w:rPr>
          <w:rFonts w:ascii="Verdana" w:hAnsi="Verdana"/>
          <w:szCs w:val="20"/>
          <w:lang w:val="en-GB" w:eastAsia="en-GB"/>
        </w:rPr>
        <w:t xml:space="preserve"> (though, crucially, these vary considerably between institutions, </w:t>
      </w:r>
      <w:r w:rsidR="00131DEE" w:rsidRPr="00AB3DAC">
        <w:rPr>
          <w:rFonts w:ascii="Verdana" w:hAnsi="Verdana"/>
          <w:szCs w:val="20"/>
          <w:lang w:val="en-GB" w:eastAsia="en-GB"/>
        </w:rPr>
        <w:t>as well as</w:t>
      </w:r>
      <w:r w:rsidR="002D5083" w:rsidRPr="00AB3DAC">
        <w:rPr>
          <w:rFonts w:ascii="Verdana" w:hAnsi="Verdana"/>
          <w:szCs w:val="20"/>
          <w:lang w:val="en-GB" w:eastAsia="en-GB"/>
        </w:rPr>
        <w:t xml:space="preserve"> between subjects within institutions)</w:t>
      </w:r>
      <w:r w:rsidR="00BC3D30">
        <w:rPr>
          <w:rFonts w:ascii="Verdana" w:hAnsi="Verdana"/>
          <w:szCs w:val="20"/>
          <w:lang w:val="en-GB" w:eastAsia="en-GB"/>
        </w:rPr>
        <w:t>;</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Course </w:t>
      </w:r>
      <w:r w:rsidR="00F12552" w:rsidRPr="00AB3DAC">
        <w:rPr>
          <w:rFonts w:ascii="Verdana" w:hAnsi="Verdana"/>
          <w:szCs w:val="20"/>
          <w:lang w:val="en-GB" w:eastAsia="en-GB"/>
        </w:rPr>
        <w:t>approval, mo</w:t>
      </w:r>
      <w:r w:rsidR="00A41504" w:rsidRPr="00AB3DAC">
        <w:rPr>
          <w:rFonts w:ascii="Verdana" w:hAnsi="Verdana"/>
          <w:szCs w:val="20"/>
          <w:lang w:val="en-GB" w:eastAsia="en-GB"/>
        </w:rPr>
        <w:t>n</w:t>
      </w:r>
      <w:r w:rsidR="00F12552" w:rsidRPr="00AB3DAC">
        <w:rPr>
          <w:rFonts w:ascii="Verdana" w:hAnsi="Verdana"/>
          <w:szCs w:val="20"/>
          <w:lang w:val="en-GB" w:eastAsia="en-GB"/>
        </w:rPr>
        <w:t>i</w:t>
      </w:r>
      <w:r w:rsidR="00A41504" w:rsidRPr="00AB3DAC">
        <w:rPr>
          <w:rFonts w:ascii="Verdana" w:hAnsi="Verdana"/>
          <w:szCs w:val="20"/>
          <w:lang w:val="en-GB" w:eastAsia="en-GB"/>
        </w:rPr>
        <w:t>toring and review, so that only programmes that are fit to lead to an institution’s award are offered</w:t>
      </w:r>
      <w:r w:rsidR="00BC3D30">
        <w:rPr>
          <w:rFonts w:ascii="Verdana" w:hAnsi="Verdana"/>
          <w:szCs w:val="20"/>
          <w:lang w:val="en-GB" w:eastAsia="en-GB"/>
        </w:rPr>
        <w:t>;</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Assessment </w:t>
      </w:r>
      <w:r w:rsidR="00A41504" w:rsidRPr="00AB3DAC">
        <w:rPr>
          <w:rFonts w:ascii="Verdana" w:hAnsi="Verdana"/>
          <w:szCs w:val="20"/>
          <w:lang w:val="en-GB" w:eastAsia="en-GB"/>
        </w:rPr>
        <w:t>regulations and mechanisms</w:t>
      </w:r>
      <w:r w:rsidR="000B1ECE" w:rsidRPr="00AB3DAC">
        <w:rPr>
          <w:rFonts w:ascii="Verdana" w:hAnsi="Verdana"/>
          <w:szCs w:val="20"/>
          <w:lang w:val="en-GB" w:eastAsia="en-GB"/>
        </w:rPr>
        <w:t>,</w:t>
      </w:r>
      <w:r w:rsidR="00A41504" w:rsidRPr="00AB3DAC">
        <w:rPr>
          <w:rFonts w:ascii="Verdana" w:hAnsi="Verdana"/>
          <w:szCs w:val="20"/>
          <w:lang w:val="en-GB" w:eastAsia="en-GB"/>
        </w:rPr>
        <w:t xml:space="preserve"> so that only students who reach the required level of attainment receive </w:t>
      </w:r>
      <w:r>
        <w:rPr>
          <w:rFonts w:ascii="Verdana" w:hAnsi="Verdana"/>
          <w:szCs w:val="20"/>
          <w:lang w:val="en-GB" w:eastAsia="en-GB"/>
        </w:rPr>
        <w:t xml:space="preserve">an </w:t>
      </w:r>
      <w:r w:rsidR="00A41504" w:rsidRPr="00AB3DAC">
        <w:rPr>
          <w:rFonts w:ascii="Verdana" w:hAnsi="Verdana"/>
          <w:szCs w:val="20"/>
          <w:lang w:val="en-GB" w:eastAsia="en-GB"/>
        </w:rPr>
        <w:t>award</w:t>
      </w:r>
      <w:r w:rsidR="002D5083" w:rsidRPr="00AB3DAC">
        <w:rPr>
          <w:rFonts w:ascii="Verdana" w:hAnsi="Verdana"/>
          <w:szCs w:val="20"/>
          <w:lang w:val="en-GB" w:eastAsia="en-GB"/>
        </w:rPr>
        <w:t xml:space="preserve"> (again, these vary subs</w:t>
      </w:r>
      <w:r w:rsidR="00D06C06" w:rsidRPr="00AB3DAC">
        <w:rPr>
          <w:rFonts w:ascii="Verdana" w:hAnsi="Verdana"/>
          <w:szCs w:val="20"/>
          <w:lang w:val="en-GB" w:eastAsia="en-GB"/>
        </w:rPr>
        <w:t>tantially between institutions)</w:t>
      </w:r>
      <w:r w:rsidR="00BC3D30">
        <w:rPr>
          <w:rFonts w:ascii="Verdana" w:hAnsi="Verdana"/>
          <w:szCs w:val="20"/>
          <w:lang w:val="en-GB" w:eastAsia="en-GB"/>
        </w:rPr>
        <w:t>;</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Monitoring </w:t>
      </w:r>
      <w:r w:rsidR="00A41504" w:rsidRPr="00AB3DAC">
        <w:rPr>
          <w:rFonts w:ascii="Verdana" w:hAnsi="Verdana"/>
          <w:szCs w:val="20"/>
          <w:lang w:val="en-GB" w:eastAsia="en-GB"/>
        </w:rPr>
        <w:t>and feedback processes</w:t>
      </w:r>
      <w:r w:rsidR="000B1ECE" w:rsidRPr="00AB3DAC">
        <w:rPr>
          <w:rFonts w:ascii="Verdana" w:hAnsi="Verdana"/>
          <w:szCs w:val="20"/>
          <w:lang w:val="en-GB" w:eastAsia="en-GB"/>
        </w:rPr>
        <w:t>,</w:t>
      </w:r>
      <w:r w:rsidR="00A41504" w:rsidRPr="00AB3DAC">
        <w:rPr>
          <w:rFonts w:ascii="Verdana" w:hAnsi="Verdana"/>
          <w:szCs w:val="20"/>
          <w:lang w:val="en-GB" w:eastAsia="en-GB"/>
        </w:rPr>
        <w:t xml:space="preserve"> so that opportunities are taken to improve the quality of what is offered</w:t>
      </w:r>
      <w:r w:rsidR="00BC3D30">
        <w:rPr>
          <w:rFonts w:ascii="Verdana" w:hAnsi="Verdana"/>
          <w:szCs w:val="20"/>
          <w:lang w:val="en-GB" w:eastAsia="en-GB"/>
        </w:rPr>
        <w:t>;</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Staff </w:t>
      </w:r>
      <w:r w:rsidR="00A41504" w:rsidRPr="00AB3DAC">
        <w:rPr>
          <w:rFonts w:ascii="Verdana" w:hAnsi="Verdana"/>
          <w:szCs w:val="20"/>
          <w:lang w:val="en-GB" w:eastAsia="en-GB"/>
        </w:rPr>
        <w:t>selection and development</w:t>
      </w:r>
      <w:r w:rsidR="000B1ECE" w:rsidRPr="00AB3DAC">
        <w:rPr>
          <w:rFonts w:ascii="Verdana" w:hAnsi="Verdana"/>
          <w:szCs w:val="20"/>
          <w:lang w:val="en-GB" w:eastAsia="en-GB"/>
        </w:rPr>
        <w:t>,</w:t>
      </w:r>
      <w:r w:rsidR="00A41504" w:rsidRPr="00AB3DAC">
        <w:rPr>
          <w:rFonts w:ascii="Verdana" w:hAnsi="Verdana"/>
          <w:szCs w:val="20"/>
          <w:lang w:val="en-GB" w:eastAsia="en-GB"/>
        </w:rPr>
        <w:t xml:space="preserve"> so that only suitably qualified and trained staff teach stude</w:t>
      </w:r>
      <w:r w:rsidR="00D06C06" w:rsidRPr="00AB3DAC">
        <w:rPr>
          <w:rFonts w:ascii="Verdana" w:hAnsi="Verdana"/>
          <w:szCs w:val="20"/>
          <w:lang w:val="en-GB" w:eastAsia="en-GB"/>
        </w:rPr>
        <w:t>nts</w:t>
      </w:r>
      <w:r w:rsidR="00BC3D30">
        <w:rPr>
          <w:rFonts w:ascii="Verdana" w:hAnsi="Verdana"/>
          <w:szCs w:val="20"/>
          <w:lang w:val="en-GB" w:eastAsia="en-GB"/>
        </w:rPr>
        <w:t>;</w:t>
      </w:r>
    </w:p>
    <w:p w:rsidR="00A41504"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Staff </w:t>
      </w:r>
      <w:r w:rsidR="00A41504" w:rsidRPr="00AB3DAC">
        <w:rPr>
          <w:rFonts w:ascii="Verdana" w:hAnsi="Verdana"/>
          <w:szCs w:val="20"/>
          <w:lang w:val="en-GB" w:eastAsia="en-GB"/>
        </w:rPr>
        <w:t>appraisal</w:t>
      </w:r>
      <w:r w:rsidR="000B1ECE" w:rsidRPr="00AB3DAC">
        <w:rPr>
          <w:rFonts w:ascii="Verdana" w:hAnsi="Verdana"/>
          <w:szCs w:val="20"/>
          <w:lang w:val="en-GB" w:eastAsia="en-GB"/>
        </w:rPr>
        <w:t>,</w:t>
      </w:r>
      <w:r w:rsidR="00A41504" w:rsidRPr="00AB3DAC">
        <w:rPr>
          <w:rFonts w:ascii="Verdana" w:hAnsi="Verdana"/>
          <w:szCs w:val="20"/>
          <w:lang w:val="en-GB" w:eastAsia="en-GB"/>
        </w:rPr>
        <w:t xml:space="preserve"> so that staff receive regular structured feedback on their performance</w:t>
      </w:r>
      <w:r w:rsidR="002F78AA" w:rsidRPr="00AB3DAC">
        <w:rPr>
          <w:rFonts w:ascii="Verdana" w:hAnsi="Verdana"/>
          <w:szCs w:val="20"/>
          <w:lang w:val="en-GB" w:eastAsia="en-GB"/>
        </w:rPr>
        <w:t>.</w:t>
      </w:r>
    </w:p>
    <w:p w:rsidR="00A41504" w:rsidRPr="00AB3DAC" w:rsidRDefault="00D06C06"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Within assessment</w:t>
      </w:r>
      <w:r w:rsidR="000B03F5" w:rsidRPr="00AB3DAC">
        <w:rPr>
          <w:rFonts w:ascii="Verdana" w:hAnsi="Verdana"/>
          <w:szCs w:val="20"/>
          <w:lang w:val="en-GB" w:eastAsia="en-GB"/>
        </w:rPr>
        <w:t xml:space="preserve">, a </w:t>
      </w:r>
      <w:r w:rsidR="00A41504" w:rsidRPr="00AB3DAC">
        <w:rPr>
          <w:rFonts w:ascii="Verdana" w:hAnsi="Verdana"/>
          <w:szCs w:val="20"/>
          <w:lang w:val="en-GB" w:eastAsia="en-GB"/>
        </w:rPr>
        <w:t>key role has traditionally been played by external examiners.  These are employed by, and answerable to, the institution concerned.</w:t>
      </w:r>
      <w:r w:rsidR="001178F3" w:rsidRPr="00AB3DAC">
        <w:rPr>
          <w:rFonts w:ascii="Verdana" w:hAnsi="Verdana"/>
          <w:szCs w:val="20"/>
          <w:lang w:val="en-GB" w:eastAsia="en-GB"/>
        </w:rPr>
        <w:t xml:space="preserve">  Their </w:t>
      </w:r>
      <w:r w:rsidR="00A41504" w:rsidRPr="00AB3DAC">
        <w:rPr>
          <w:rFonts w:ascii="Verdana" w:hAnsi="Verdana"/>
          <w:szCs w:val="20"/>
          <w:lang w:val="en-GB" w:eastAsia="en-GB"/>
        </w:rPr>
        <w:t>job is to report on:</w:t>
      </w:r>
    </w:p>
    <w:p w:rsidR="001178F3" w:rsidRPr="00082EB4" w:rsidRDefault="00082EB4" w:rsidP="00AB3DAC">
      <w:pPr>
        <w:pStyle w:val="BodyText"/>
        <w:numPr>
          <w:ilvl w:val="1"/>
          <w:numId w:val="17"/>
        </w:numPr>
        <w:spacing w:before="0" w:line="300" w:lineRule="atLeast"/>
        <w:rPr>
          <w:rFonts w:ascii="Verdana" w:hAnsi="Verdana"/>
          <w:szCs w:val="20"/>
          <w:lang w:val="en-GB" w:eastAsia="en-GB"/>
        </w:rPr>
      </w:pPr>
      <w:r w:rsidRPr="00082EB4">
        <w:rPr>
          <w:rFonts w:ascii="Verdana" w:hAnsi="Verdana"/>
          <w:szCs w:val="20"/>
          <w:lang w:val="en-GB" w:eastAsia="en-GB"/>
        </w:rPr>
        <w:t xml:space="preserve">Whether </w:t>
      </w:r>
      <w:r w:rsidR="001B35F3" w:rsidRPr="001B35F3">
        <w:rPr>
          <w:rFonts w:ascii="Verdana" w:hAnsi="Verdana"/>
          <w:szCs w:val="20"/>
          <w:lang w:val="en-GB" w:eastAsia="en-GB"/>
        </w:rPr>
        <w:t>the standards set for awards at the institution concerned are appropriate</w:t>
      </w:r>
      <w:r w:rsidR="00BC3D30">
        <w:rPr>
          <w:rFonts w:ascii="Verdana" w:hAnsi="Verdana"/>
          <w:szCs w:val="20"/>
          <w:lang w:val="en-GB" w:eastAsia="en-GB"/>
        </w:rPr>
        <w:t>;</w:t>
      </w:r>
    </w:p>
    <w:p w:rsidR="001178F3" w:rsidRPr="00082EB4" w:rsidRDefault="00082EB4" w:rsidP="00AB3DAC">
      <w:pPr>
        <w:pStyle w:val="BodyText"/>
        <w:numPr>
          <w:ilvl w:val="1"/>
          <w:numId w:val="17"/>
        </w:numPr>
        <w:spacing w:before="0" w:line="300" w:lineRule="atLeast"/>
        <w:rPr>
          <w:rFonts w:ascii="Verdana" w:hAnsi="Verdana"/>
          <w:szCs w:val="20"/>
          <w:lang w:val="en-GB" w:eastAsia="en-GB"/>
        </w:rPr>
      </w:pPr>
      <w:r w:rsidRPr="00082EB4">
        <w:rPr>
          <w:rFonts w:ascii="Verdana" w:hAnsi="Verdana"/>
          <w:szCs w:val="20"/>
          <w:lang w:val="en-GB" w:eastAsia="en-GB"/>
        </w:rPr>
        <w:t xml:space="preserve">The </w:t>
      </w:r>
      <w:r w:rsidR="001B35F3" w:rsidRPr="001B35F3">
        <w:rPr>
          <w:rFonts w:ascii="Verdana" w:hAnsi="Verdana"/>
          <w:szCs w:val="20"/>
          <w:lang w:val="en-GB" w:eastAsia="en-GB"/>
        </w:rPr>
        <w:t>extent to which assessment processes are rigorous, ensure equity of treatment for students, and have been fairly conducted within institutional regulations and guidance</w:t>
      </w:r>
      <w:r w:rsidR="00BC3D30">
        <w:rPr>
          <w:rFonts w:ascii="Verdana" w:hAnsi="Verdana"/>
          <w:szCs w:val="20"/>
          <w:lang w:val="en-GB" w:eastAsia="en-GB"/>
        </w:rPr>
        <w:t>;</w:t>
      </w:r>
    </w:p>
    <w:p w:rsidR="001178F3" w:rsidRPr="00082EB4" w:rsidRDefault="00082EB4" w:rsidP="00AB3DAC">
      <w:pPr>
        <w:pStyle w:val="BodyText"/>
        <w:numPr>
          <w:ilvl w:val="1"/>
          <w:numId w:val="17"/>
        </w:numPr>
        <w:spacing w:before="0" w:line="300" w:lineRule="atLeast"/>
        <w:rPr>
          <w:rFonts w:ascii="Verdana" w:hAnsi="Verdana"/>
          <w:szCs w:val="20"/>
          <w:lang w:val="en-GB" w:eastAsia="en-GB"/>
        </w:rPr>
      </w:pPr>
      <w:r w:rsidRPr="00082EB4">
        <w:rPr>
          <w:rFonts w:ascii="Verdana" w:hAnsi="Verdana"/>
          <w:szCs w:val="20"/>
          <w:lang w:val="en-GB" w:eastAsia="en-GB"/>
        </w:rPr>
        <w:t xml:space="preserve">The </w:t>
      </w:r>
      <w:r w:rsidR="001B35F3" w:rsidRPr="001B35F3">
        <w:rPr>
          <w:rFonts w:ascii="Verdana" w:hAnsi="Verdana"/>
          <w:szCs w:val="20"/>
          <w:lang w:val="en-GB" w:eastAsia="en-GB"/>
        </w:rPr>
        <w:t>standards of student performance in the programmes which they have been appointed to examine</w:t>
      </w:r>
      <w:r w:rsidR="00BC3D30">
        <w:rPr>
          <w:rFonts w:ascii="Verdana" w:hAnsi="Verdana"/>
          <w:szCs w:val="20"/>
          <w:lang w:val="en-GB" w:eastAsia="en-GB"/>
        </w:rPr>
        <w:t>;</w:t>
      </w:r>
    </w:p>
    <w:p w:rsidR="001178F3" w:rsidRPr="00082EB4" w:rsidRDefault="00082EB4" w:rsidP="00AB3DAC">
      <w:pPr>
        <w:pStyle w:val="BodyText"/>
        <w:numPr>
          <w:ilvl w:val="1"/>
          <w:numId w:val="17"/>
        </w:numPr>
        <w:spacing w:before="0" w:line="300" w:lineRule="atLeast"/>
        <w:rPr>
          <w:rFonts w:ascii="Verdana" w:hAnsi="Verdana"/>
          <w:szCs w:val="20"/>
          <w:lang w:val="en-GB" w:eastAsia="en-GB"/>
        </w:rPr>
      </w:pPr>
      <w:r w:rsidRPr="00082EB4">
        <w:rPr>
          <w:rFonts w:ascii="Verdana" w:hAnsi="Verdana"/>
          <w:szCs w:val="20"/>
          <w:lang w:val="en-GB" w:eastAsia="en-GB"/>
        </w:rPr>
        <w:t xml:space="preserve">(Where </w:t>
      </w:r>
      <w:r w:rsidR="001B35F3" w:rsidRPr="001B35F3">
        <w:rPr>
          <w:rFonts w:ascii="Verdana" w:hAnsi="Verdana"/>
          <w:szCs w:val="20"/>
          <w:lang w:val="en-GB" w:eastAsia="en-GB"/>
        </w:rPr>
        <w:t>appropriate) the comparability of the standards and student achievements with those in some other higher education institutions</w:t>
      </w:r>
      <w:r w:rsidR="00BC3D30">
        <w:rPr>
          <w:rFonts w:ascii="Verdana" w:hAnsi="Verdana"/>
          <w:szCs w:val="20"/>
          <w:lang w:val="en-GB" w:eastAsia="en-GB"/>
        </w:rPr>
        <w:t>;</w:t>
      </w:r>
    </w:p>
    <w:p w:rsidR="005B195A" w:rsidRPr="00082EB4" w:rsidRDefault="00082EB4" w:rsidP="00AB3DAC">
      <w:pPr>
        <w:pStyle w:val="BodyText"/>
        <w:numPr>
          <w:ilvl w:val="1"/>
          <w:numId w:val="17"/>
        </w:numPr>
        <w:spacing w:before="0" w:line="300" w:lineRule="atLeast"/>
        <w:rPr>
          <w:rFonts w:ascii="Verdana" w:hAnsi="Verdana"/>
          <w:szCs w:val="20"/>
          <w:lang w:val="en-GB" w:eastAsia="en-GB"/>
        </w:rPr>
      </w:pPr>
      <w:r w:rsidRPr="00082EB4">
        <w:rPr>
          <w:rFonts w:ascii="Verdana" w:hAnsi="Verdana"/>
          <w:szCs w:val="20"/>
          <w:lang w:val="en-GB" w:eastAsia="en-GB"/>
        </w:rPr>
        <w:t xml:space="preserve">Good </w:t>
      </w:r>
      <w:r w:rsidR="001B35F3" w:rsidRPr="001B35F3">
        <w:rPr>
          <w:rFonts w:ascii="Verdana" w:hAnsi="Verdana"/>
          <w:szCs w:val="20"/>
          <w:lang w:val="en-GB" w:eastAsia="en-GB"/>
        </w:rPr>
        <w:t xml:space="preserve">practice they have identified </w:t>
      </w:r>
      <w:r w:rsidR="001178F3" w:rsidRPr="00082EB4">
        <w:rPr>
          <w:rFonts w:ascii="Verdana" w:hAnsi="Verdana"/>
          <w:szCs w:val="20"/>
          <w:lang w:val="en-GB" w:eastAsia="en-GB"/>
        </w:rPr>
        <w:t>(QAA</w:t>
      </w:r>
      <w:r w:rsidR="00C74C88" w:rsidRPr="00082EB4">
        <w:rPr>
          <w:rFonts w:ascii="Verdana" w:hAnsi="Verdana"/>
          <w:szCs w:val="20"/>
          <w:lang w:val="en-GB" w:eastAsia="en-GB"/>
        </w:rPr>
        <w:t>, 2004</w:t>
      </w:r>
      <w:r w:rsidR="001178F3" w:rsidRPr="00082EB4">
        <w:rPr>
          <w:rFonts w:ascii="Verdana" w:hAnsi="Verdana"/>
          <w:szCs w:val="20"/>
          <w:lang w:val="en-GB" w:eastAsia="en-GB"/>
        </w:rPr>
        <w:t>).</w:t>
      </w:r>
    </w:p>
    <w:p w:rsidR="000B1ECE" w:rsidRPr="00AB3DAC" w:rsidRDefault="001178F3"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External examiners are</w:t>
      </w:r>
      <w:r w:rsidR="00C71029" w:rsidRPr="00AB3DAC">
        <w:rPr>
          <w:rFonts w:ascii="Verdana" w:hAnsi="Verdana"/>
          <w:szCs w:val="20"/>
          <w:lang w:val="en-GB" w:eastAsia="en-GB"/>
        </w:rPr>
        <w:t xml:space="preserve"> one of the chief means of</w:t>
      </w:r>
      <w:r w:rsidR="00D06C06" w:rsidRPr="00AB3DAC">
        <w:rPr>
          <w:rFonts w:ascii="Verdana" w:hAnsi="Verdana"/>
          <w:szCs w:val="20"/>
          <w:lang w:val="en-GB" w:eastAsia="en-GB"/>
        </w:rPr>
        <w:t xml:space="preserve"> achieving what David Watson has termed “a controlled reputational range”</w:t>
      </w:r>
      <w:r w:rsidR="00BC3D30">
        <w:rPr>
          <w:rFonts w:ascii="Verdana" w:hAnsi="Verdana"/>
          <w:szCs w:val="20"/>
          <w:lang w:val="en-GB" w:eastAsia="en-GB"/>
        </w:rPr>
        <w:t>;</w:t>
      </w:r>
      <w:r w:rsidR="00130375" w:rsidRPr="00AB3DAC">
        <w:rPr>
          <w:rFonts w:ascii="Verdana" w:hAnsi="Verdana"/>
          <w:szCs w:val="20"/>
          <w:lang w:val="en-GB" w:eastAsia="en-GB"/>
        </w:rPr>
        <w:t xml:space="preserve"> the practice</w:t>
      </w:r>
      <w:r w:rsidR="00D06C06" w:rsidRPr="00AB3DAC">
        <w:rPr>
          <w:rFonts w:ascii="Verdana" w:hAnsi="Verdana"/>
          <w:szCs w:val="20"/>
          <w:lang w:val="en-GB" w:eastAsia="en-GB"/>
        </w:rPr>
        <w:t xml:space="preserve"> is</w:t>
      </w:r>
      <w:r w:rsidRPr="00AB3DAC">
        <w:rPr>
          <w:rFonts w:ascii="Verdana" w:hAnsi="Verdana"/>
          <w:szCs w:val="20"/>
          <w:lang w:val="en-GB" w:eastAsia="en-GB"/>
        </w:rPr>
        <w:t xml:space="preserve"> </w:t>
      </w:r>
      <w:r w:rsidR="00C74C88" w:rsidRPr="00AB3DAC">
        <w:rPr>
          <w:rFonts w:ascii="Verdana" w:hAnsi="Verdana"/>
          <w:szCs w:val="20"/>
          <w:lang w:val="en-GB" w:eastAsia="en-GB"/>
        </w:rPr>
        <w:t xml:space="preserve">virtually </w:t>
      </w:r>
      <w:r w:rsidRPr="00AB3DAC">
        <w:rPr>
          <w:rFonts w:ascii="Verdana" w:hAnsi="Verdana"/>
          <w:szCs w:val="20"/>
          <w:lang w:val="en-GB" w:eastAsia="en-GB"/>
        </w:rPr>
        <w:t>unique to the UK</w:t>
      </w:r>
      <w:r w:rsidR="00C74C88" w:rsidRPr="00AB3DAC">
        <w:rPr>
          <w:rFonts w:ascii="Verdana" w:hAnsi="Verdana"/>
          <w:szCs w:val="20"/>
          <w:lang w:val="en-GB" w:eastAsia="en-GB"/>
        </w:rPr>
        <w:t xml:space="preserve"> (Denmark and Malta also have them).  Also peculiar</w:t>
      </w:r>
      <w:r w:rsidRPr="00AB3DAC">
        <w:rPr>
          <w:rFonts w:ascii="Verdana" w:hAnsi="Verdana"/>
          <w:szCs w:val="20"/>
          <w:lang w:val="en-GB" w:eastAsia="en-GB"/>
        </w:rPr>
        <w:t xml:space="preserve"> to the UK </w:t>
      </w:r>
      <w:r w:rsidRPr="00AB3DAC">
        <w:rPr>
          <w:rFonts w:ascii="Verdana" w:hAnsi="Verdana"/>
          <w:szCs w:val="20"/>
          <w:lang w:val="en-GB" w:eastAsia="en-GB"/>
        </w:rPr>
        <w:lastRenderedPageBreak/>
        <w:t>is the system whereby the degree awards that students in most subjects receive are clas</w:t>
      </w:r>
      <w:r w:rsidR="00F12552" w:rsidRPr="00AB3DAC">
        <w:rPr>
          <w:rFonts w:ascii="Verdana" w:hAnsi="Verdana"/>
          <w:szCs w:val="20"/>
          <w:lang w:val="en-GB" w:eastAsia="en-GB"/>
        </w:rPr>
        <w:t>sified e.g.</w:t>
      </w:r>
      <w:r w:rsidR="00C71029" w:rsidRPr="00AB3DAC">
        <w:rPr>
          <w:rFonts w:ascii="Verdana" w:hAnsi="Verdana"/>
          <w:szCs w:val="20"/>
          <w:lang w:val="en-GB" w:eastAsia="en-GB"/>
        </w:rPr>
        <w:t>,</w:t>
      </w:r>
      <w:r w:rsidR="00F12552" w:rsidRPr="00AB3DAC">
        <w:rPr>
          <w:rFonts w:ascii="Verdana" w:hAnsi="Verdana"/>
          <w:szCs w:val="20"/>
          <w:lang w:val="en-GB" w:eastAsia="en-GB"/>
        </w:rPr>
        <w:t xml:space="preserve"> First Class, Upper S</w:t>
      </w:r>
      <w:r w:rsidRPr="00AB3DAC">
        <w:rPr>
          <w:rFonts w:ascii="Verdana" w:hAnsi="Verdana"/>
          <w:szCs w:val="20"/>
          <w:lang w:val="en-GB" w:eastAsia="en-GB"/>
        </w:rPr>
        <w:t>econd</w:t>
      </w:r>
      <w:r w:rsidR="000B1ECE" w:rsidRPr="00AB3DAC">
        <w:rPr>
          <w:rFonts w:ascii="Verdana" w:hAnsi="Verdana"/>
          <w:szCs w:val="20"/>
          <w:lang w:val="en-GB" w:eastAsia="en-GB"/>
        </w:rPr>
        <w:t xml:space="preserve"> (2:1)</w:t>
      </w:r>
      <w:r w:rsidRPr="00AB3DAC">
        <w:rPr>
          <w:rFonts w:ascii="Verdana" w:hAnsi="Verdana"/>
          <w:szCs w:val="20"/>
          <w:lang w:val="en-GB" w:eastAsia="en-GB"/>
        </w:rPr>
        <w:t xml:space="preserve">, Lower Second </w:t>
      </w:r>
      <w:r w:rsidR="000B1ECE" w:rsidRPr="00AB3DAC">
        <w:rPr>
          <w:rFonts w:ascii="Verdana" w:hAnsi="Verdana"/>
          <w:szCs w:val="20"/>
          <w:lang w:val="en-GB" w:eastAsia="en-GB"/>
        </w:rPr>
        <w:t xml:space="preserve">(2:2) </w:t>
      </w:r>
      <w:r w:rsidRPr="00AB3DAC">
        <w:rPr>
          <w:rFonts w:ascii="Verdana" w:hAnsi="Verdana"/>
          <w:szCs w:val="20"/>
          <w:lang w:val="en-GB" w:eastAsia="en-GB"/>
        </w:rPr>
        <w:t>etc.</w:t>
      </w:r>
      <w:r w:rsidR="00D06C06" w:rsidRPr="00AB3DAC">
        <w:rPr>
          <w:rFonts w:ascii="Verdana" w:hAnsi="Verdana"/>
          <w:szCs w:val="20"/>
          <w:lang w:val="en-GB" w:eastAsia="en-GB"/>
        </w:rPr>
        <w:t xml:space="preserve"> (Australia also has degree classification though its degree structures are closer to those of Scotland than England).</w:t>
      </w:r>
      <w:r w:rsidR="00850968" w:rsidRPr="00AB3DAC">
        <w:rPr>
          <w:rFonts w:ascii="Verdana" w:hAnsi="Verdana"/>
          <w:szCs w:val="20"/>
          <w:lang w:val="en-GB" w:eastAsia="en-GB"/>
        </w:rPr>
        <w:t xml:space="preserve"> </w:t>
      </w:r>
      <w:r w:rsidR="000B1ECE" w:rsidRPr="00AB3DAC">
        <w:rPr>
          <w:rFonts w:ascii="Verdana" w:hAnsi="Verdana"/>
          <w:szCs w:val="20"/>
          <w:lang w:val="en-GB" w:eastAsia="en-GB"/>
        </w:rPr>
        <w:t>Finally, professional and statutory bodies play an important</w:t>
      </w:r>
      <w:r w:rsidR="007402E3" w:rsidRPr="00AB3DAC">
        <w:rPr>
          <w:rFonts w:ascii="Verdana" w:hAnsi="Verdana"/>
          <w:szCs w:val="20"/>
          <w:lang w:val="en-GB" w:eastAsia="en-GB"/>
        </w:rPr>
        <w:t xml:space="preserve"> role in protecting standards by</w:t>
      </w:r>
      <w:r w:rsidR="000B1ECE" w:rsidRPr="00AB3DAC">
        <w:rPr>
          <w:rFonts w:ascii="Verdana" w:hAnsi="Verdana"/>
          <w:szCs w:val="20"/>
          <w:lang w:val="en-GB" w:eastAsia="en-GB"/>
        </w:rPr>
        <w:t xml:space="preserve"> accrediting programmes that lead to professional practice.</w:t>
      </w:r>
    </w:p>
    <w:p w:rsidR="001178F3" w:rsidRPr="00AB3DAC" w:rsidRDefault="00AB3DAC" w:rsidP="00AB3DAC">
      <w:pPr>
        <w:rPr>
          <w:rFonts w:ascii="Verdana" w:eastAsia="Times New Roman" w:hAnsi="Verdana"/>
          <w:i/>
          <w:lang w:val="en-US" w:eastAsia="en-US"/>
        </w:rPr>
      </w:pPr>
      <w:r>
        <w:rPr>
          <w:rFonts w:ascii="Verdana" w:eastAsia="Times New Roman" w:hAnsi="Verdana"/>
          <w:i/>
          <w:lang w:val="en-US" w:eastAsia="en-US"/>
        </w:rPr>
        <w:t>External q</w:t>
      </w:r>
      <w:r w:rsidR="001178F3" w:rsidRPr="00AB3DAC">
        <w:rPr>
          <w:rFonts w:ascii="Verdana" w:eastAsia="Times New Roman" w:hAnsi="Verdana"/>
          <w:i/>
          <w:lang w:val="en-US" w:eastAsia="en-US"/>
        </w:rPr>
        <w:t xml:space="preserve">uality </w:t>
      </w:r>
      <w:r>
        <w:rPr>
          <w:rFonts w:ascii="Verdana" w:eastAsia="Times New Roman" w:hAnsi="Verdana"/>
          <w:i/>
          <w:lang w:val="en-US" w:eastAsia="en-US"/>
        </w:rPr>
        <w:t>a</w:t>
      </w:r>
      <w:r w:rsidR="001178F3" w:rsidRPr="00AB3DAC">
        <w:rPr>
          <w:rFonts w:ascii="Verdana" w:eastAsia="Times New Roman" w:hAnsi="Verdana"/>
          <w:i/>
          <w:lang w:val="en-US" w:eastAsia="en-US"/>
        </w:rPr>
        <w:t>ssurance</w:t>
      </w:r>
    </w:p>
    <w:p w:rsidR="001178F3" w:rsidRPr="00AB3DAC" w:rsidRDefault="001178F3"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Whilst in law UK institutions have complete autonomy as regards the standards associa</w:t>
      </w:r>
      <w:r w:rsidR="00906256" w:rsidRPr="00AB3DAC">
        <w:rPr>
          <w:rFonts w:ascii="Verdana" w:hAnsi="Verdana"/>
          <w:szCs w:val="20"/>
          <w:lang w:val="en-GB" w:eastAsia="en-GB"/>
        </w:rPr>
        <w:t>ted with their awards, they work in practice within</w:t>
      </w:r>
      <w:r w:rsidRPr="00AB3DAC">
        <w:rPr>
          <w:rFonts w:ascii="Verdana" w:hAnsi="Verdana"/>
          <w:szCs w:val="20"/>
          <w:lang w:val="en-GB" w:eastAsia="en-GB"/>
        </w:rPr>
        <w:t xml:space="preserve"> - what is aga</w:t>
      </w:r>
      <w:r w:rsidR="00F12552" w:rsidRPr="00AB3DAC">
        <w:rPr>
          <w:rFonts w:ascii="Verdana" w:hAnsi="Verdana"/>
          <w:szCs w:val="20"/>
          <w:lang w:val="en-GB" w:eastAsia="en-GB"/>
        </w:rPr>
        <w:t xml:space="preserve">in by international standards - </w:t>
      </w:r>
      <w:r w:rsidR="00C74C88" w:rsidRPr="00AB3DAC">
        <w:rPr>
          <w:rFonts w:ascii="Verdana" w:hAnsi="Verdana"/>
          <w:szCs w:val="20"/>
          <w:lang w:val="en-GB" w:eastAsia="en-GB"/>
        </w:rPr>
        <w:t xml:space="preserve">a fairly extensive set of </w:t>
      </w:r>
      <w:r w:rsidRPr="00AB3DAC">
        <w:rPr>
          <w:rFonts w:ascii="Verdana" w:hAnsi="Verdana"/>
          <w:szCs w:val="20"/>
          <w:lang w:val="en-GB" w:eastAsia="en-GB"/>
        </w:rPr>
        <w:t>frameworks or “reference points”:</w:t>
      </w:r>
    </w:p>
    <w:p w:rsidR="001178F3"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A </w:t>
      </w:r>
      <w:r w:rsidR="00F12552" w:rsidRPr="00AB3DAC">
        <w:rPr>
          <w:rFonts w:ascii="Verdana" w:hAnsi="Verdana"/>
          <w:szCs w:val="20"/>
          <w:lang w:val="en-GB" w:eastAsia="en-GB"/>
        </w:rPr>
        <w:t>Code of P</w:t>
      </w:r>
      <w:r w:rsidR="001178F3" w:rsidRPr="00AB3DAC">
        <w:rPr>
          <w:rFonts w:ascii="Verdana" w:hAnsi="Verdana"/>
          <w:szCs w:val="20"/>
          <w:lang w:val="en-GB" w:eastAsia="en-GB"/>
        </w:rPr>
        <w:t>ractice covering all aspects of quality management</w:t>
      </w:r>
      <w:r w:rsidR="00C74C88" w:rsidRPr="00AB3DAC">
        <w:rPr>
          <w:rFonts w:ascii="Verdana" w:hAnsi="Verdana"/>
          <w:szCs w:val="20"/>
          <w:lang w:val="en-GB" w:eastAsia="en-GB"/>
        </w:rPr>
        <w:t>, including assessment and course approval and review as well as external examining</w:t>
      </w:r>
      <w:r w:rsidR="00BC3D30">
        <w:rPr>
          <w:rFonts w:ascii="Verdana" w:hAnsi="Verdana"/>
          <w:szCs w:val="20"/>
          <w:lang w:val="en-GB" w:eastAsia="en-GB"/>
        </w:rPr>
        <w:t>;</w:t>
      </w:r>
    </w:p>
    <w:p w:rsidR="001178F3" w:rsidRPr="00AB3DAC" w:rsidRDefault="00082EB4"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A </w:t>
      </w:r>
      <w:r w:rsidR="00906256" w:rsidRPr="00AB3DAC">
        <w:rPr>
          <w:rFonts w:ascii="Verdana" w:hAnsi="Verdana"/>
          <w:szCs w:val="20"/>
          <w:lang w:val="en-GB" w:eastAsia="en-GB"/>
        </w:rPr>
        <w:t>Framework for Higher Education Qualifications</w:t>
      </w:r>
      <w:r w:rsidR="00850968" w:rsidRPr="00AB3DAC">
        <w:rPr>
          <w:rFonts w:ascii="Verdana" w:hAnsi="Verdana"/>
          <w:szCs w:val="20"/>
          <w:lang w:val="en-GB" w:eastAsia="en-GB"/>
        </w:rPr>
        <w:t xml:space="preserve"> containing a broad description of the academic expe</w:t>
      </w:r>
      <w:r w:rsidR="007402E3" w:rsidRPr="00AB3DAC">
        <w:rPr>
          <w:rFonts w:ascii="Verdana" w:hAnsi="Verdana"/>
          <w:szCs w:val="20"/>
          <w:lang w:val="en-GB" w:eastAsia="en-GB"/>
        </w:rPr>
        <w:t>ctations associated with each level</w:t>
      </w:r>
      <w:r w:rsidR="00850968" w:rsidRPr="00AB3DAC">
        <w:rPr>
          <w:rFonts w:ascii="Verdana" w:hAnsi="Verdana"/>
          <w:szCs w:val="20"/>
          <w:lang w:val="en-GB" w:eastAsia="en-GB"/>
        </w:rPr>
        <w:t xml:space="preserve"> of award, together with more detailed descriptors of the skills and competences associated with award holders</w:t>
      </w:r>
      <w:r w:rsidR="00BC3D30">
        <w:rPr>
          <w:rFonts w:ascii="Verdana" w:hAnsi="Verdana"/>
          <w:szCs w:val="20"/>
          <w:lang w:val="en-GB" w:eastAsia="en-GB"/>
        </w:rPr>
        <w:t>;</w:t>
      </w:r>
    </w:p>
    <w:p w:rsidR="00906256" w:rsidRPr="00AB3DAC" w:rsidRDefault="00AC1AFB"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Subject </w:t>
      </w:r>
      <w:r w:rsidR="00906256" w:rsidRPr="00AB3DAC">
        <w:rPr>
          <w:rFonts w:ascii="Verdana" w:hAnsi="Verdana"/>
          <w:szCs w:val="20"/>
          <w:lang w:val="en-GB" w:eastAsia="en-GB"/>
        </w:rPr>
        <w:t>benchmark statements</w:t>
      </w:r>
      <w:r w:rsidR="00CB01D0" w:rsidRPr="00AB3DAC">
        <w:rPr>
          <w:rFonts w:ascii="Verdana" w:hAnsi="Verdana"/>
          <w:szCs w:val="20"/>
          <w:lang w:val="en-GB" w:eastAsia="en-GB"/>
        </w:rPr>
        <w:t xml:space="preserve"> outlining </w:t>
      </w:r>
      <w:r w:rsidR="005B195A" w:rsidRPr="00AB3DAC">
        <w:rPr>
          <w:rFonts w:ascii="Verdana" w:hAnsi="Verdana"/>
          <w:szCs w:val="20"/>
          <w:lang w:val="en-GB" w:eastAsia="en-GB"/>
        </w:rPr>
        <w:t xml:space="preserve">what can be expected of a graduate in terms of the abilities and skills needed to develop understanding or competence in a </w:t>
      </w:r>
      <w:r w:rsidR="00C71029" w:rsidRPr="00AB3DAC">
        <w:rPr>
          <w:rFonts w:ascii="Verdana" w:hAnsi="Verdana"/>
          <w:szCs w:val="20"/>
          <w:lang w:val="en-GB" w:eastAsia="en-GB"/>
        </w:rPr>
        <w:t xml:space="preserve">particular </w:t>
      </w:r>
      <w:r w:rsidR="005B195A" w:rsidRPr="00AB3DAC">
        <w:rPr>
          <w:rFonts w:ascii="Verdana" w:hAnsi="Verdana"/>
          <w:szCs w:val="20"/>
          <w:lang w:val="en-GB" w:eastAsia="en-GB"/>
        </w:rPr>
        <w:t>subject</w:t>
      </w:r>
      <w:r w:rsidR="00BC3D30">
        <w:rPr>
          <w:rFonts w:ascii="Verdana" w:hAnsi="Verdana"/>
          <w:szCs w:val="20"/>
          <w:lang w:val="en-GB" w:eastAsia="en-GB"/>
        </w:rPr>
        <w:t>;</w:t>
      </w:r>
    </w:p>
    <w:p w:rsidR="00906256" w:rsidRPr="00AB3DAC" w:rsidRDefault="00AC1AFB"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 xml:space="preserve">Guidelines </w:t>
      </w:r>
      <w:r w:rsidR="00906256" w:rsidRPr="00AB3DAC">
        <w:rPr>
          <w:rFonts w:ascii="Verdana" w:hAnsi="Verdana"/>
          <w:szCs w:val="20"/>
          <w:lang w:val="en-GB" w:eastAsia="en-GB"/>
        </w:rPr>
        <w:t>for programme specifications</w:t>
      </w:r>
      <w:r w:rsidR="00A53F9D" w:rsidRPr="00AB3DAC">
        <w:rPr>
          <w:rFonts w:ascii="Verdana" w:hAnsi="Verdana"/>
          <w:szCs w:val="20"/>
          <w:lang w:val="en-GB" w:eastAsia="en-GB"/>
        </w:rPr>
        <w:t xml:space="preserve"> setting out the intended aims and learning outcomes of each programme of study</w:t>
      </w:r>
      <w:r w:rsidR="00906256" w:rsidRPr="00AB3DAC">
        <w:rPr>
          <w:rFonts w:ascii="Verdana" w:hAnsi="Verdana"/>
          <w:szCs w:val="20"/>
          <w:lang w:val="en-GB" w:eastAsia="en-GB"/>
        </w:rPr>
        <w:t>.</w:t>
      </w:r>
    </w:p>
    <w:p w:rsidR="00906256" w:rsidRPr="00AB3DAC" w:rsidRDefault="000B03F5"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Although</w:t>
      </w:r>
      <w:r w:rsidR="00131DEE" w:rsidRPr="00AB3DAC">
        <w:rPr>
          <w:rFonts w:ascii="Verdana" w:hAnsi="Verdana"/>
          <w:szCs w:val="20"/>
          <w:lang w:val="en-GB" w:eastAsia="en-GB"/>
        </w:rPr>
        <w:t xml:space="preserve"> mainly</w:t>
      </w:r>
      <w:r w:rsidRPr="00AB3DAC">
        <w:rPr>
          <w:rFonts w:ascii="Verdana" w:hAnsi="Verdana"/>
          <w:szCs w:val="20"/>
          <w:lang w:val="en-GB" w:eastAsia="en-GB"/>
        </w:rPr>
        <w:t xml:space="preserve"> related to</w:t>
      </w:r>
      <w:r w:rsidR="002D5083" w:rsidRPr="00AB3DAC">
        <w:rPr>
          <w:rFonts w:ascii="Verdana" w:hAnsi="Verdana"/>
          <w:szCs w:val="20"/>
          <w:lang w:val="en-GB" w:eastAsia="en-GB"/>
        </w:rPr>
        <w:t xml:space="preserve"> outputs</w:t>
      </w:r>
      <w:r w:rsidRPr="00AB3DAC">
        <w:rPr>
          <w:rFonts w:ascii="Verdana" w:hAnsi="Verdana"/>
          <w:szCs w:val="20"/>
          <w:lang w:val="en-GB" w:eastAsia="en-GB"/>
        </w:rPr>
        <w:t xml:space="preserve">, not processes, together </w:t>
      </w:r>
      <w:r w:rsidR="00906256" w:rsidRPr="00AB3DAC">
        <w:rPr>
          <w:rFonts w:ascii="Verdana" w:hAnsi="Verdana"/>
          <w:szCs w:val="20"/>
          <w:lang w:val="en-GB" w:eastAsia="en-GB"/>
        </w:rPr>
        <w:t>these are known</w:t>
      </w:r>
      <w:r w:rsidR="002D5083" w:rsidRPr="00AB3DAC">
        <w:rPr>
          <w:rFonts w:ascii="Verdana" w:hAnsi="Verdana"/>
          <w:szCs w:val="20"/>
          <w:lang w:val="en-GB" w:eastAsia="en-GB"/>
        </w:rPr>
        <w:t>,</w:t>
      </w:r>
      <w:r w:rsidRPr="00AB3DAC">
        <w:rPr>
          <w:rFonts w:ascii="Verdana" w:hAnsi="Verdana"/>
          <w:szCs w:val="20"/>
          <w:lang w:val="en-GB" w:eastAsia="en-GB"/>
        </w:rPr>
        <w:t xml:space="preserve"> </w:t>
      </w:r>
      <w:r w:rsidR="00D06C06" w:rsidRPr="00AB3DAC">
        <w:rPr>
          <w:rFonts w:ascii="Verdana" w:hAnsi="Verdana"/>
          <w:szCs w:val="20"/>
          <w:lang w:val="en-GB" w:eastAsia="en-GB"/>
        </w:rPr>
        <w:t xml:space="preserve">somewhat </w:t>
      </w:r>
      <w:r w:rsidRPr="00AB3DAC">
        <w:rPr>
          <w:rFonts w:ascii="Verdana" w:hAnsi="Verdana"/>
          <w:szCs w:val="20"/>
          <w:lang w:val="en-GB" w:eastAsia="en-GB"/>
        </w:rPr>
        <w:t>confusingly,</w:t>
      </w:r>
      <w:r w:rsidR="00D06C06" w:rsidRPr="00AB3DAC">
        <w:rPr>
          <w:rFonts w:ascii="Verdana" w:hAnsi="Verdana"/>
          <w:szCs w:val="20"/>
          <w:lang w:val="en-GB" w:eastAsia="en-GB"/>
        </w:rPr>
        <w:t xml:space="preserve"> as the “academic</w:t>
      </w:r>
      <w:r w:rsidR="00906256" w:rsidRPr="00AB3DAC">
        <w:rPr>
          <w:rFonts w:ascii="Verdana" w:hAnsi="Verdana"/>
          <w:szCs w:val="20"/>
          <w:lang w:val="en-GB" w:eastAsia="en-GB"/>
        </w:rPr>
        <w:t xml:space="preserve"> infrastructure”.  Institutions’ use of the infrastructure is evaluat</w:t>
      </w:r>
      <w:r w:rsidR="00A53F9D" w:rsidRPr="00AB3DAC">
        <w:rPr>
          <w:rFonts w:ascii="Verdana" w:hAnsi="Verdana"/>
          <w:szCs w:val="20"/>
          <w:lang w:val="en-GB" w:eastAsia="en-GB"/>
        </w:rPr>
        <w:t xml:space="preserve">ed </w:t>
      </w:r>
      <w:r w:rsidR="00906256" w:rsidRPr="00AB3DAC">
        <w:rPr>
          <w:rFonts w:ascii="Verdana" w:hAnsi="Verdana"/>
          <w:szCs w:val="20"/>
          <w:lang w:val="en-GB" w:eastAsia="en-GB"/>
        </w:rPr>
        <w:t>through periodic institutional reviews covering all aspects of</w:t>
      </w:r>
      <w:r w:rsidR="00C71029" w:rsidRPr="00AB3DAC">
        <w:rPr>
          <w:rFonts w:ascii="Verdana" w:hAnsi="Verdana"/>
          <w:szCs w:val="20"/>
          <w:lang w:val="en-GB" w:eastAsia="en-GB"/>
        </w:rPr>
        <w:t xml:space="preserve"> quality</w:t>
      </w:r>
      <w:r w:rsidRPr="00AB3DAC">
        <w:rPr>
          <w:rFonts w:ascii="Verdana" w:hAnsi="Verdana"/>
          <w:szCs w:val="20"/>
          <w:lang w:val="en-GB" w:eastAsia="en-GB"/>
        </w:rPr>
        <w:t xml:space="preserve"> </w:t>
      </w:r>
      <w:r w:rsidR="00906256" w:rsidRPr="00AB3DAC">
        <w:rPr>
          <w:rFonts w:ascii="Verdana" w:hAnsi="Verdana"/>
          <w:szCs w:val="20"/>
          <w:lang w:val="en-GB" w:eastAsia="en-GB"/>
        </w:rPr>
        <w:t>management.  These reviews, con</w:t>
      </w:r>
      <w:r w:rsidR="00A53F9D" w:rsidRPr="00AB3DAC">
        <w:rPr>
          <w:rFonts w:ascii="Verdana" w:hAnsi="Verdana"/>
          <w:szCs w:val="20"/>
          <w:lang w:val="en-GB" w:eastAsia="en-GB"/>
        </w:rPr>
        <w:t>ducted</w:t>
      </w:r>
      <w:r w:rsidR="00906256" w:rsidRPr="00AB3DAC">
        <w:rPr>
          <w:rFonts w:ascii="Verdana" w:hAnsi="Verdana"/>
          <w:szCs w:val="20"/>
          <w:lang w:val="en-GB" w:eastAsia="en-GB"/>
        </w:rPr>
        <w:t xml:space="preserve"> </w:t>
      </w:r>
      <w:r w:rsidR="00FF07BD" w:rsidRPr="00AB3DAC">
        <w:rPr>
          <w:rFonts w:ascii="Verdana" w:hAnsi="Verdana"/>
          <w:szCs w:val="20"/>
          <w:lang w:val="en-GB" w:eastAsia="en-GB"/>
        </w:rPr>
        <w:t>by</w:t>
      </w:r>
      <w:r w:rsidR="00906256" w:rsidRPr="00AB3DAC">
        <w:rPr>
          <w:rFonts w:ascii="Verdana" w:hAnsi="Verdana"/>
          <w:szCs w:val="20"/>
          <w:lang w:val="en-GB" w:eastAsia="en-GB"/>
        </w:rPr>
        <w:t xml:space="preserve"> academic peers, may lead to judgements of “confidence”, “limited confidence” or “no confidence” in all or a part of an institution’s provision.  Thes</w:t>
      </w:r>
      <w:r w:rsidR="00C74C88" w:rsidRPr="00AB3DAC">
        <w:rPr>
          <w:rFonts w:ascii="Verdana" w:hAnsi="Verdana"/>
          <w:szCs w:val="20"/>
          <w:lang w:val="en-GB" w:eastAsia="en-GB"/>
        </w:rPr>
        <w:t>e judgements in turn may cause a loss of reputation and/or</w:t>
      </w:r>
      <w:r w:rsidR="00906256" w:rsidRPr="00AB3DAC">
        <w:rPr>
          <w:rFonts w:ascii="Verdana" w:hAnsi="Verdana"/>
          <w:szCs w:val="20"/>
          <w:lang w:val="en-GB" w:eastAsia="en-GB"/>
        </w:rPr>
        <w:t xml:space="preserve"> funding.</w:t>
      </w:r>
      <w:r w:rsidR="00A53F9D" w:rsidRPr="00AB3DAC">
        <w:rPr>
          <w:rFonts w:ascii="Verdana" w:hAnsi="Verdana"/>
          <w:szCs w:val="20"/>
          <w:lang w:val="en-GB" w:eastAsia="en-GB"/>
        </w:rPr>
        <w:t xml:space="preserve"> The reports are published by the QAA.</w:t>
      </w:r>
      <w:r w:rsidR="00CB01D0" w:rsidRPr="00AB3DAC">
        <w:rPr>
          <w:rFonts w:ascii="Verdana" w:hAnsi="Verdana"/>
          <w:szCs w:val="20"/>
          <w:lang w:val="en-GB" w:eastAsia="en-GB"/>
        </w:rPr>
        <w:t xml:space="preserve"> What all this means is that the UK </w:t>
      </w:r>
      <w:r w:rsidR="00D06C06" w:rsidRPr="00AB3DAC">
        <w:rPr>
          <w:rFonts w:ascii="Verdana" w:hAnsi="Verdana"/>
          <w:szCs w:val="20"/>
          <w:lang w:val="en-GB" w:eastAsia="en-GB"/>
        </w:rPr>
        <w:t>almost certain</w:t>
      </w:r>
      <w:r w:rsidR="0055515A" w:rsidRPr="00AB3DAC">
        <w:rPr>
          <w:rFonts w:ascii="Verdana" w:hAnsi="Verdana"/>
          <w:szCs w:val="20"/>
          <w:lang w:val="en-GB" w:eastAsia="en-GB"/>
        </w:rPr>
        <w:t xml:space="preserve">ly gives more </w:t>
      </w:r>
      <w:r w:rsidR="00CB01D0" w:rsidRPr="00AB3DAC">
        <w:rPr>
          <w:rFonts w:ascii="Verdana" w:hAnsi="Verdana"/>
          <w:szCs w:val="20"/>
          <w:lang w:val="en-GB" w:eastAsia="en-GB"/>
        </w:rPr>
        <w:t xml:space="preserve">systematic attention to academic </w:t>
      </w:r>
      <w:r w:rsidRPr="00AB3DAC">
        <w:rPr>
          <w:rFonts w:ascii="Verdana" w:hAnsi="Verdana"/>
          <w:szCs w:val="20"/>
          <w:lang w:val="en-GB" w:eastAsia="en-GB"/>
        </w:rPr>
        <w:t xml:space="preserve">quality and </w:t>
      </w:r>
      <w:r w:rsidR="00CB01D0" w:rsidRPr="00AB3DAC">
        <w:rPr>
          <w:rFonts w:ascii="Verdana" w:hAnsi="Verdana"/>
          <w:szCs w:val="20"/>
          <w:lang w:val="en-GB" w:eastAsia="en-GB"/>
        </w:rPr>
        <w:t>standards than any other comparable system.</w:t>
      </w:r>
    </w:p>
    <w:p w:rsidR="00906256" w:rsidRPr="00AB3DAC" w:rsidRDefault="00906256" w:rsidP="00AB3DAC">
      <w:pPr>
        <w:rPr>
          <w:rFonts w:ascii="Verdana" w:eastAsia="Times New Roman" w:hAnsi="Verdana"/>
          <w:i/>
          <w:lang w:val="en-US" w:eastAsia="en-US"/>
        </w:rPr>
      </w:pPr>
      <w:r w:rsidRPr="00AB3DAC">
        <w:rPr>
          <w:rFonts w:ascii="Verdana" w:eastAsia="Times New Roman" w:hAnsi="Verdana"/>
          <w:i/>
          <w:lang w:val="en-US" w:eastAsia="en-US"/>
        </w:rPr>
        <w:t xml:space="preserve">The </w:t>
      </w:r>
      <w:r w:rsidR="00AB3DAC">
        <w:rPr>
          <w:rFonts w:ascii="Verdana" w:eastAsia="Times New Roman" w:hAnsi="Verdana"/>
          <w:i/>
          <w:lang w:val="en-US" w:eastAsia="en-US"/>
        </w:rPr>
        <w:t>p</w:t>
      </w:r>
      <w:r w:rsidRPr="00AB3DAC">
        <w:rPr>
          <w:rFonts w:ascii="Verdana" w:eastAsia="Times New Roman" w:hAnsi="Verdana"/>
          <w:i/>
          <w:lang w:val="en-US" w:eastAsia="en-US"/>
        </w:rPr>
        <w:t xml:space="preserve">rinciple of </w:t>
      </w:r>
      <w:r w:rsidR="00AB3DAC">
        <w:rPr>
          <w:rFonts w:ascii="Verdana" w:eastAsia="Times New Roman" w:hAnsi="Verdana"/>
          <w:i/>
          <w:lang w:val="en-US" w:eastAsia="en-US"/>
        </w:rPr>
        <w:t>c</w:t>
      </w:r>
      <w:r w:rsidRPr="00AB3DAC">
        <w:rPr>
          <w:rFonts w:ascii="Verdana" w:eastAsia="Times New Roman" w:hAnsi="Verdana"/>
          <w:i/>
          <w:lang w:val="en-US" w:eastAsia="en-US"/>
        </w:rPr>
        <w:t>omparability</w:t>
      </w:r>
    </w:p>
    <w:p w:rsidR="00906256" w:rsidRPr="00AB3DAC" w:rsidRDefault="00AB3DAC" w:rsidP="00AB3DAC">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FF07BD" w:rsidRPr="00AB3DAC">
        <w:rPr>
          <w:rFonts w:ascii="Verdana" w:hAnsi="Verdana"/>
          <w:szCs w:val="20"/>
          <w:lang w:val="en-GB" w:eastAsia="en-GB"/>
        </w:rPr>
        <w:t xml:space="preserve">Since </w:t>
      </w:r>
      <w:r w:rsidR="00297E4E" w:rsidRPr="00AB3DAC">
        <w:rPr>
          <w:rFonts w:ascii="Verdana" w:hAnsi="Verdana"/>
          <w:szCs w:val="20"/>
          <w:lang w:val="en-GB" w:eastAsia="en-GB"/>
        </w:rPr>
        <w:t>the Council was established with</w:t>
      </w:r>
      <w:r w:rsidR="00FF07BD" w:rsidRPr="00AB3DAC">
        <w:rPr>
          <w:rFonts w:ascii="Verdana" w:hAnsi="Verdana"/>
          <w:szCs w:val="20"/>
          <w:lang w:val="en-GB" w:eastAsia="en-GB"/>
        </w:rPr>
        <w:t xml:space="preserve"> </w:t>
      </w:r>
      <w:r w:rsidR="00297E4E" w:rsidRPr="00AB3DAC">
        <w:rPr>
          <w:rFonts w:ascii="Verdana" w:hAnsi="Verdana"/>
          <w:szCs w:val="20"/>
          <w:lang w:val="en-GB" w:eastAsia="en-GB"/>
        </w:rPr>
        <w:t>t</w:t>
      </w:r>
      <w:r w:rsidR="00FF07BD" w:rsidRPr="00AB3DAC">
        <w:rPr>
          <w:rFonts w:ascii="Verdana" w:hAnsi="Verdana"/>
          <w:szCs w:val="20"/>
          <w:lang w:val="en-GB" w:eastAsia="en-GB"/>
        </w:rPr>
        <w:t>he purpose of enabling colleges to plan their own courses and to admit and examine their own students, it will impose only such basic requirements as are necessary to ensure that its degrees are comparable in standards to those of the universities</w:t>
      </w:r>
      <w:r>
        <w:rPr>
          <w:rFonts w:ascii="Verdana" w:hAnsi="Verdana"/>
          <w:szCs w:val="20"/>
          <w:lang w:val="en-GB" w:eastAsia="en-GB"/>
        </w:rPr>
        <w:t>.”</w:t>
      </w:r>
      <w:r w:rsidR="00FF07BD" w:rsidRPr="00AB3DAC">
        <w:rPr>
          <w:rFonts w:ascii="Verdana" w:hAnsi="Verdana"/>
          <w:szCs w:val="20"/>
          <w:lang w:val="en-GB" w:eastAsia="en-GB"/>
        </w:rPr>
        <w:t xml:space="preserve"> (Council for </w:t>
      </w:r>
      <w:r w:rsidR="00297E4E" w:rsidRPr="00AB3DAC">
        <w:rPr>
          <w:rFonts w:ascii="Verdana" w:hAnsi="Verdana"/>
          <w:szCs w:val="20"/>
          <w:lang w:val="en-GB" w:eastAsia="en-GB"/>
        </w:rPr>
        <w:t xml:space="preserve">National </w:t>
      </w:r>
      <w:r w:rsidR="00FF07BD" w:rsidRPr="00AB3DAC">
        <w:rPr>
          <w:rFonts w:ascii="Verdana" w:hAnsi="Verdana"/>
          <w:szCs w:val="20"/>
          <w:lang w:val="en-GB" w:eastAsia="en-GB"/>
        </w:rPr>
        <w:t>Academic Awards, Statement no 2</w:t>
      </w:r>
      <w:r w:rsidR="00297E4E" w:rsidRPr="00AB3DAC">
        <w:rPr>
          <w:rFonts w:ascii="Verdana" w:hAnsi="Verdana"/>
          <w:szCs w:val="20"/>
          <w:lang w:val="en-GB" w:eastAsia="en-GB"/>
        </w:rPr>
        <w:t xml:space="preserve">, </w:t>
      </w:r>
      <w:r>
        <w:rPr>
          <w:rFonts w:ascii="Verdana" w:hAnsi="Verdana"/>
          <w:szCs w:val="20"/>
          <w:lang w:val="en-GB" w:eastAsia="en-GB"/>
        </w:rPr>
        <w:t>April 1965)</w:t>
      </w:r>
    </w:p>
    <w:p w:rsidR="00A53F9D" w:rsidRPr="00AB3DAC" w:rsidRDefault="0055515A"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lastRenderedPageBreak/>
        <w:t>Between 1965 and 1992, t</w:t>
      </w:r>
      <w:r w:rsidR="005B4D3D" w:rsidRPr="00AB3DAC">
        <w:rPr>
          <w:rFonts w:ascii="Verdana" w:hAnsi="Verdana"/>
          <w:szCs w:val="20"/>
          <w:lang w:val="en-GB" w:eastAsia="en-GB"/>
        </w:rPr>
        <w:t>he Council for National Academic Awards (CNAA) was responsible for the standards of the awards offered in the polyte</w:t>
      </w:r>
      <w:r w:rsidR="00A53F9D" w:rsidRPr="00AB3DAC">
        <w:rPr>
          <w:rFonts w:ascii="Verdana" w:hAnsi="Verdana"/>
          <w:szCs w:val="20"/>
          <w:lang w:val="en-GB" w:eastAsia="en-GB"/>
        </w:rPr>
        <w:t>chnics and other institutions in</w:t>
      </w:r>
      <w:r w:rsidR="005B4D3D" w:rsidRPr="00AB3DAC">
        <w:rPr>
          <w:rFonts w:ascii="Verdana" w:hAnsi="Verdana"/>
          <w:szCs w:val="20"/>
          <w:lang w:val="en-GB" w:eastAsia="en-GB"/>
        </w:rPr>
        <w:t xml:space="preserve"> what was then called “the public </w:t>
      </w:r>
      <w:r w:rsidR="00297E4E" w:rsidRPr="00AB3DAC">
        <w:rPr>
          <w:rFonts w:ascii="Verdana" w:hAnsi="Verdana"/>
          <w:szCs w:val="20"/>
          <w:lang w:val="en-GB" w:eastAsia="en-GB"/>
        </w:rPr>
        <w:t>sector</w:t>
      </w:r>
      <w:r w:rsidR="00F8068D" w:rsidRPr="00AB3DAC">
        <w:rPr>
          <w:rFonts w:ascii="Verdana" w:hAnsi="Verdana"/>
          <w:szCs w:val="20"/>
          <w:lang w:val="en-GB" w:eastAsia="en-GB"/>
        </w:rPr>
        <w:t>”</w:t>
      </w:r>
      <w:r w:rsidR="00297E4E" w:rsidRPr="00AB3DAC">
        <w:rPr>
          <w:rFonts w:ascii="Verdana" w:hAnsi="Verdana"/>
          <w:szCs w:val="20"/>
          <w:lang w:val="en-GB" w:eastAsia="en-GB"/>
        </w:rPr>
        <w:t xml:space="preserve"> of </w:t>
      </w:r>
      <w:r w:rsidR="005B4D3D" w:rsidRPr="00AB3DAC">
        <w:rPr>
          <w:rFonts w:ascii="Verdana" w:hAnsi="Verdana"/>
          <w:szCs w:val="20"/>
          <w:lang w:val="en-GB" w:eastAsia="en-GB"/>
        </w:rPr>
        <w:t>higher e</w:t>
      </w:r>
      <w:r w:rsidR="00F8068D" w:rsidRPr="00AB3DAC">
        <w:rPr>
          <w:rFonts w:ascii="Verdana" w:hAnsi="Verdana"/>
          <w:szCs w:val="20"/>
          <w:lang w:val="en-GB" w:eastAsia="en-GB"/>
        </w:rPr>
        <w:t>ducation</w:t>
      </w:r>
      <w:r w:rsidR="005B4D3D" w:rsidRPr="00AB3DAC">
        <w:rPr>
          <w:rFonts w:ascii="Verdana" w:hAnsi="Verdana"/>
          <w:szCs w:val="20"/>
          <w:lang w:val="en-GB" w:eastAsia="en-GB"/>
        </w:rPr>
        <w:t>: they were indeed the C</w:t>
      </w:r>
      <w:r w:rsidR="00297E4E" w:rsidRPr="00AB3DAC">
        <w:rPr>
          <w:rFonts w:ascii="Verdana" w:hAnsi="Verdana"/>
          <w:szCs w:val="20"/>
          <w:lang w:val="en-GB" w:eastAsia="en-GB"/>
        </w:rPr>
        <w:t>ouncil’s awards.  The</w:t>
      </w:r>
      <w:r w:rsidR="005B4D3D" w:rsidRPr="00AB3DAC">
        <w:rPr>
          <w:rFonts w:ascii="Verdana" w:hAnsi="Verdana"/>
          <w:szCs w:val="20"/>
          <w:lang w:val="en-GB" w:eastAsia="en-GB"/>
        </w:rPr>
        <w:t xml:space="preserve"> </w:t>
      </w:r>
      <w:r w:rsidR="00AD13CD" w:rsidRPr="00AB3DAC">
        <w:rPr>
          <w:rFonts w:ascii="Verdana" w:hAnsi="Verdana"/>
          <w:szCs w:val="20"/>
          <w:lang w:val="en-GB" w:eastAsia="en-GB"/>
        </w:rPr>
        <w:t>m</w:t>
      </w:r>
      <w:r w:rsidR="005B4D3D" w:rsidRPr="00AB3DAC">
        <w:rPr>
          <w:rFonts w:ascii="Verdana" w:hAnsi="Verdana"/>
          <w:szCs w:val="20"/>
          <w:lang w:val="en-GB" w:eastAsia="en-GB"/>
        </w:rPr>
        <w:t>ai</w:t>
      </w:r>
      <w:r w:rsidR="00F8068D" w:rsidRPr="00AB3DAC">
        <w:rPr>
          <w:rFonts w:ascii="Verdana" w:hAnsi="Verdana"/>
          <w:szCs w:val="20"/>
          <w:lang w:val="en-GB" w:eastAsia="en-GB"/>
        </w:rPr>
        <w:t>n way in which</w:t>
      </w:r>
      <w:r w:rsidR="006346B1" w:rsidRPr="00AB3DAC">
        <w:rPr>
          <w:rFonts w:ascii="Verdana" w:hAnsi="Verdana"/>
          <w:szCs w:val="20"/>
          <w:lang w:val="en-GB" w:eastAsia="en-GB"/>
        </w:rPr>
        <w:t xml:space="preserve"> </w:t>
      </w:r>
      <w:r w:rsidR="005B4D3D" w:rsidRPr="00AB3DAC">
        <w:rPr>
          <w:rFonts w:ascii="Verdana" w:hAnsi="Verdana"/>
          <w:szCs w:val="20"/>
          <w:lang w:val="en-GB" w:eastAsia="en-GB"/>
        </w:rPr>
        <w:t>comparability was established was through the use of academic staff in the existing universities in course approval and review</w:t>
      </w:r>
      <w:r w:rsidR="00A53F9D" w:rsidRPr="00AB3DAC">
        <w:rPr>
          <w:rFonts w:ascii="Verdana" w:hAnsi="Verdana"/>
          <w:szCs w:val="20"/>
          <w:lang w:val="en-GB" w:eastAsia="en-GB"/>
        </w:rPr>
        <w:t xml:space="preserve"> (validation)</w:t>
      </w:r>
      <w:r w:rsidR="005B4D3D" w:rsidRPr="00AB3DAC">
        <w:rPr>
          <w:rFonts w:ascii="Verdana" w:hAnsi="Verdana"/>
          <w:szCs w:val="20"/>
          <w:lang w:val="en-GB" w:eastAsia="en-GB"/>
        </w:rPr>
        <w:t xml:space="preserve">.  </w:t>
      </w:r>
      <w:r w:rsidR="00850968" w:rsidRPr="00AB3DAC">
        <w:rPr>
          <w:rFonts w:ascii="Verdana" w:hAnsi="Verdana"/>
          <w:szCs w:val="20"/>
          <w:lang w:val="en-GB" w:eastAsia="en-GB"/>
        </w:rPr>
        <w:t>Subject panels visited institutions to see that curriculum proposals were soundly constructed and that the standards proposed</w:t>
      </w:r>
      <w:r w:rsidR="00F8068D" w:rsidRPr="00AB3DAC">
        <w:rPr>
          <w:rFonts w:ascii="Verdana" w:hAnsi="Verdana"/>
          <w:szCs w:val="20"/>
          <w:lang w:val="en-GB" w:eastAsia="en-GB"/>
        </w:rPr>
        <w:t xml:space="preserve"> were appropriate to the award.</w:t>
      </w:r>
      <w:r w:rsidR="005B4D3D" w:rsidRPr="00AB3DAC">
        <w:rPr>
          <w:rFonts w:ascii="Verdana" w:hAnsi="Verdana"/>
          <w:szCs w:val="20"/>
          <w:lang w:val="en-GB" w:eastAsia="en-GB"/>
        </w:rPr>
        <w:t xml:space="preserve">  The CNAA</w:t>
      </w:r>
      <w:r w:rsidR="00A53F9D" w:rsidRPr="00AB3DAC">
        <w:rPr>
          <w:rFonts w:ascii="Verdana" w:hAnsi="Verdana"/>
          <w:szCs w:val="20"/>
          <w:lang w:val="en-GB" w:eastAsia="en-GB"/>
        </w:rPr>
        <w:t xml:space="preserve">’s </w:t>
      </w:r>
      <w:r w:rsidR="007402E3" w:rsidRPr="00AB3DAC">
        <w:rPr>
          <w:rFonts w:ascii="Verdana" w:hAnsi="Verdana"/>
          <w:szCs w:val="20"/>
          <w:lang w:val="en-GB" w:eastAsia="en-GB"/>
        </w:rPr>
        <w:t>use of staff</w:t>
      </w:r>
      <w:r w:rsidR="005B4D3D" w:rsidRPr="00AB3DAC">
        <w:rPr>
          <w:rFonts w:ascii="Verdana" w:hAnsi="Verdana"/>
          <w:szCs w:val="20"/>
          <w:lang w:val="en-GB" w:eastAsia="en-GB"/>
        </w:rPr>
        <w:t xml:space="preserve"> from existing</w:t>
      </w:r>
      <w:r w:rsidR="00AC1AFB">
        <w:rPr>
          <w:rFonts w:ascii="Verdana" w:hAnsi="Verdana"/>
          <w:szCs w:val="20"/>
          <w:lang w:val="en-GB" w:eastAsia="en-GB"/>
        </w:rPr>
        <w:t xml:space="preserve"> university</w:t>
      </w:r>
      <w:r w:rsidR="005B4D3D" w:rsidRPr="00AB3DAC">
        <w:rPr>
          <w:rFonts w:ascii="Verdana" w:hAnsi="Verdana"/>
          <w:szCs w:val="20"/>
          <w:lang w:val="en-GB" w:eastAsia="en-GB"/>
        </w:rPr>
        <w:t xml:space="preserve"> institutions established an important p</w:t>
      </w:r>
      <w:r w:rsidR="00BC3D30">
        <w:rPr>
          <w:rFonts w:ascii="Verdana" w:hAnsi="Verdana"/>
          <w:szCs w:val="20"/>
          <w:lang w:val="en-GB" w:eastAsia="en-GB"/>
        </w:rPr>
        <w:t>rinciple:</w:t>
      </w:r>
      <w:r w:rsidR="007402E3" w:rsidRPr="00AB3DAC">
        <w:rPr>
          <w:rFonts w:ascii="Verdana" w:hAnsi="Verdana"/>
          <w:szCs w:val="20"/>
          <w:lang w:val="en-GB" w:eastAsia="en-GB"/>
        </w:rPr>
        <w:t xml:space="preserve"> that</w:t>
      </w:r>
      <w:r w:rsidR="005B4D3D" w:rsidRPr="00AB3DAC">
        <w:rPr>
          <w:rFonts w:ascii="Verdana" w:hAnsi="Verdana"/>
          <w:szCs w:val="20"/>
          <w:lang w:val="en-GB" w:eastAsia="en-GB"/>
        </w:rPr>
        <w:t xml:space="preserve"> </w:t>
      </w:r>
      <w:r w:rsidRPr="00AB3DAC">
        <w:rPr>
          <w:rFonts w:ascii="Verdana" w:hAnsi="Verdana"/>
          <w:szCs w:val="20"/>
          <w:lang w:val="en-GB" w:eastAsia="en-GB"/>
        </w:rPr>
        <w:t xml:space="preserve">ultimately </w:t>
      </w:r>
      <w:r w:rsidR="005B4D3D" w:rsidRPr="00AB3DAC">
        <w:rPr>
          <w:rFonts w:ascii="Verdana" w:hAnsi="Verdana"/>
          <w:szCs w:val="20"/>
          <w:lang w:val="en-GB" w:eastAsia="en-GB"/>
        </w:rPr>
        <w:t>the only judges of the appropriateness of standards are academic peers in the</w:t>
      </w:r>
      <w:r w:rsidR="00C71029" w:rsidRPr="00AB3DAC">
        <w:rPr>
          <w:rFonts w:ascii="Verdana" w:hAnsi="Verdana"/>
          <w:szCs w:val="20"/>
          <w:lang w:val="en-GB" w:eastAsia="en-GB"/>
        </w:rPr>
        <w:t xml:space="preserve"> discipline</w:t>
      </w:r>
      <w:r w:rsidR="005B4D3D" w:rsidRPr="00AB3DAC">
        <w:rPr>
          <w:rFonts w:ascii="Verdana" w:hAnsi="Verdana"/>
          <w:szCs w:val="20"/>
          <w:lang w:val="en-GB" w:eastAsia="en-GB"/>
        </w:rPr>
        <w:t xml:space="preserve"> concerned, and that the way in which these judgements are formed</w:t>
      </w:r>
      <w:r w:rsidR="00A53F9D" w:rsidRPr="00AB3DAC">
        <w:rPr>
          <w:rFonts w:ascii="Verdana" w:hAnsi="Verdana"/>
          <w:szCs w:val="20"/>
          <w:lang w:val="en-GB" w:eastAsia="en-GB"/>
        </w:rPr>
        <w:t xml:space="preserve"> and refined</w:t>
      </w:r>
      <w:r w:rsidR="005B4D3D" w:rsidRPr="00AB3DAC">
        <w:rPr>
          <w:rFonts w:ascii="Verdana" w:hAnsi="Verdana"/>
          <w:szCs w:val="20"/>
          <w:lang w:val="en-GB" w:eastAsia="en-GB"/>
        </w:rPr>
        <w:t xml:space="preserve"> is through a collective process of peer group review</w:t>
      </w:r>
      <w:r w:rsidR="007402E3" w:rsidRPr="00AB3DAC">
        <w:rPr>
          <w:rFonts w:ascii="Verdana" w:hAnsi="Verdana"/>
          <w:szCs w:val="20"/>
          <w:lang w:val="en-GB" w:eastAsia="en-GB"/>
        </w:rPr>
        <w:t>, where tacit values and assumptions may be as or more important than open and explicit ones</w:t>
      </w:r>
      <w:r w:rsidR="00A53F9D" w:rsidRPr="00AB3DAC">
        <w:rPr>
          <w:rFonts w:ascii="Verdana" w:hAnsi="Verdana"/>
          <w:szCs w:val="20"/>
          <w:lang w:val="en-GB" w:eastAsia="en-GB"/>
        </w:rPr>
        <w:t>.</w:t>
      </w:r>
    </w:p>
    <w:p w:rsidR="005B4D3D" w:rsidRPr="00AB3DAC" w:rsidRDefault="005B4D3D"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In the then-university sector, the</w:t>
      </w:r>
      <w:r w:rsidR="002F78AA" w:rsidRPr="00AB3DAC">
        <w:rPr>
          <w:rFonts w:ascii="Verdana" w:hAnsi="Verdana"/>
          <w:szCs w:val="20"/>
          <w:lang w:val="en-GB" w:eastAsia="en-GB"/>
        </w:rPr>
        <w:t xml:space="preserve"> issue of comparability was underscored by</w:t>
      </w:r>
      <w:r w:rsidRPr="00AB3DAC">
        <w:rPr>
          <w:rFonts w:ascii="Verdana" w:hAnsi="Verdana"/>
          <w:szCs w:val="20"/>
          <w:lang w:val="en-GB" w:eastAsia="en-GB"/>
        </w:rPr>
        <w:t xml:space="preserve"> the review of external examining carried out by the Reynolds and Sutherland Committees, under t</w:t>
      </w:r>
      <w:r w:rsidR="007402E3" w:rsidRPr="00AB3DAC">
        <w:rPr>
          <w:rFonts w:ascii="Verdana" w:hAnsi="Verdana"/>
          <w:szCs w:val="20"/>
          <w:lang w:val="en-GB" w:eastAsia="en-GB"/>
        </w:rPr>
        <w:t>he aegis of what was then</w:t>
      </w:r>
      <w:r w:rsidRPr="00AB3DAC">
        <w:rPr>
          <w:rFonts w:ascii="Verdana" w:hAnsi="Verdana"/>
          <w:szCs w:val="20"/>
          <w:lang w:val="en-GB" w:eastAsia="en-GB"/>
        </w:rPr>
        <w:t xml:space="preserve"> the Committee of Vice Chancellors and Principals (now Universities UK) in </w:t>
      </w:r>
      <w:r w:rsidR="0055515A" w:rsidRPr="00AB3DAC">
        <w:rPr>
          <w:rFonts w:ascii="Verdana" w:hAnsi="Verdana"/>
          <w:szCs w:val="20"/>
          <w:lang w:val="en-GB" w:eastAsia="en-GB"/>
        </w:rPr>
        <w:t>the mid-</w:t>
      </w:r>
      <w:r w:rsidRPr="00AB3DAC">
        <w:rPr>
          <w:rFonts w:ascii="Verdana" w:hAnsi="Verdana"/>
          <w:szCs w:val="20"/>
          <w:lang w:val="en-GB" w:eastAsia="en-GB"/>
        </w:rPr>
        <w:t>1980s.  The code of practice that emerged stated:</w:t>
      </w:r>
    </w:p>
    <w:p w:rsidR="005B4D3D" w:rsidRPr="00AB3DAC" w:rsidRDefault="00AB3DAC" w:rsidP="00AB3DAC">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5B4D3D" w:rsidRPr="00AB3DAC">
        <w:rPr>
          <w:rFonts w:ascii="Verdana" w:hAnsi="Verdana"/>
          <w:szCs w:val="20"/>
          <w:lang w:val="en-GB" w:eastAsia="en-GB"/>
        </w:rPr>
        <w:t>The purposes of the external examiner system are to ensure, first and most important</w:t>
      </w:r>
      <w:r w:rsidR="00AD13CD" w:rsidRPr="00AB3DAC">
        <w:rPr>
          <w:rFonts w:ascii="Verdana" w:hAnsi="Verdana"/>
          <w:szCs w:val="20"/>
          <w:lang w:val="en-GB" w:eastAsia="en-GB"/>
        </w:rPr>
        <w:t xml:space="preserve">, that degrees awarded </w:t>
      </w:r>
      <w:r w:rsidR="00297E4E" w:rsidRPr="00AB3DAC">
        <w:rPr>
          <w:rFonts w:ascii="Verdana" w:hAnsi="Verdana"/>
          <w:szCs w:val="20"/>
          <w:lang w:val="en-GB" w:eastAsia="en-GB"/>
        </w:rPr>
        <w:t>in similar subjects are compar</w:t>
      </w:r>
      <w:r w:rsidR="00AD13CD" w:rsidRPr="00AB3DAC">
        <w:rPr>
          <w:rFonts w:ascii="Verdana" w:hAnsi="Verdana"/>
          <w:szCs w:val="20"/>
          <w:lang w:val="en-GB" w:eastAsia="en-GB"/>
        </w:rPr>
        <w:t>able in standard in different universities in the UK...and secondly, that the assessment system is fair and is fairly operated in the classification of students</w:t>
      </w:r>
      <w:r>
        <w:rPr>
          <w:rFonts w:ascii="Verdana" w:hAnsi="Verdana"/>
          <w:szCs w:val="20"/>
          <w:lang w:val="en-GB" w:eastAsia="en-GB"/>
        </w:rPr>
        <w:t>.”</w:t>
      </w:r>
      <w:r w:rsidR="00AD13CD" w:rsidRPr="00AB3DAC">
        <w:rPr>
          <w:rFonts w:ascii="Verdana" w:hAnsi="Verdana"/>
          <w:szCs w:val="20"/>
          <w:lang w:val="en-GB" w:eastAsia="en-GB"/>
        </w:rPr>
        <w:t xml:space="preserve"> (Committee of Vice Ch</w:t>
      </w:r>
      <w:r>
        <w:rPr>
          <w:rFonts w:ascii="Verdana" w:hAnsi="Verdana"/>
          <w:szCs w:val="20"/>
          <w:lang w:val="en-GB" w:eastAsia="en-GB"/>
        </w:rPr>
        <w:t>ancellors and Principals, 1986)</w:t>
      </w:r>
    </w:p>
    <w:p w:rsidR="00AD13CD" w:rsidRPr="00AB3DAC" w:rsidRDefault="00AD13CD"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This historical introduction has bee</w:t>
      </w:r>
      <w:r w:rsidR="002F78AA" w:rsidRPr="00AB3DAC">
        <w:rPr>
          <w:rFonts w:ascii="Verdana" w:hAnsi="Verdana"/>
          <w:szCs w:val="20"/>
          <w:lang w:val="en-GB" w:eastAsia="en-GB"/>
        </w:rPr>
        <w:t>n provided to show how longstandi</w:t>
      </w:r>
      <w:r w:rsidRPr="00AB3DAC">
        <w:rPr>
          <w:rFonts w:ascii="Verdana" w:hAnsi="Verdana"/>
          <w:szCs w:val="20"/>
          <w:lang w:val="en-GB" w:eastAsia="en-GB"/>
        </w:rPr>
        <w:t xml:space="preserve">ng is the </w:t>
      </w:r>
      <w:r w:rsidR="00822A84" w:rsidRPr="00AB3DAC">
        <w:rPr>
          <w:rFonts w:ascii="Verdana" w:hAnsi="Verdana"/>
          <w:szCs w:val="20"/>
          <w:lang w:val="en-GB" w:eastAsia="en-GB"/>
        </w:rPr>
        <w:t xml:space="preserve">British </w:t>
      </w:r>
      <w:r w:rsidRPr="00AB3DAC">
        <w:rPr>
          <w:rFonts w:ascii="Verdana" w:hAnsi="Verdana"/>
          <w:szCs w:val="20"/>
          <w:lang w:val="en-GB" w:eastAsia="en-GB"/>
        </w:rPr>
        <w:t>att</w:t>
      </w:r>
      <w:r w:rsidR="00822A84" w:rsidRPr="00AB3DAC">
        <w:rPr>
          <w:rFonts w:ascii="Verdana" w:hAnsi="Verdana"/>
          <w:szCs w:val="20"/>
          <w:lang w:val="en-GB" w:eastAsia="en-GB"/>
        </w:rPr>
        <w:t>achment to</w:t>
      </w:r>
      <w:r w:rsidR="00F8068D" w:rsidRPr="00AB3DAC">
        <w:rPr>
          <w:rFonts w:ascii="Verdana" w:hAnsi="Verdana"/>
          <w:szCs w:val="20"/>
          <w:lang w:val="en-GB" w:eastAsia="en-GB"/>
        </w:rPr>
        <w:t xml:space="preserve"> </w:t>
      </w:r>
      <w:r w:rsidR="00C71029" w:rsidRPr="00AB3DAC">
        <w:rPr>
          <w:rFonts w:ascii="Verdana" w:hAnsi="Verdana"/>
          <w:szCs w:val="20"/>
          <w:lang w:val="en-GB" w:eastAsia="en-GB"/>
        </w:rPr>
        <w:t>comparability of degree</w:t>
      </w:r>
      <w:r w:rsidR="00822A84" w:rsidRPr="00AB3DAC">
        <w:rPr>
          <w:rFonts w:ascii="Verdana" w:hAnsi="Verdana"/>
          <w:szCs w:val="20"/>
          <w:lang w:val="en-GB" w:eastAsia="en-GB"/>
        </w:rPr>
        <w:t xml:space="preserve"> standards</w:t>
      </w:r>
      <w:r w:rsidR="0055515A" w:rsidRPr="00AB3DAC">
        <w:rPr>
          <w:rFonts w:ascii="Verdana" w:hAnsi="Verdana"/>
          <w:szCs w:val="20"/>
          <w:lang w:val="en-GB" w:eastAsia="en-GB"/>
        </w:rPr>
        <w:t>.</w:t>
      </w:r>
      <w:r w:rsidR="002F78AA" w:rsidRPr="00AB3DAC">
        <w:rPr>
          <w:rFonts w:ascii="Verdana" w:hAnsi="Verdana"/>
          <w:szCs w:val="20"/>
          <w:lang w:val="en-GB" w:eastAsia="en-GB"/>
        </w:rPr>
        <w:t xml:space="preserve"> </w:t>
      </w:r>
      <w:r w:rsidR="002E096E" w:rsidRPr="00AB3DAC">
        <w:rPr>
          <w:rFonts w:ascii="Verdana" w:hAnsi="Verdana"/>
          <w:szCs w:val="20"/>
          <w:lang w:val="en-GB" w:eastAsia="en-GB"/>
        </w:rPr>
        <w:t>Within the UK</w:t>
      </w:r>
      <w:r w:rsidR="00BC3D30">
        <w:rPr>
          <w:rFonts w:ascii="Verdana" w:hAnsi="Verdana"/>
          <w:szCs w:val="20"/>
          <w:lang w:val="en-GB" w:eastAsia="en-GB"/>
        </w:rPr>
        <w:t>,</w:t>
      </w:r>
      <w:r w:rsidR="002E096E" w:rsidRPr="00AB3DAC">
        <w:rPr>
          <w:rFonts w:ascii="Verdana" w:hAnsi="Verdana"/>
          <w:szCs w:val="20"/>
          <w:lang w:val="en-GB" w:eastAsia="en-GB"/>
        </w:rPr>
        <w:t xml:space="preserve"> stude</w:t>
      </w:r>
      <w:r w:rsidR="00F8068D" w:rsidRPr="00AB3DAC">
        <w:rPr>
          <w:rFonts w:ascii="Verdana" w:hAnsi="Verdana"/>
          <w:szCs w:val="20"/>
          <w:lang w:val="en-GB" w:eastAsia="en-GB"/>
        </w:rPr>
        <w:t>nts, employers and others value</w:t>
      </w:r>
      <w:r w:rsidR="006346B1" w:rsidRPr="00AB3DAC">
        <w:rPr>
          <w:rFonts w:ascii="Verdana" w:hAnsi="Verdana"/>
          <w:szCs w:val="20"/>
          <w:lang w:val="en-GB" w:eastAsia="en-GB"/>
        </w:rPr>
        <w:t xml:space="preserve"> </w:t>
      </w:r>
      <w:r w:rsidR="002E096E" w:rsidRPr="00AB3DAC">
        <w:rPr>
          <w:rFonts w:ascii="Verdana" w:hAnsi="Verdana"/>
          <w:szCs w:val="20"/>
          <w:lang w:val="en-GB" w:eastAsia="en-GB"/>
        </w:rPr>
        <w:t xml:space="preserve">consistency, which is also reflected in common </w:t>
      </w:r>
      <w:r w:rsidR="00F8068D" w:rsidRPr="00AB3DAC">
        <w:rPr>
          <w:rFonts w:ascii="Verdana" w:hAnsi="Verdana"/>
          <w:szCs w:val="20"/>
          <w:lang w:val="en-GB" w:eastAsia="en-GB"/>
        </w:rPr>
        <w:t>undergraduate fee limit</w:t>
      </w:r>
      <w:r w:rsidR="002E096E" w:rsidRPr="00AB3DAC">
        <w:rPr>
          <w:rFonts w:ascii="Verdana" w:hAnsi="Verdana"/>
          <w:szCs w:val="20"/>
          <w:lang w:val="en-GB" w:eastAsia="en-GB"/>
        </w:rPr>
        <w:t>s</w:t>
      </w:r>
      <w:r w:rsidR="00F8068D" w:rsidRPr="00AB3DAC">
        <w:rPr>
          <w:rFonts w:ascii="Verdana" w:hAnsi="Verdana"/>
          <w:szCs w:val="20"/>
          <w:lang w:val="en-GB" w:eastAsia="en-GB"/>
        </w:rPr>
        <w:t xml:space="preserve"> (and</w:t>
      </w:r>
      <w:r w:rsidR="002F78AA" w:rsidRPr="00AB3DAC">
        <w:rPr>
          <w:rFonts w:ascii="Verdana" w:hAnsi="Verdana"/>
          <w:szCs w:val="20"/>
          <w:lang w:val="en-GB" w:eastAsia="en-GB"/>
        </w:rPr>
        <w:t>, generally,</w:t>
      </w:r>
      <w:r w:rsidR="00F8068D" w:rsidRPr="00AB3DAC">
        <w:rPr>
          <w:rFonts w:ascii="Verdana" w:hAnsi="Verdana"/>
          <w:szCs w:val="20"/>
          <w:lang w:val="en-GB" w:eastAsia="en-GB"/>
        </w:rPr>
        <w:t xml:space="preserve"> levels)</w:t>
      </w:r>
      <w:r w:rsidR="002E096E" w:rsidRPr="00AB3DAC">
        <w:rPr>
          <w:rFonts w:ascii="Verdana" w:hAnsi="Verdana"/>
          <w:szCs w:val="20"/>
          <w:lang w:val="en-GB" w:eastAsia="en-GB"/>
        </w:rPr>
        <w:t>.  E</w:t>
      </w:r>
      <w:r w:rsidRPr="00AB3DAC">
        <w:rPr>
          <w:rFonts w:ascii="Verdana" w:hAnsi="Verdana"/>
          <w:szCs w:val="20"/>
          <w:lang w:val="en-GB" w:eastAsia="en-GB"/>
        </w:rPr>
        <w:t>xter</w:t>
      </w:r>
      <w:r w:rsidR="002E096E" w:rsidRPr="00AB3DAC">
        <w:rPr>
          <w:rFonts w:ascii="Verdana" w:hAnsi="Verdana"/>
          <w:szCs w:val="20"/>
          <w:lang w:val="en-GB" w:eastAsia="en-GB"/>
        </w:rPr>
        <w:t>nally,</w:t>
      </w:r>
      <w:r w:rsidR="00297E4E" w:rsidRPr="00AB3DAC">
        <w:rPr>
          <w:rFonts w:ascii="Verdana" w:hAnsi="Verdana"/>
          <w:szCs w:val="20"/>
          <w:lang w:val="en-GB" w:eastAsia="en-GB"/>
        </w:rPr>
        <w:t xml:space="preserve"> the UK’s success in</w:t>
      </w:r>
      <w:r w:rsidRPr="00AB3DAC">
        <w:rPr>
          <w:rFonts w:ascii="Verdana" w:hAnsi="Verdana"/>
          <w:szCs w:val="20"/>
          <w:lang w:val="en-GB" w:eastAsia="en-GB"/>
        </w:rPr>
        <w:t xml:space="preserve"> attracting international students, partners and staff</w:t>
      </w:r>
      <w:r w:rsidR="00194495" w:rsidRPr="00AB3DAC">
        <w:rPr>
          <w:rFonts w:ascii="Verdana" w:hAnsi="Verdana"/>
          <w:szCs w:val="20"/>
          <w:lang w:val="en-GB" w:eastAsia="en-GB"/>
        </w:rPr>
        <w:t xml:space="preserve"> has depended </w:t>
      </w:r>
      <w:r w:rsidRPr="00AB3DAC">
        <w:rPr>
          <w:rFonts w:ascii="Verdana" w:hAnsi="Verdana"/>
          <w:szCs w:val="20"/>
          <w:lang w:val="en-GB" w:eastAsia="en-GB"/>
        </w:rPr>
        <w:t>very largely on the continuing cur</w:t>
      </w:r>
      <w:r w:rsidR="00822A84" w:rsidRPr="00AB3DAC">
        <w:rPr>
          <w:rFonts w:ascii="Verdana" w:hAnsi="Verdana"/>
          <w:szCs w:val="20"/>
          <w:lang w:val="en-GB" w:eastAsia="en-GB"/>
        </w:rPr>
        <w:t>rency and standing</w:t>
      </w:r>
      <w:r w:rsidR="00194495" w:rsidRPr="00AB3DAC">
        <w:rPr>
          <w:rFonts w:ascii="Verdana" w:hAnsi="Verdana"/>
          <w:szCs w:val="20"/>
          <w:lang w:val="en-GB" w:eastAsia="en-GB"/>
        </w:rPr>
        <w:t xml:space="preserve"> of, and</w:t>
      </w:r>
      <w:r w:rsidR="0083720B" w:rsidRPr="00AB3DAC">
        <w:rPr>
          <w:rFonts w:ascii="Verdana" w:hAnsi="Verdana"/>
          <w:szCs w:val="20"/>
          <w:lang w:val="en-GB" w:eastAsia="en-GB"/>
        </w:rPr>
        <w:t xml:space="preserve"> </w:t>
      </w:r>
      <w:r w:rsidR="000B03F5" w:rsidRPr="00AB3DAC">
        <w:rPr>
          <w:rFonts w:ascii="Verdana" w:hAnsi="Verdana"/>
          <w:szCs w:val="20"/>
          <w:lang w:val="en-GB" w:eastAsia="en-GB"/>
        </w:rPr>
        <w:t>some degree</w:t>
      </w:r>
      <w:r w:rsidR="002E096E" w:rsidRPr="00AB3DAC">
        <w:rPr>
          <w:rFonts w:ascii="Verdana" w:hAnsi="Verdana"/>
          <w:szCs w:val="20"/>
          <w:lang w:val="en-GB" w:eastAsia="en-GB"/>
        </w:rPr>
        <w:t xml:space="preserve"> </w:t>
      </w:r>
      <w:r w:rsidR="00194495" w:rsidRPr="00AB3DAC">
        <w:rPr>
          <w:rFonts w:ascii="Verdana" w:hAnsi="Verdana"/>
          <w:szCs w:val="20"/>
          <w:lang w:val="en-GB" w:eastAsia="en-GB"/>
        </w:rPr>
        <w:t xml:space="preserve">of </w:t>
      </w:r>
      <w:r w:rsidR="002E096E" w:rsidRPr="00AB3DAC">
        <w:rPr>
          <w:rFonts w:ascii="Verdana" w:hAnsi="Verdana"/>
          <w:szCs w:val="20"/>
          <w:lang w:val="en-GB" w:eastAsia="en-GB"/>
        </w:rPr>
        <w:t>consistency between</w:t>
      </w:r>
      <w:r w:rsidR="00194495" w:rsidRPr="00AB3DAC">
        <w:rPr>
          <w:rFonts w:ascii="Verdana" w:hAnsi="Verdana"/>
          <w:szCs w:val="20"/>
          <w:lang w:val="en-GB" w:eastAsia="en-GB"/>
        </w:rPr>
        <w:t>,</w:t>
      </w:r>
      <w:r w:rsidR="002E096E" w:rsidRPr="00AB3DAC">
        <w:rPr>
          <w:rFonts w:ascii="Verdana" w:hAnsi="Verdana"/>
          <w:szCs w:val="20"/>
          <w:lang w:val="en-GB" w:eastAsia="en-GB"/>
        </w:rPr>
        <w:t xml:space="preserve"> institutions, subjects and programmes</w:t>
      </w:r>
      <w:r w:rsidRPr="00AB3DAC">
        <w:rPr>
          <w:rFonts w:ascii="Verdana" w:hAnsi="Verdana"/>
          <w:szCs w:val="20"/>
          <w:lang w:val="en-GB" w:eastAsia="en-GB"/>
        </w:rPr>
        <w:t>.</w:t>
      </w:r>
    </w:p>
    <w:p w:rsidR="00AD13CD" w:rsidRPr="00AB3DAC" w:rsidRDefault="00AB3DAC" w:rsidP="00AB3DAC">
      <w:pPr>
        <w:rPr>
          <w:rFonts w:ascii="Verdana" w:eastAsia="Times New Roman" w:hAnsi="Verdana"/>
          <w:i/>
          <w:lang w:val="en-US" w:eastAsia="en-US"/>
        </w:rPr>
      </w:pPr>
      <w:r>
        <w:rPr>
          <w:rFonts w:ascii="Verdana" w:eastAsia="Times New Roman" w:hAnsi="Verdana"/>
          <w:i/>
          <w:lang w:val="en-US" w:eastAsia="en-US"/>
        </w:rPr>
        <w:t>Pressures on c</w:t>
      </w:r>
      <w:r w:rsidR="00AD13CD" w:rsidRPr="00AB3DAC">
        <w:rPr>
          <w:rFonts w:ascii="Verdana" w:eastAsia="Times New Roman" w:hAnsi="Verdana"/>
          <w:i/>
          <w:lang w:val="en-US" w:eastAsia="en-US"/>
        </w:rPr>
        <w:t>omparability</w:t>
      </w:r>
    </w:p>
    <w:p w:rsidR="00031902" w:rsidRPr="00AB3DAC" w:rsidRDefault="00AD13CD"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The CNAA was abolis</w:t>
      </w:r>
      <w:r w:rsidR="005B195A" w:rsidRPr="00AB3DAC">
        <w:rPr>
          <w:rFonts w:ascii="Verdana" w:hAnsi="Verdana"/>
          <w:szCs w:val="20"/>
          <w:lang w:val="en-GB" w:eastAsia="en-GB"/>
        </w:rPr>
        <w:t xml:space="preserve">hed in 1992 following </w:t>
      </w:r>
      <w:r w:rsidRPr="00AB3DAC">
        <w:rPr>
          <w:rFonts w:ascii="Verdana" w:hAnsi="Verdana"/>
          <w:szCs w:val="20"/>
          <w:lang w:val="en-GB" w:eastAsia="en-GB"/>
        </w:rPr>
        <w:t>the Government’s decision to allow the polytechnics and certain colleges to obtain university title.  The Higher Education</w:t>
      </w:r>
      <w:r w:rsidR="00CE6A53" w:rsidRPr="00AB3DAC">
        <w:rPr>
          <w:rFonts w:ascii="Verdana" w:hAnsi="Verdana"/>
          <w:szCs w:val="20"/>
          <w:lang w:val="en-GB" w:eastAsia="en-GB"/>
        </w:rPr>
        <w:t xml:space="preserve"> Quality Council</w:t>
      </w:r>
      <w:r w:rsidR="00CB01D0" w:rsidRPr="00AB3DAC">
        <w:rPr>
          <w:rFonts w:ascii="Verdana" w:hAnsi="Verdana"/>
          <w:szCs w:val="20"/>
          <w:lang w:val="en-GB" w:eastAsia="en-GB"/>
        </w:rPr>
        <w:t xml:space="preserve"> (HEQC) </w:t>
      </w:r>
      <w:r w:rsidR="00CE6A53" w:rsidRPr="00AB3DAC">
        <w:rPr>
          <w:rFonts w:ascii="Verdana" w:hAnsi="Verdana"/>
          <w:szCs w:val="20"/>
          <w:lang w:val="en-GB" w:eastAsia="en-GB"/>
        </w:rPr>
        <w:t xml:space="preserve">was established as a </w:t>
      </w:r>
      <w:r w:rsidRPr="00AB3DAC">
        <w:rPr>
          <w:rFonts w:ascii="Verdana" w:hAnsi="Verdana"/>
          <w:szCs w:val="20"/>
          <w:lang w:val="en-GB" w:eastAsia="en-GB"/>
        </w:rPr>
        <w:t>sector-owned body t</w:t>
      </w:r>
      <w:r w:rsidR="00031902" w:rsidRPr="00AB3DAC">
        <w:rPr>
          <w:rFonts w:ascii="Verdana" w:hAnsi="Verdana"/>
          <w:szCs w:val="20"/>
          <w:lang w:val="en-GB" w:eastAsia="en-GB"/>
        </w:rPr>
        <w:t>o moni</w:t>
      </w:r>
      <w:r w:rsidR="00CE6A53" w:rsidRPr="00AB3DAC">
        <w:rPr>
          <w:rFonts w:ascii="Verdana" w:hAnsi="Verdana"/>
          <w:szCs w:val="20"/>
          <w:lang w:val="en-GB" w:eastAsia="en-GB"/>
        </w:rPr>
        <w:t>tor</w:t>
      </w:r>
      <w:r w:rsidR="00031902" w:rsidRPr="00AB3DAC">
        <w:rPr>
          <w:rFonts w:ascii="Verdana" w:hAnsi="Verdana"/>
          <w:szCs w:val="20"/>
          <w:lang w:val="en-GB" w:eastAsia="en-GB"/>
        </w:rPr>
        <w:t xml:space="preserve"> and</w:t>
      </w:r>
      <w:r w:rsidR="00CB01D0" w:rsidRPr="00AB3DAC">
        <w:rPr>
          <w:rFonts w:ascii="Verdana" w:hAnsi="Verdana"/>
          <w:szCs w:val="20"/>
          <w:lang w:val="en-GB" w:eastAsia="en-GB"/>
        </w:rPr>
        <w:t xml:space="preserve"> </w:t>
      </w:r>
      <w:r w:rsidR="00031902" w:rsidRPr="00AB3DAC">
        <w:rPr>
          <w:rFonts w:ascii="Verdana" w:hAnsi="Verdana"/>
          <w:szCs w:val="20"/>
          <w:lang w:val="en-GB" w:eastAsia="en-GB"/>
        </w:rPr>
        <w:t>advise on instit</w:t>
      </w:r>
      <w:r w:rsidRPr="00AB3DAC">
        <w:rPr>
          <w:rFonts w:ascii="Verdana" w:hAnsi="Verdana"/>
          <w:szCs w:val="20"/>
          <w:lang w:val="en-GB" w:eastAsia="en-GB"/>
        </w:rPr>
        <w:t>utions’ academic standards.  At the H</w:t>
      </w:r>
      <w:r w:rsidR="00CB01D0" w:rsidRPr="00AB3DAC">
        <w:rPr>
          <w:rFonts w:ascii="Verdana" w:hAnsi="Verdana"/>
          <w:szCs w:val="20"/>
          <w:lang w:val="en-GB" w:eastAsia="en-GB"/>
        </w:rPr>
        <w:t>igher Education Funding Council for England (H</w:t>
      </w:r>
      <w:r w:rsidRPr="00AB3DAC">
        <w:rPr>
          <w:rFonts w:ascii="Verdana" w:hAnsi="Verdana"/>
          <w:szCs w:val="20"/>
          <w:lang w:val="en-GB" w:eastAsia="en-GB"/>
        </w:rPr>
        <w:t>EFCE</w:t>
      </w:r>
      <w:r w:rsidR="00CB01D0" w:rsidRPr="00AB3DAC">
        <w:rPr>
          <w:rFonts w:ascii="Verdana" w:hAnsi="Verdana"/>
          <w:szCs w:val="20"/>
          <w:lang w:val="en-GB" w:eastAsia="en-GB"/>
        </w:rPr>
        <w:t>)</w:t>
      </w:r>
      <w:r w:rsidRPr="00AB3DAC">
        <w:rPr>
          <w:rFonts w:ascii="Verdana" w:hAnsi="Verdana"/>
          <w:szCs w:val="20"/>
          <w:lang w:val="en-GB" w:eastAsia="en-GB"/>
        </w:rPr>
        <w:t xml:space="preserve"> Annual Conference in April 1994, the then Secretary of State for Education and Science, John Patten MP, asked the Council to give greater attention to “broad comparability” of standards b</w:t>
      </w:r>
      <w:r w:rsidR="0055515A" w:rsidRPr="00AB3DAC">
        <w:rPr>
          <w:rFonts w:ascii="Verdana" w:hAnsi="Verdana"/>
          <w:szCs w:val="20"/>
          <w:lang w:val="en-GB" w:eastAsia="en-GB"/>
        </w:rPr>
        <w:t>etween institutions.  HEQC</w:t>
      </w:r>
      <w:r w:rsidR="002F78AA" w:rsidRPr="00AB3DAC">
        <w:rPr>
          <w:rFonts w:ascii="Verdana" w:hAnsi="Verdana"/>
          <w:szCs w:val="20"/>
          <w:lang w:val="en-GB" w:eastAsia="en-GB"/>
        </w:rPr>
        <w:t xml:space="preserve">’s main response was to propose </w:t>
      </w:r>
      <w:r w:rsidRPr="00AB3DAC">
        <w:rPr>
          <w:rFonts w:ascii="Verdana" w:hAnsi="Verdana"/>
          <w:szCs w:val="20"/>
          <w:lang w:val="en-GB" w:eastAsia="en-GB"/>
        </w:rPr>
        <w:t>t</w:t>
      </w:r>
      <w:r w:rsidR="002F78AA" w:rsidRPr="00AB3DAC">
        <w:rPr>
          <w:rFonts w:ascii="Verdana" w:hAnsi="Verdana"/>
          <w:szCs w:val="20"/>
          <w:lang w:val="en-GB" w:eastAsia="en-GB"/>
        </w:rPr>
        <w:t xml:space="preserve">he </w:t>
      </w:r>
      <w:r w:rsidR="00AB3DAC" w:rsidRPr="00AB3DAC">
        <w:rPr>
          <w:rFonts w:ascii="Verdana" w:hAnsi="Verdana"/>
          <w:szCs w:val="20"/>
          <w:lang w:val="en-GB" w:eastAsia="en-GB"/>
        </w:rPr>
        <w:t>academic infrastructure</w:t>
      </w:r>
      <w:r w:rsidRPr="00AB3DAC">
        <w:rPr>
          <w:rFonts w:ascii="Verdana" w:hAnsi="Verdana"/>
          <w:szCs w:val="20"/>
          <w:lang w:val="en-GB" w:eastAsia="en-GB"/>
        </w:rPr>
        <w:t xml:space="preserve"> that has already been described. The</w:t>
      </w:r>
      <w:r w:rsidR="00031902" w:rsidRPr="00AB3DAC">
        <w:rPr>
          <w:rFonts w:ascii="Verdana" w:hAnsi="Verdana"/>
          <w:szCs w:val="20"/>
          <w:lang w:val="en-GB" w:eastAsia="en-GB"/>
        </w:rPr>
        <w:t xml:space="preserve"> Council also gave greater atten</w:t>
      </w:r>
      <w:r w:rsidRPr="00AB3DAC">
        <w:rPr>
          <w:rFonts w:ascii="Verdana" w:hAnsi="Verdana"/>
          <w:szCs w:val="20"/>
          <w:lang w:val="en-GB" w:eastAsia="en-GB"/>
        </w:rPr>
        <w:t xml:space="preserve">tion to academic standards within the </w:t>
      </w:r>
      <w:r w:rsidR="00031902" w:rsidRPr="00AB3DAC">
        <w:rPr>
          <w:rFonts w:ascii="Verdana" w:hAnsi="Verdana"/>
          <w:szCs w:val="20"/>
          <w:lang w:val="en-GB" w:eastAsia="en-GB"/>
        </w:rPr>
        <w:t>institutional quality audit process</w:t>
      </w:r>
      <w:r w:rsidR="00715DD9" w:rsidRPr="00AB3DAC">
        <w:rPr>
          <w:rFonts w:ascii="Verdana" w:hAnsi="Verdana"/>
          <w:szCs w:val="20"/>
          <w:lang w:val="en-GB" w:eastAsia="en-GB"/>
        </w:rPr>
        <w:t>.</w:t>
      </w:r>
    </w:p>
    <w:p w:rsidR="0055515A" w:rsidRPr="00AB3DAC" w:rsidRDefault="00031902"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lastRenderedPageBreak/>
        <w:t xml:space="preserve">Three sets of factors have now combined </w:t>
      </w:r>
      <w:r w:rsidR="00D30547" w:rsidRPr="00AB3DAC">
        <w:rPr>
          <w:rFonts w:ascii="Verdana" w:hAnsi="Verdana"/>
          <w:szCs w:val="20"/>
          <w:lang w:val="en-GB" w:eastAsia="en-GB"/>
        </w:rPr>
        <w:t>to raise</w:t>
      </w:r>
      <w:r w:rsidR="00822A84" w:rsidRPr="00AB3DAC">
        <w:rPr>
          <w:rFonts w:ascii="Verdana" w:hAnsi="Verdana"/>
          <w:szCs w:val="20"/>
          <w:lang w:val="en-GB" w:eastAsia="en-GB"/>
        </w:rPr>
        <w:t xml:space="preserve"> further </w:t>
      </w:r>
      <w:r w:rsidR="0083720B" w:rsidRPr="00AB3DAC">
        <w:rPr>
          <w:rFonts w:ascii="Verdana" w:hAnsi="Verdana"/>
          <w:szCs w:val="20"/>
          <w:lang w:val="en-GB" w:eastAsia="en-GB"/>
        </w:rPr>
        <w:t>question mark</w:t>
      </w:r>
      <w:r w:rsidR="00D30547" w:rsidRPr="00AB3DAC">
        <w:rPr>
          <w:rFonts w:ascii="Verdana" w:hAnsi="Verdana"/>
          <w:szCs w:val="20"/>
          <w:lang w:val="en-GB" w:eastAsia="en-GB"/>
        </w:rPr>
        <w:t>s</w:t>
      </w:r>
      <w:r w:rsidR="0083720B" w:rsidRPr="00AB3DAC">
        <w:rPr>
          <w:rFonts w:ascii="Verdana" w:hAnsi="Verdana"/>
          <w:szCs w:val="20"/>
          <w:lang w:val="en-GB" w:eastAsia="en-GB"/>
        </w:rPr>
        <w:t xml:space="preserve"> over</w:t>
      </w:r>
      <w:r w:rsidRPr="00AB3DAC">
        <w:rPr>
          <w:rFonts w:ascii="Verdana" w:hAnsi="Verdana"/>
          <w:szCs w:val="20"/>
          <w:lang w:val="en-GB" w:eastAsia="en-GB"/>
        </w:rPr>
        <w:t xml:space="preserve"> comparability.</w:t>
      </w:r>
      <w:r w:rsidR="00AD13CD" w:rsidRPr="00AB3DAC">
        <w:rPr>
          <w:rFonts w:ascii="Verdana" w:hAnsi="Verdana"/>
          <w:szCs w:val="20"/>
          <w:lang w:val="en-GB" w:eastAsia="en-GB"/>
        </w:rPr>
        <w:t xml:space="preserve"> </w:t>
      </w:r>
    </w:p>
    <w:p w:rsidR="002F78AA" w:rsidRPr="00AB3DAC" w:rsidRDefault="0055515A"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First, </w:t>
      </w:r>
      <w:r w:rsidR="00031902" w:rsidRPr="00AB3DAC">
        <w:rPr>
          <w:rFonts w:ascii="Verdana" w:hAnsi="Verdana"/>
          <w:szCs w:val="20"/>
          <w:lang w:val="en-GB" w:eastAsia="en-GB"/>
        </w:rPr>
        <w:t>the substantial evidence that has emerged over many years about insufficient professionalism by institutions, departments and academic staff in the prac</w:t>
      </w:r>
      <w:r w:rsidR="00CE6A53" w:rsidRPr="00AB3DAC">
        <w:rPr>
          <w:rFonts w:ascii="Verdana" w:hAnsi="Verdana"/>
          <w:szCs w:val="20"/>
          <w:lang w:val="en-GB" w:eastAsia="en-GB"/>
        </w:rPr>
        <w:t>tice of assessment</w:t>
      </w:r>
      <w:r w:rsidR="00D30547" w:rsidRPr="00AB3DAC">
        <w:rPr>
          <w:rFonts w:ascii="Verdana" w:hAnsi="Verdana"/>
          <w:szCs w:val="20"/>
          <w:lang w:val="en-GB" w:eastAsia="en-GB"/>
        </w:rPr>
        <w:t xml:space="preserve"> leading, inter alia, to significant variations in the levels of achievement aimed at and realised by students</w:t>
      </w:r>
      <w:r w:rsidR="00CE6A53" w:rsidRPr="00AB3DAC">
        <w:rPr>
          <w:rFonts w:ascii="Verdana" w:hAnsi="Verdana"/>
          <w:szCs w:val="20"/>
          <w:lang w:val="en-GB" w:eastAsia="en-GB"/>
        </w:rPr>
        <w:t xml:space="preserve"> </w:t>
      </w:r>
      <w:r w:rsidR="00EF7DBA">
        <w:rPr>
          <w:rFonts w:ascii="Verdana" w:hAnsi="Verdana"/>
          <w:szCs w:val="20"/>
          <w:lang w:val="en-GB" w:eastAsia="en-GB"/>
        </w:rPr>
        <w:t xml:space="preserve">– </w:t>
      </w:r>
      <w:r w:rsidR="00194495" w:rsidRPr="00AB3DAC">
        <w:rPr>
          <w:rFonts w:ascii="Verdana" w:hAnsi="Verdana"/>
          <w:szCs w:val="20"/>
          <w:lang w:val="en-GB" w:eastAsia="en-GB"/>
        </w:rPr>
        <w:t>that is to say, inconsistent standards</w:t>
      </w:r>
      <w:r w:rsidR="00031902" w:rsidRPr="00AB3DAC">
        <w:rPr>
          <w:rFonts w:ascii="Verdana" w:hAnsi="Verdana"/>
          <w:szCs w:val="20"/>
          <w:lang w:val="en-GB" w:eastAsia="en-GB"/>
        </w:rPr>
        <w:t>.</w:t>
      </w:r>
    </w:p>
    <w:p w:rsidR="00AD13CD" w:rsidRPr="00AB3DAC" w:rsidRDefault="00850968"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The QAA </w:t>
      </w:r>
      <w:r w:rsidR="00031902" w:rsidRPr="00AB3DAC">
        <w:rPr>
          <w:rFonts w:ascii="Verdana" w:hAnsi="Verdana"/>
          <w:szCs w:val="20"/>
          <w:lang w:val="en-GB" w:eastAsia="en-GB"/>
        </w:rPr>
        <w:t>summarised</w:t>
      </w:r>
      <w:r w:rsidR="00822A84" w:rsidRPr="00AB3DAC">
        <w:rPr>
          <w:rFonts w:ascii="Verdana" w:hAnsi="Verdana"/>
          <w:szCs w:val="20"/>
          <w:lang w:val="en-GB" w:eastAsia="en-GB"/>
        </w:rPr>
        <w:t xml:space="preserve"> some of </w:t>
      </w:r>
      <w:r w:rsidR="00031902" w:rsidRPr="00AB3DAC">
        <w:rPr>
          <w:rFonts w:ascii="Verdana" w:hAnsi="Verdana"/>
          <w:szCs w:val="20"/>
          <w:lang w:val="en-GB" w:eastAsia="en-GB"/>
        </w:rPr>
        <w:t>these co</w:t>
      </w:r>
      <w:r w:rsidRPr="00AB3DAC">
        <w:rPr>
          <w:rFonts w:ascii="Verdana" w:hAnsi="Verdana"/>
          <w:szCs w:val="20"/>
          <w:lang w:val="en-GB" w:eastAsia="en-GB"/>
        </w:rPr>
        <w:t>ncerns in a 2008 publication</w:t>
      </w:r>
      <w:r w:rsidR="00031902" w:rsidRPr="00AB3DAC">
        <w:rPr>
          <w:rFonts w:ascii="Verdana" w:hAnsi="Verdana"/>
          <w:szCs w:val="20"/>
          <w:lang w:val="en-GB" w:eastAsia="en-GB"/>
        </w:rPr>
        <w:t xml:space="preserve"> </w:t>
      </w:r>
      <w:r w:rsidR="00AB3DAC">
        <w:rPr>
          <w:rFonts w:ascii="Verdana" w:hAnsi="Verdana"/>
          <w:szCs w:val="20"/>
          <w:lang w:val="en-GB" w:eastAsia="en-GB"/>
        </w:rPr>
        <w:t>‘</w:t>
      </w:r>
      <w:r w:rsidR="00031902" w:rsidRPr="00AB3DAC">
        <w:rPr>
          <w:rFonts w:ascii="Verdana" w:hAnsi="Verdana"/>
          <w:szCs w:val="20"/>
          <w:lang w:val="en-GB" w:eastAsia="en-GB"/>
        </w:rPr>
        <w:t>Outcomes from institutional audit; Assessment of students; Second series</w:t>
      </w:r>
      <w:r w:rsidR="00AB3DAC">
        <w:rPr>
          <w:rFonts w:ascii="Verdana" w:hAnsi="Verdana"/>
          <w:szCs w:val="20"/>
          <w:lang w:val="en-GB" w:eastAsia="en-GB"/>
        </w:rPr>
        <w:t>’</w:t>
      </w:r>
      <w:r w:rsidR="00031902" w:rsidRPr="00AB3DAC">
        <w:rPr>
          <w:rFonts w:ascii="Verdana" w:hAnsi="Verdana"/>
          <w:szCs w:val="20"/>
          <w:lang w:val="en-GB" w:eastAsia="en-GB"/>
        </w:rPr>
        <w:t xml:space="preserve">: </w:t>
      </w:r>
    </w:p>
    <w:p w:rsidR="00031902" w:rsidRPr="00AB3DAC" w:rsidRDefault="00AB3DAC" w:rsidP="00AB3DAC">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031902" w:rsidRPr="00AB3DAC">
        <w:rPr>
          <w:rFonts w:ascii="Verdana" w:hAnsi="Verdana"/>
          <w:szCs w:val="20"/>
          <w:lang w:val="en-GB" w:eastAsia="en-GB"/>
        </w:rPr>
        <w:t>Worries include doubt</w:t>
      </w:r>
      <w:r w:rsidR="00CE6A53" w:rsidRPr="00AB3DAC">
        <w:rPr>
          <w:rFonts w:ascii="Verdana" w:hAnsi="Verdana"/>
          <w:szCs w:val="20"/>
          <w:lang w:val="en-GB" w:eastAsia="en-GB"/>
        </w:rPr>
        <w:t>s</w:t>
      </w:r>
      <w:r w:rsidR="00031902" w:rsidRPr="00AB3DAC">
        <w:rPr>
          <w:rFonts w:ascii="Verdana" w:hAnsi="Verdana"/>
          <w:szCs w:val="20"/>
          <w:lang w:val="en-GB" w:eastAsia="en-GB"/>
        </w:rPr>
        <w:t xml:space="preserve"> in some cases about the double-marking and/or moderation of </w:t>
      </w:r>
      <w:r w:rsidR="00CE6A53" w:rsidRPr="00AB3DAC">
        <w:rPr>
          <w:rFonts w:ascii="Verdana" w:hAnsi="Verdana"/>
          <w:szCs w:val="20"/>
          <w:lang w:val="en-GB" w:eastAsia="en-GB"/>
        </w:rPr>
        <w:t>student</w:t>
      </w:r>
      <w:r w:rsidR="00031902" w:rsidRPr="00AB3DAC">
        <w:rPr>
          <w:rFonts w:ascii="Verdana" w:hAnsi="Verdana"/>
          <w:szCs w:val="20"/>
          <w:lang w:val="en-GB" w:eastAsia="en-GB"/>
        </w:rPr>
        <w:t>s</w:t>
      </w:r>
      <w:r w:rsidR="00CE6A53" w:rsidRPr="00AB3DAC">
        <w:rPr>
          <w:rFonts w:ascii="Verdana" w:hAnsi="Verdana"/>
          <w:szCs w:val="20"/>
          <w:lang w:val="en-GB" w:eastAsia="en-GB"/>
        </w:rPr>
        <w:t>’</w:t>
      </w:r>
      <w:r w:rsidR="0083720B" w:rsidRPr="00AB3DAC">
        <w:rPr>
          <w:rFonts w:ascii="Verdana" w:hAnsi="Verdana"/>
          <w:szCs w:val="20"/>
          <w:lang w:val="en-GB" w:eastAsia="en-GB"/>
        </w:rPr>
        <w:t xml:space="preserve"> summative</w:t>
      </w:r>
      <w:r w:rsidR="006346B1" w:rsidRPr="00AB3DAC">
        <w:rPr>
          <w:rFonts w:ascii="Verdana" w:hAnsi="Verdana"/>
          <w:szCs w:val="20"/>
          <w:lang w:val="en-GB" w:eastAsia="en-GB"/>
        </w:rPr>
        <w:t xml:space="preserve"> </w:t>
      </w:r>
      <w:r w:rsidR="00031902" w:rsidRPr="00AB3DAC">
        <w:rPr>
          <w:rFonts w:ascii="Verdana" w:hAnsi="Verdana"/>
          <w:szCs w:val="20"/>
          <w:lang w:val="en-GB" w:eastAsia="en-GB"/>
        </w:rPr>
        <w:t xml:space="preserve"> assessment; continuing difficulties with degree classification; departure</w:t>
      </w:r>
      <w:r w:rsidR="00CE6A53" w:rsidRPr="00AB3DAC">
        <w:rPr>
          <w:rFonts w:ascii="Verdana" w:hAnsi="Verdana"/>
          <w:szCs w:val="20"/>
          <w:lang w:val="en-GB" w:eastAsia="en-GB"/>
        </w:rPr>
        <w:t>s</w:t>
      </w:r>
      <w:r w:rsidR="00031902" w:rsidRPr="00AB3DAC">
        <w:rPr>
          <w:rFonts w:ascii="Verdana" w:hAnsi="Verdana"/>
          <w:szCs w:val="20"/>
          <w:lang w:val="en-GB" w:eastAsia="en-GB"/>
        </w:rPr>
        <w:t xml:space="preserve"> from institutional practice in the way staff in departments and schools work</w:t>
      </w:r>
      <w:r w:rsidR="00B21CF7" w:rsidRPr="00AB3DAC">
        <w:rPr>
          <w:rFonts w:ascii="Verdana" w:hAnsi="Verdana"/>
          <w:szCs w:val="20"/>
          <w:lang w:val="en-GB" w:eastAsia="en-GB"/>
        </w:rPr>
        <w:t xml:space="preserve"> with external exam</w:t>
      </w:r>
      <w:r w:rsidR="00031902" w:rsidRPr="00AB3DAC">
        <w:rPr>
          <w:rFonts w:ascii="Verdana" w:hAnsi="Verdana"/>
          <w:szCs w:val="20"/>
          <w:lang w:val="en-GB" w:eastAsia="en-GB"/>
        </w:rPr>
        <w:t>iners; and generally weak use of statistical data to monitor and quality assure the assessments of all students and degree cla</w:t>
      </w:r>
      <w:r w:rsidR="00B21CF7" w:rsidRPr="00AB3DAC">
        <w:rPr>
          <w:rFonts w:ascii="Verdana" w:hAnsi="Verdana"/>
          <w:szCs w:val="20"/>
          <w:lang w:val="en-GB" w:eastAsia="en-GB"/>
        </w:rPr>
        <w:t>ssifications.</w:t>
      </w:r>
      <w:r w:rsidR="00031902" w:rsidRPr="00AB3DAC">
        <w:rPr>
          <w:rFonts w:ascii="Verdana" w:hAnsi="Verdana"/>
          <w:szCs w:val="20"/>
          <w:lang w:val="en-GB" w:eastAsia="en-GB"/>
        </w:rPr>
        <w:t xml:space="preserve">  The papers </w:t>
      </w:r>
      <w:r w:rsidR="00B21CF7" w:rsidRPr="00AB3DAC">
        <w:rPr>
          <w:rFonts w:ascii="Verdana" w:hAnsi="Verdana"/>
          <w:szCs w:val="20"/>
          <w:lang w:val="en-GB" w:eastAsia="en-GB"/>
        </w:rPr>
        <w:t>also find weaknesses in the arrangements of some</w:t>
      </w:r>
      <w:r w:rsidR="000B03F5" w:rsidRPr="00AB3DAC">
        <w:rPr>
          <w:rFonts w:ascii="Verdana" w:hAnsi="Verdana"/>
          <w:szCs w:val="20"/>
          <w:lang w:val="en-GB" w:eastAsia="en-GB"/>
        </w:rPr>
        <w:t xml:space="preserve"> </w:t>
      </w:r>
      <w:r w:rsidR="00B21CF7" w:rsidRPr="00AB3DAC">
        <w:rPr>
          <w:rFonts w:ascii="Verdana" w:hAnsi="Verdana"/>
          <w:szCs w:val="20"/>
          <w:lang w:val="en-GB" w:eastAsia="en-GB"/>
        </w:rPr>
        <w:t>institutions for detecting and dealing with plagiarism and for providing feedback on students’ assessed work, including feedback to international students</w:t>
      </w:r>
      <w:r>
        <w:rPr>
          <w:rFonts w:ascii="Verdana" w:hAnsi="Verdana"/>
          <w:szCs w:val="20"/>
          <w:lang w:val="en-GB" w:eastAsia="en-GB"/>
        </w:rPr>
        <w:t>.”</w:t>
      </w:r>
      <w:r w:rsidR="00B21CF7" w:rsidRPr="00AB3DAC">
        <w:rPr>
          <w:rFonts w:ascii="Verdana" w:hAnsi="Verdana"/>
          <w:szCs w:val="20"/>
          <w:lang w:val="en-GB" w:eastAsia="en-GB"/>
        </w:rPr>
        <w:t xml:space="preserve"> </w:t>
      </w:r>
    </w:p>
    <w:p w:rsidR="00B21CF7" w:rsidRPr="00AB3DAC" w:rsidRDefault="00D30547"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In a recent and</w:t>
      </w:r>
      <w:r w:rsidR="0055515A" w:rsidRPr="00AB3DAC">
        <w:rPr>
          <w:rFonts w:ascii="Verdana" w:hAnsi="Verdana"/>
          <w:szCs w:val="20"/>
          <w:lang w:val="en-GB" w:eastAsia="en-GB"/>
        </w:rPr>
        <w:t xml:space="preserve"> comprehensive</w:t>
      </w:r>
      <w:r w:rsidR="002F78AA" w:rsidRPr="00AB3DAC">
        <w:rPr>
          <w:rFonts w:ascii="Verdana" w:hAnsi="Verdana"/>
          <w:szCs w:val="20"/>
          <w:lang w:val="en-GB" w:eastAsia="en-GB"/>
        </w:rPr>
        <w:t xml:space="preserve"> review</w:t>
      </w:r>
      <w:r w:rsidRPr="00AB3DAC">
        <w:rPr>
          <w:rFonts w:ascii="Verdana" w:hAnsi="Verdana"/>
          <w:szCs w:val="20"/>
          <w:lang w:val="en-GB" w:eastAsia="en-GB"/>
        </w:rPr>
        <w:t>, Yorke (2008) identified</w:t>
      </w:r>
      <w:r w:rsidR="0055515A" w:rsidRPr="00AB3DAC">
        <w:rPr>
          <w:rFonts w:ascii="Verdana" w:hAnsi="Verdana"/>
          <w:szCs w:val="20"/>
          <w:lang w:val="en-GB" w:eastAsia="en-GB"/>
        </w:rPr>
        <w:t xml:space="preserve"> five main problem</w:t>
      </w:r>
      <w:r w:rsidR="0098428B" w:rsidRPr="00AB3DAC">
        <w:rPr>
          <w:rFonts w:ascii="Verdana" w:hAnsi="Verdana"/>
          <w:szCs w:val="20"/>
          <w:lang w:val="en-GB" w:eastAsia="en-GB"/>
        </w:rPr>
        <w:t xml:space="preserve"> areas</w:t>
      </w:r>
      <w:r w:rsidR="0055515A" w:rsidRPr="00AB3DAC">
        <w:rPr>
          <w:rFonts w:ascii="Verdana" w:hAnsi="Verdana"/>
          <w:szCs w:val="20"/>
          <w:lang w:val="en-GB" w:eastAsia="en-GB"/>
        </w:rPr>
        <w:t>: variations in regulations and practices  between and within institutions; lack of technical robustness, especially reliability; concerns about grading inc</w:t>
      </w:r>
      <w:r w:rsidR="00BC3D30">
        <w:rPr>
          <w:rFonts w:ascii="Verdana" w:hAnsi="Verdana"/>
          <w:szCs w:val="20"/>
          <w:lang w:val="en-GB" w:eastAsia="en-GB"/>
        </w:rPr>
        <w:t>luding the inappropriate use of</w:t>
      </w:r>
      <w:r w:rsidR="0055515A" w:rsidRPr="00AB3DAC">
        <w:rPr>
          <w:rFonts w:ascii="Verdana" w:hAnsi="Verdana"/>
          <w:szCs w:val="20"/>
          <w:lang w:val="en-GB" w:eastAsia="en-GB"/>
        </w:rPr>
        <w:t xml:space="preserve"> arithmetic manipulations to produce an overall grade for a student’s achievements; lack of clarity about expected performance even where learning outcomes are specified in some detail; and the communication of assessment outcomes</w:t>
      </w:r>
      <w:r w:rsidR="00BC3D30">
        <w:rPr>
          <w:rFonts w:ascii="Verdana" w:hAnsi="Verdana"/>
          <w:szCs w:val="20"/>
          <w:lang w:val="en-GB" w:eastAsia="en-GB"/>
        </w:rPr>
        <w:t>,</w:t>
      </w:r>
      <w:r w:rsidR="0055515A" w:rsidRPr="00AB3DAC">
        <w:rPr>
          <w:rFonts w:ascii="Verdana" w:hAnsi="Verdana"/>
          <w:szCs w:val="20"/>
          <w:lang w:val="en-GB" w:eastAsia="en-GB"/>
        </w:rPr>
        <w:t xml:space="preserve"> including insufficient appreciation of the “fuzziness” of assessment judgements and the limited reliance that can be placed on </w:t>
      </w:r>
      <w:r w:rsidR="00C71029" w:rsidRPr="00AB3DAC">
        <w:rPr>
          <w:rFonts w:ascii="Verdana" w:hAnsi="Verdana"/>
          <w:szCs w:val="20"/>
          <w:lang w:val="en-GB" w:eastAsia="en-GB"/>
        </w:rPr>
        <w:t>them. The fundamental problem</w:t>
      </w:r>
      <w:r w:rsidR="0055515A" w:rsidRPr="00AB3DAC">
        <w:rPr>
          <w:rFonts w:ascii="Verdana" w:hAnsi="Verdana"/>
          <w:szCs w:val="20"/>
          <w:lang w:val="en-GB" w:eastAsia="en-GB"/>
        </w:rPr>
        <w:t xml:space="preserve"> is the complexity of knowledge and the difficulty of grading complex learning achievements at a time when because of wider changes in the system</w:t>
      </w:r>
      <w:r w:rsidRPr="00AB3DAC">
        <w:rPr>
          <w:rFonts w:ascii="Verdana" w:hAnsi="Verdana"/>
          <w:szCs w:val="20"/>
          <w:lang w:val="en-GB" w:eastAsia="en-GB"/>
        </w:rPr>
        <w:t xml:space="preserve"> (see below),</w:t>
      </w:r>
      <w:r w:rsidR="0055515A" w:rsidRPr="00AB3DAC">
        <w:rPr>
          <w:rFonts w:ascii="Verdana" w:hAnsi="Verdana"/>
          <w:szCs w:val="20"/>
          <w:lang w:val="en-GB" w:eastAsia="en-GB"/>
        </w:rPr>
        <w:t xml:space="preserve"> there is increased pressure for warrants of outcomes. </w:t>
      </w:r>
      <w:r w:rsidR="00C71029" w:rsidRPr="00AB3DAC">
        <w:rPr>
          <w:rFonts w:ascii="Verdana" w:hAnsi="Verdana"/>
          <w:szCs w:val="20"/>
          <w:lang w:val="en-GB" w:eastAsia="en-GB"/>
        </w:rPr>
        <w:t>B</w:t>
      </w:r>
      <w:r w:rsidR="00C61177" w:rsidRPr="00AB3DAC">
        <w:rPr>
          <w:rFonts w:ascii="Verdana" w:hAnsi="Verdana"/>
          <w:szCs w:val="20"/>
          <w:lang w:val="en-GB" w:eastAsia="en-GB"/>
        </w:rPr>
        <w:t>ecause a university education is not designed simply to impart knowledge but, in the words of the Robbins Report</w:t>
      </w:r>
      <w:r w:rsidR="00BC3D30">
        <w:rPr>
          <w:rFonts w:ascii="Verdana" w:hAnsi="Verdana"/>
          <w:szCs w:val="20"/>
          <w:lang w:val="en-GB" w:eastAsia="en-GB"/>
        </w:rPr>
        <w:t>,</w:t>
      </w:r>
      <w:r w:rsidR="00C61177" w:rsidRPr="00AB3DAC">
        <w:rPr>
          <w:rFonts w:ascii="Verdana" w:hAnsi="Verdana"/>
          <w:szCs w:val="20"/>
          <w:lang w:val="en-GB" w:eastAsia="en-GB"/>
        </w:rPr>
        <w:t xml:space="preserve"> to </w:t>
      </w:r>
      <w:r w:rsidR="00AB3DAC">
        <w:rPr>
          <w:rFonts w:ascii="Verdana" w:hAnsi="Verdana"/>
          <w:szCs w:val="20"/>
          <w:lang w:val="en-GB" w:eastAsia="en-GB"/>
        </w:rPr>
        <w:t>“</w:t>
      </w:r>
      <w:r w:rsidR="00C61177" w:rsidRPr="00AB3DAC">
        <w:rPr>
          <w:rFonts w:ascii="Verdana" w:hAnsi="Verdana"/>
          <w:szCs w:val="20"/>
          <w:lang w:val="en-GB" w:eastAsia="en-GB"/>
        </w:rPr>
        <w:t>develop</w:t>
      </w:r>
      <w:r w:rsidR="00AB3DAC">
        <w:rPr>
          <w:rFonts w:ascii="Verdana" w:hAnsi="Verdana"/>
          <w:szCs w:val="20"/>
          <w:lang w:val="en-GB" w:eastAsia="en-GB"/>
        </w:rPr>
        <w:t xml:space="preserve"> the general powers of the mind”</w:t>
      </w:r>
      <w:r w:rsidR="00C71029" w:rsidRPr="00AB3DAC">
        <w:rPr>
          <w:rFonts w:ascii="Verdana" w:hAnsi="Verdana"/>
          <w:szCs w:val="20"/>
          <w:lang w:val="en-GB" w:eastAsia="en-GB"/>
        </w:rPr>
        <w:t>,</w:t>
      </w:r>
      <w:r w:rsidR="00C61177" w:rsidRPr="00AB3DAC">
        <w:rPr>
          <w:rFonts w:ascii="Verdana" w:hAnsi="Verdana"/>
          <w:szCs w:val="20"/>
          <w:lang w:val="en-GB" w:eastAsia="en-GB"/>
        </w:rPr>
        <w:t xml:space="preserve"> and more generally to develop intellectual powers and analytical thinking, assessing the extent to which different students achieve this is a particular challenge. </w:t>
      </w:r>
      <w:r w:rsidR="0055515A" w:rsidRPr="00AB3DAC">
        <w:rPr>
          <w:rFonts w:ascii="Verdana" w:hAnsi="Verdana"/>
          <w:szCs w:val="20"/>
          <w:lang w:val="en-GB" w:eastAsia="en-GB"/>
        </w:rPr>
        <w:t>Nevertheless, w</w:t>
      </w:r>
      <w:r w:rsidR="00CB01D0" w:rsidRPr="00AB3DAC">
        <w:rPr>
          <w:rFonts w:ascii="Verdana" w:hAnsi="Verdana"/>
          <w:szCs w:val="20"/>
          <w:lang w:val="en-GB" w:eastAsia="en-GB"/>
        </w:rPr>
        <w:t>eak assessment practice</w:t>
      </w:r>
      <w:r w:rsidR="00B21CF7" w:rsidRPr="00AB3DAC">
        <w:rPr>
          <w:rFonts w:ascii="Verdana" w:hAnsi="Verdana"/>
          <w:szCs w:val="20"/>
          <w:lang w:val="en-GB" w:eastAsia="en-GB"/>
        </w:rPr>
        <w:t xml:space="preserve"> exposes institutions</w:t>
      </w:r>
      <w:r w:rsidR="00CB01D0" w:rsidRPr="00AB3DAC">
        <w:rPr>
          <w:rFonts w:ascii="Verdana" w:hAnsi="Verdana"/>
          <w:szCs w:val="20"/>
          <w:lang w:val="en-GB" w:eastAsia="en-GB"/>
        </w:rPr>
        <w:t xml:space="preserve"> to </w:t>
      </w:r>
      <w:r w:rsidR="00B21CF7" w:rsidRPr="00AB3DAC">
        <w:rPr>
          <w:rFonts w:ascii="Verdana" w:hAnsi="Verdana"/>
          <w:szCs w:val="20"/>
          <w:lang w:val="en-GB" w:eastAsia="en-GB"/>
        </w:rPr>
        <w:t>challenges from aggrieved students</w:t>
      </w:r>
      <w:r w:rsidR="00C71029" w:rsidRPr="00AB3DAC">
        <w:rPr>
          <w:rFonts w:ascii="Verdana" w:hAnsi="Verdana"/>
          <w:szCs w:val="20"/>
          <w:lang w:val="en-GB" w:eastAsia="en-GB"/>
        </w:rPr>
        <w:t>, as well as creating unfairness</w:t>
      </w:r>
      <w:r w:rsidR="00CB01D0" w:rsidRPr="00AB3DAC">
        <w:rPr>
          <w:rFonts w:ascii="Verdana" w:hAnsi="Verdana"/>
          <w:szCs w:val="20"/>
          <w:lang w:val="en-GB" w:eastAsia="en-GB"/>
        </w:rPr>
        <w:t>. It also undermines external examining</w:t>
      </w:r>
      <w:r w:rsidR="002F78AA" w:rsidRPr="00AB3DAC">
        <w:rPr>
          <w:rFonts w:ascii="Verdana" w:hAnsi="Verdana"/>
          <w:szCs w:val="20"/>
          <w:lang w:val="en-GB" w:eastAsia="en-GB"/>
        </w:rPr>
        <w:t xml:space="preserve"> as a vehicle for assuring comparability</w:t>
      </w:r>
      <w:r w:rsidR="00CB01D0" w:rsidRPr="00AB3DAC">
        <w:rPr>
          <w:rFonts w:ascii="Verdana" w:hAnsi="Verdana"/>
          <w:szCs w:val="20"/>
          <w:lang w:val="en-GB" w:eastAsia="en-GB"/>
        </w:rPr>
        <w:t>: how can exte</w:t>
      </w:r>
      <w:r w:rsidR="00C71029" w:rsidRPr="00AB3DAC">
        <w:rPr>
          <w:rFonts w:ascii="Verdana" w:hAnsi="Verdana"/>
          <w:szCs w:val="20"/>
          <w:lang w:val="en-GB" w:eastAsia="en-GB"/>
        </w:rPr>
        <w:t>rnal moderation be effective if</w:t>
      </w:r>
      <w:r w:rsidR="0055515A" w:rsidRPr="00AB3DAC">
        <w:rPr>
          <w:rFonts w:ascii="Verdana" w:hAnsi="Verdana"/>
          <w:szCs w:val="20"/>
          <w:lang w:val="en-GB" w:eastAsia="en-GB"/>
        </w:rPr>
        <w:t xml:space="preserve"> </w:t>
      </w:r>
      <w:r w:rsidR="00CB01D0" w:rsidRPr="00AB3DAC">
        <w:rPr>
          <w:rFonts w:ascii="Verdana" w:hAnsi="Verdana"/>
          <w:szCs w:val="20"/>
          <w:lang w:val="en-GB" w:eastAsia="en-GB"/>
        </w:rPr>
        <w:t>internal assessments are insufficiently robust?</w:t>
      </w:r>
    </w:p>
    <w:p w:rsidR="00F451D0" w:rsidRPr="00AB3DAC" w:rsidRDefault="00F451D0"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The second</w:t>
      </w:r>
      <w:r w:rsidR="0055515A" w:rsidRPr="00AB3DAC">
        <w:rPr>
          <w:rFonts w:ascii="Verdana" w:hAnsi="Verdana"/>
          <w:szCs w:val="20"/>
          <w:lang w:val="en-GB" w:eastAsia="en-GB"/>
        </w:rPr>
        <w:t xml:space="preserve"> factor</w:t>
      </w:r>
      <w:r w:rsidR="00C71029" w:rsidRPr="00AB3DAC">
        <w:rPr>
          <w:rFonts w:ascii="Verdana" w:hAnsi="Verdana"/>
          <w:szCs w:val="20"/>
          <w:lang w:val="en-GB" w:eastAsia="en-GB"/>
        </w:rPr>
        <w:t xml:space="preserve"> threatening comparability</w:t>
      </w:r>
      <w:r w:rsidR="00B21CF7" w:rsidRPr="00AB3DAC">
        <w:rPr>
          <w:rFonts w:ascii="Verdana" w:hAnsi="Verdana"/>
          <w:szCs w:val="20"/>
          <w:lang w:val="en-GB" w:eastAsia="en-GB"/>
        </w:rPr>
        <w:t xml:space="preserve"> </w:t>
      </w:r>
      <w:r w:rsidRPr="00AB3DAC">
        <w:rPr>
          <w:rFonts w:ascii="Verdana" w:hAnsi="Verdana"/>
          <w:szCs w:val="20"/>
          <w:lang w:val="en-GB" w:eastAsia="en-GB"/>
        </w:rPr>
        <w:t>is the enormous expansion and diversifica</w:t>
      </w:r>
      <w:r w:rsidR="00B21CF7" w:rsidRPr="00AB3DAC">
        <w:rPr>
          <w:rFonts w:ascii="Verdana" w:hAnsi="Verdana"/>
          <w:szCs w:val="20"/>
          <w:lang w:val="en-GB" w:eastAsia="en-GB"/>
        </w:rPr>
        <w:t>tion of the system since the mid</w:t>
      </w:r>
      <w:r w:rsidR="00822A84" w:rsidRPr="00AB3DAC">
        <w:rPr>
          <w:rFonts w:ascii="Verdana" w:hAnsi="Verdana"/>
          <w:szCs w:val="20"/>
          <w:lang w:val="en-GB" w:eastAsia="en-GB"/>
        </w:rPr>
        <w:t>-</w:t>
      </w:r>
      <w:r w:rsidR="00B21CF7" w:rsidRPr="00AB3DAC">
        <w:rPr>
          <w:rFonts w:ascii="Verdana" w:hAnsi="Verdana"/>
          <w:szCs w:val="20"/>
          <w:lang w:val="en-GB" w:eastAsia="en-GB"/>
        </w:rPr>
        <w:t>1980s.</w:t>
      </w:r>
      <w:r w:rsidRPr="00AB3DAC">
        <w:rPr>
          <w:rFonts w:ascii="Verdana" w:hAnsi="Verdana"/>
          <w:szCs w:val="20"/>
          <w:lang w:val="en-GB" w:eastAsia="en-GB"/>
        </w:rPr>
        <w:t xml:space="preserve">  As well as the increase in the numbers of institutions awarding degrees and the number</w:t>
      </w:r>
      <w:r w:rsidR="00F8068D" w:rsidRPr="00AB3DAC">
        <w:rPr>
          <w:rFonts w:ascii="Verdana" w:hAnsi="Verdana"/>
          <w:szCs w:val="20"/>
          <w:lang w:val="en-GB" w:eastAsia="en-GB"/>
        </w:rPr>
        <w:t xml:space="preserve"> and range</w:t>
      </w:r>
      <w:r w:rsidRPr="00AB3DAC">
        <w:rPr>
          <w:rFonts w:ascii="Verdana" w:hAnsi="Verdana"/>
          <w:szCs w:val="20"/>
          <w:lang w:val="en-GB" w:eastAsia="en-GB"/>
        </w:rPr>
        <w:t xml:space="preserve"> of s</w:t>
      </w:r>
      <w:r w:rsidR="0055515A" w:rsidRPr="00AB3DAC">
        <w:rPr>
          <w:rFonts w:ascii="Verdana" w:hAnsi="Verdana"/>
          <w:szCs w:val="20"/>
          <w:lang w:val="en-GB" w:eastAsia="en-GB"/>
        </w:rPr>
        <w:t>ubjects and students</w:t>
      </w:r>
      <w:r w:rsidR="00CB01D0" w:rsidRPr="00AB3DAC">
        <w:rPr>
          <w:rFonts w:ascii="Verdana" w:hAnsi="Verdana"/>
          <w:szCs w:val="20"/>
          <w:lang w:val="en-GB" w:eastAsia="en-GB"/>
        </w:rPr>
        <w:t xml:space="preserve"> in the system, three developments</w:t>
      </w:r>
      <w:r w:rsidRPr="00AB3DAC">
        <w:rPr>
          <w:rFonts w:ascii="Verdana" w:hAnsi="Verdana"/>
          <w:szCs w:val="20"/>
          <w:lang w:val="en-GB" w:eastAsia="en-GB"/>
        </w:rPr>
        <w:t xml:space="preserve"> are of particular </w:t>
      </w:r>
      <w:r w:rsidRPr="00AB3DAC">
        <w:rPr>
          <w:rFonts w:ascii="Verdana" w:hAnsi="Verdana"/>
          <w:szCs w:val="20"/>
          <w:lang w:val="en-GB" w:eastAsia="en-GB"/>
        </w:rPr>
        <w:lastRenderedPageBreak/>
        <w:t>significance: (a) the increase in the categories of work being examined (invigilated exams, coursework, portfolios, projects, placements</w:t>
      </w:r>
      <w:r w:rsidR="00CE6A53" w:rsidRPr="00AB3DAC">
        <w:rPr>
          <w:rFonts w:ascii="Verdana" w:hAnsi="Verdana"/>
          <w:szCs w:val="20"/>
          <w:lang w:val="en-GB" w:eastAsia="en-GB"/>
        </w:rPr>
        <w:t>,</w:t>
      </w:r>
      <w:r w:rsidR="00CB01D0" w:rsidRPr="00AB3DAC">
        <w:rPr>
          <w:rFonts w:ascii="Verdana" w:hAnsi="Verdana"/>
          <w:szCs w:val="20"/>
          <w:lang w:val="en-GB" w:eastAsia="en-GB"/>
        </w:rPr>
        <w:t xml:space="preserve"> etc.)</w:t>
      </w:r>
      <w:r w:rsidR="002F78AA" w:rsidRPr="00AB3DAC">
        <w:rPr>
          <w:rFonts w:ascii="Verdana" w:hAnsi="Verdana"/>
          <w:szCs w:val="20"/>
          <w:lang w:val="en-GB" w:eastAsia="en-GB"/>
        </w:rPr>
        <w:t xml:space="preserve"> and an associated reduction in the breadth of the knowledge and understanding actually being assessed</w:t>
      </w:r>
      <w:r w:rsidRPr="00AB3DAC">
        <w:rPr>
          <w:rFonts w:ascii="Verdana" w:hAnsi="Verdana"/>
          <w:szCs w:val="20"/>
          <w:lang w:val="en-GB" w:eastAsia="en-GB"/>
        </w:rPr>
        <w:t xml:space="preserve"> </w:t>
      </w:r>
      <w:r w:rsidR="00C71029" w:rsidRPr="00AB3DAC">
        <w:rPr>
          <w:rFonts w:ascii="Verdana" w:hAnsi="Verdana"/>
          <w:szCs w:val="20"/>
          <w:lang w:val="en-GB" w:eastAsia="en-GB"/>
        </w:rPr>
        <w:t>at any one time</w:t>
      </w:r>
      <w:r w:rsidR="00BC3D30">
        <w:rPr>
          <w:rFonts w:ascii="Verdana" w:hAnsi="Verdana"/>
          <w:szCs w:val="20"/>
          <w:lang w:val="en-GB" w:eastAsia="en-GB"/>
        </w:rPr>
        <w:t>;</w:t>
      </w:r>
      <w:r w:rsidR="00C71029" w:rsidRPr="00AB3DAC">
        <w:rPr>
          <w:rFonts w:ascii="Verdana" w:hAnsi="Verdana"/>
          <w:szCs w:val="20"/>
          <w:lang w:val="en-GB" w:eastAsia="en-GB"/>
        </w:rPr>
        <w:t xml:space="preserve"> </w:t>
      </w:r>
      <w:r w:rsidRPr="00AB3DAC">
        <w:rPr>
          <w:rFonts w:ascii="Verdana" w:hAnsi="Verdana"/>
          <w:szCs w:val="20"/>
          <w:lang w:val="en-GB" w:eastAsia="en-GB"/>
        </w:rPr>
        <w:t>(b) the growth of joint, inter-</w:t>
      </w:r>
      <w:r w:rsidR="0055515A" w:rsidRPr="00AB3DAC">
        <w:rPr>
          <w:rFonts w:ascii="Verdana" w:hAnsi="Verdana"/>
          <w:szCs w:val="20"/>
          <w:lang w:val="en-GB" w:eastAsia="en-GB"/>
        </w:rPr>
        <w:t xml:space="preserve"> </w:t>
      </w:r>
      <w:r w:rsidRPr="00AB3DAC">
        <w:rPr>
          <w:rFonts w:ascii="Verdana" w:hAnsi="Verdana"/>
          <w:szCs w:val="20"/>
          <w:lang w:val="en-GB" w:eastAsia="en-GB"/>
        </w:rPr>
        <w:t>and multi-disc</w:t>
      </w:r>
      <w:r w:rsidR="00CB01D0" w:rsidRPr="00AB3DAC">
        <w:rPr>
          <w:rFonts w:ascii="Verdana" w:hAnsi="Verdana"/>
          <w:szCs w:val="20"/>
          <w:lang w:val="en-GB" w:eastAsia="en-GB"/>
        </w:rPr>
        <w:t>iplinary, and modular courses (m</w:t>
      </w:r>
      <w:r w:rsidRPr="00AB3DAC">
        <w:rPr>
          <w:rFonts w:ascii="Verdana" w:hAnsi="Verdana"/>
          <w:szCs w:val="20"/>
          <w:lang w:val="en-GB" w:eastAsia="en-GB"/>
        </w:rPr>
        <w:t>odularity in particular places considerable demands on external examiners historically recruited mainly for their subject standing, knowledge and expertise</w:t>
      </w:r>
      <w:r w:rsidR="00CB01D0" w:rsidRPr="00AB3DAC">
        <w:rPr>
          <w:rFonts w:ascii="Verdana" w:hAnsi="Verdana"/>
          <w:szCs w:val="20"/>
          <w:lang w:val="en-GB" w:eastAsia="en-GB"/>
        </w:rPr>
        <w:t>)</w:t>
      </w:r>
      <w:r w:rsidR="00BC3D30">
        <w:rPr>
          <w:rFonts w:ascii="Verdana" w:hAnsi="Verdana"/>
          <w:szCs w:val="20"/>
          <w:lang w:val="en-GB" w:eastAsia="en-GB"/>
        </w:rPr>
        <w:t>;</w:t>
      </w:r>
      <w:r w:rsidR="0055515A" w:rsidRPr="00AB3DAC">
        <w:rPr>
          <w:rFonts w:ascii="Verdana" w:hAnsi="Verdana"/>
          <w:szCs w:val="20"/>
          <w:lang w:val="en-GB" w:eastAsia="en-GB"/>
        </w:rPr>
        <w:t xml:space="preserve"> and</w:t>
      </w:r>
      <w:r w:rsidR="00CB01D0" w:rsidRPr="00AB3DAC">
        <w:rPr>
          <w:rFonts w:ascii="Verdana" w:hAnsi="Verdana"/>
          <w:szCs w:val="20"/>
          <w:lang w:val="en-GB" w:eastAsia="en-GB"/>
        </w:rPr>
        <w:t xml:space="preserve"> (c) the increased importance of such concepts as “enterprise”, “employability” and “transferable skills” to which conventional assessment methods, </w:t>
      </w:r>
      <w:r w:rsidR="00F8068D" w:rsidRPr="00AB3DAC">
        <w:rPr>
          <w:rFonts w:ascii="Verdana" w:hAnsi="Verdana"/>
          <w:szCs w:val="20"/>
          <w:lang w:val="en-GB" w:eastAsia="en-GB"/>
        </w:rPr>
        <w:t>concerned as they</w:t>
      </w:r>
      <w:r w:rsidR="004E3529" w:rsidRPr="00AB3DAC">
        <w:rPr>
          <w:rFonts w:ascii="Verdana" w:hAnsi="Verdana"/>
          <w:szCs w:val="20"/>
          <w:lang w:val="en-GB" w:eastAsia="en-GB"/>
        </w:rPr>
        <w:t xml:space="preserve"> mainly are with testing mastery of subject matter, may not be well suited.</w:t>
      </w:r>
      <w:r w:rsidR="00822A84" w:rsidRPr="00AB3DAC">
        <w:rPr>
          <w:rFonts w:ascii="Verdana" w:hAnsi="Verdana"/>
          <w:szCs w:val="20"/>
          <w:lang w:val="en-GB" w:eastAsia="en-GB"/>
        </w:rPr>
        <w:t xml:space="preserve"> The </w:t>
      </w:r>
      <w:r w:rsidR="00D30547" w:rsidRPr="00AB3DAC">
        <w:rPr>
          <w:rFonts w:ascii="Verdana" w:hAnsi="Verdana"/>
          <w:szCs w:val="20"/>
          <w:lang w:val="en-GB" w:eastAsia="en-GB"/>
        </w:rPr>
        <w:t>net result</w:t>
      </w:r>
      <w:r w:rsidR="00822A84" w:rsidRPr="00AB3DAC">
        <w:rPr>
          <w:rFonts w:ascii="Verdana" w:hAnsi="Verdana"/>
          <w:szCs w:val="20"/>
          <w:lang w:val="en-GB" w:eastAsia="en-GB"/>
        </w:rPr>
        <w:t xml:space="preserve"> is that, as the </w:t>
      </w:r>
      <w:r w:rsidR="002F78AA" w:rsidRPr="00AB3DAC">
        <w:rPr>
          <w:rFonts w:ascii="Verdana" w:hAnsi="Verdana"/>
          <w:szCs w:val="20"/>
          <w:lang w:val="en-GB" w:eastAsia="en-GB"/>
        </w:rPr>
        <w:t>“</w:t>
      </w:r>
      <w:r w:rsidR="00822A84" w:rsidRPr="00AB3DAC">
        <w:rPr>
          <w:rFonts w:ascii="Verdana" w:hAnsi="Verdana"/>
          <w:szCs w:val="20"/>
          <w:lang w:val="en-GB" w:eastAsia="en-GB"/>
        </w:rPr>
        <w:t>organising principle</w:t>
      </w:r>
      <w:r w:rsidR="002F78AA" w:rsidRPr="00AB3DAC">
        <w:rPr>
          <w:rFonts w:ascii="Verdana" w:hAnsi="Verdana"/>
          <w:szCs w:val="20"/>
          <w:lang w:val="en-GB" w:eastAsia="en-GB"/>
        </w:rPr>
        <w:t>”</w:t>
      </w:r>
      <w:r w:rsidR="00822A84" w:rsidRPr="00AB3DAC">
        <w:rPr>
          <w:rFonts w:ascii="Verdana" w:hAnsi="Verdana"/>
          <w:szCs w:val="20"/>
          <w:lang w:val="en-GB" w:eastAsia="en-GB"/>
        </w:rPr>
        <w:t xml:space="preserve"> of assessment, subject/discipline has given way to </w:t>
      </w:r>
      <w:r w:rsidR="002F78AA" w:rsidRPr="00AB3DAC">
        <w:rPr>
          <w:rFonts w:ascii="Verdana" w:hAnsi="Verdana"/>
          <w:szCs w:val="20"/>
          <w:lang w:val="en-GB" w:eastAsia="en-GB"/>
        </w:rPr>
        <w:t xml:space="preserve">institutional </w:t>
      </w:r>
      <w:r w:rsidR="00BC3D30">
        <w:rPr>
          <w:rFonts w:ascii="Verdana" w:hAnsi="Verdana"/>
          <w:szCs w:val="20"/>
          <w:lang w:val="en-GB" w:eastAsia="en-GB"/>
        </w:rPr>
        <w:t>regulations and exam rules.</w:t>
      </w:r>
    </w:p>
    <w:p w:rsidR="004E3529" w:rsidRPr="00AB3DAC" w:rsidRDefault="00F451D0"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The third </w:t>
      </w:r>
      <w:r w:rsidR="0055515A" w:rsidRPr="00AB3DAC">
        <w:rPr>
          <w:rFonts w:ascii="Verdana" w:hAnsi="Verdana"/>
          <w:szCs w:val="20"/>
          <w:lang w:val="en-GB" w:eastAsia="en-GB"/>
        </w:rPr>
        <w:t xml:space="preserve">factor affecting comparability </w:t>
      </w:r>
      <w:r w:rsidRPr="00AB3DAC">
        <w:rPr>
          <w:rFonts w:ascii="Verdana" w:hAnsi="Verdana"/>
          <w:szCs w:val="20"/>
          <w:lang w:val="en-GB" w:eastAsia="en-GB"/>
        </w:rPr>
        <w:t>is the</w:t>
      </w:r>
      <w:r w:rsidR="00E2229A" w:rsidRPr="00AB3DAC">
        <w:rPr>
          <w:rFonts w:ascii="Verdana" w:hAnsi="Verdana"/>
          <w:szCs w:val="20"/>
          <w:lang w:val="en-GB" w:eastAsia="en-GB"/>
        </w:rPr>
        <w:t xml:space="preserve"> increased competitive pressure</w:t>
      </w:r>
      <w:r w:rsidRPr="00AB3DAC">
        <w:rPr>
          <w:rFonts w:ascii="Verdana" w:hAnsi="Verdana"/>
          <w:szCs w:val="20"/>
          <w:lang w:val="en-GB" w:eastAsia="en-GB"/>
        </w:rPr>
        <w:t xml:space="preserve"> on institutions associated with variable fees and bursaries, leagu</w:t>
      </w:r>
      <w:r w:rsidR="00E2229A" w:rsidRPr="00AB3DAC">
        <w:rPr>
          <w:rFonts w:ascii="Verdana" w:hAnsi="Verdana"/>
          <w:szCs w:val="20"/>
          <w:lang w:val="en-GB" w:eastAsia="en-GB"/>
        </w:rPr>
        <w:t>e tables, resourcing</w:t>
      </w:r>
      <w:r w:rsidRPr="00AB3DAC">
        <w:rPr>
          <w:rFonts w:ascii="Verdana" w:hAnsi="Verdana"/>
          <w:szCs w:val="20"/>
          <w:lang w:val="en-GB" w:eastAsia="en-GB"/>
        </w:rPr>
        <w:t xml:space="preserve"> and gre</w:t>
      </w:r>
      <w:r w:rsidR="002C4E2E" w:rsidRPr="00AB3DAC">
        <w:rPr>
          <w:rFonts w:ascii="Verdana" w:hAnsi="Verdana"/>
          <w:szCs w:val="20"/>
          <w:lang w:val="en-GB" w:eastAsia="en-GB"/>
        </w:rPr>
        <w:t>ater commercialisation.  T</w:t>
      </w:r>
      <w:r w:rsidRPr="00AB3DAC">
        <w:rPr>
          <w:rFonts w:ascii="Verdana" w:hAnsi="Verdana"/>
          <w:szCs w:val="20"/>
          <w:lang w:val="en-GB" w:eastAsia="en-GB"/>
        </w:rPr>
        <w:t>hese</w:t>
      </w:r>
      <w:r w:rsidR="002C4E2E" w:rsidRPr="00AB3DAC">
        <w:rPr>
          <w:rFonts w:ascii="Verdana" w:hAnsi="Verdana"/>
          <w:szCs w:val="20"/>
          <w:lang w:val="en-GB" w:eastAsia="en-GB"/>
        </w:rPr>
        <w:t xml:space="preserve"> pressures</w:t>
      </w:r>
      <w:r w:rsidR="00E2229A" w:rsidRPr="00AB3DAC">
        <w:rPr>
          <w:rFonts w:ascii="Verdana" w:hAnsi="Verdana"/>
          <w:szCs w:val="20"/>
          <w:lang w:val="en-GB" w:eastAsia="en-GB"/>
        </w:rPr>
        <w:t>, and particularly the evidence (</w:t>
      </w:r>
      <w:r w:rsidR="002C4E2E" w:rsidRPr="00AB3DAC">
        <w:rPr>
          <w:rFonts w:ascii="Verdana" w:hAnsi="Verdana"/>
          <w:szCs w:val="20"/>
          <w:lang w:val="en-GB" w:eastAsia="en-GB"/>
        </w:rPr>
        <w:t>in a small number</w:t>
      </w:r>
      <w:r w:rsidRPr="00AB3DAC">
        <w:rPr>
          <w:rFonts w:ascii="Verdana" w:hAnsi="Verdana"/>
          <w:szCs w:val="20"/>
          <w:lang w:val="en-GB" w:eastAsia="en-GB"/>
        </w:rPr>
        <w:t xml:space="preserve"> of</w:t>
      </w:r>
      <w:r w:rsidR="007D4004" w:rsidRPr="00AB3DAC">
        <w:rPr>
          <w:rFonts w:ascii="Verdana" w:hAnsi="Verdana"/>
          <w:szCs w:val="20"/>
          <w:lang w:val="en-GB" w:eastAsia="en-GB"/>
        </w:rPr>
        <w:t xml:space="preserve"> </w:t>
      </w:r>
      <w:r w:rsidR="00E2229A" w:rsidRPr="00AB3DAC">
        <w:rPr>
          <w:rFonts w:ascii="Verdana" w:hAnsi="Verdana"/>
          <w:szCs w:val="20"/>
          <w:lang w:val="en-GB" w:eastAsia="en-GB"/>
        </w:rPr>
        <w:t>cases)</w:t>
      </w:r>
      <w:r w:rsidR="002C4E2E" w:rsidRPr="00AB3DAC">
        <w:rPr>
          <w:rFonts w:ascii="Verdana" w:hAnsi="Verdana"/>
          <w:szCs w:val="20"/>
          <w:lang w:val="en-GB" w:eastAsia="en-GB"/>
        </w:rPr>
        <w:t xml:space="preserve"> of management intervention </w:t>
      </w:r>
      <w:r w:rsidRPr="00AB3DAC">
        <w:rPr>
          <w:rFonts w:ascii="Verdana" w:hAnsi="Verdana"/>
          <w:szCs w:val="20"/>
          <w:lang w:val="en-GB" w:eastAsia="en-GB"/>
        </w:rPr>
        <w:t>in academic j</w:t>
      </w:r>
      <w:r w:rsidR="002C4E2E" w:rsidRPr="00AB3DAC">
        <w:rPr>
          <w:rFonts w:ascii="Verdana" w:hAnsi="Verdana"/>
          <w:szCs w:val="20"/>
          <w:lang w:val="en-GB" w:eastAsia="en-GB"/>
        </w:rPr>
        <w:t>udgments on standards, were</w:t>
      </w:r>
      <w:r w:rsidRPr="00AB3DAC">
        <w:rPr>
          <w:rFonts w:ascii="Verdana" w:hAnsi="Verdana"/>
          <w:szCs w:val="20"/>
          <w:lang w:val="en-GB" w:eastAsia="en-GB"/>
        </w:rPr>
        <w:t xml:space="preserve"> one </w:t>
      </w:r>
      <w:r w:rsidR="00E2229A" w:rsidRPr="00AB3DAC">
        <w:rPr>
          <w:rFonts w:ascii="Verdana" w:hAnsi="Verdana"/>
          <w:szCs w:val="20"/>
          <w:lang w:val="en-GB" w:eastAsia="en-GB"/>
        </w:rPr>
        <w:t xml:space="preserve">of the main causes of </w:t>
      </w:r>
      <w:r w:rsidRPr="00AB3DAC">
        <w:rPr>
          <w:rFonts w:ascii="Verdana" w:hAnsi="Verdana"/>
          <w:szCs w:val="20"/>
          <w:lang w:val="en-GB" w:eastAsia="en-GB"/>
        </w:rPr>
        <w:t>the Select C</w:t>
      </w:r>
      <w:r w:rsidR="00E2229A" w:rsidRPr="00AB3DAC">
        <w:rPr>
          <w:rFonts w:ascii="Verdana" w:hAnsi="Verdana"/>
          <w:szCs w:val="20"/>
          <w:lang w:val="en-GB" w:eastAsia="en-GB"/>
        </w:rPr>
        <w:t>ommittee inquiry</w:t>
      </w:r>
      <w:r w:rsidRPr="00AB3DAC">
        <w:rPr>
          <w:rFonts w:ascii="Verdana" w:hAnsi="Verdana"/>
          <w:szCs w:val="20"/>
          <w:lang w:val="en-GB" w:eastAsia="en-GB"/>
        </w:rPr>
        <w:t>.</w:t>
      </w:r>
      <w:r w:rsidR="00D30547" w:rsidRPr="00AB3DAC">
        <w:rPr>
          <w:rFonts w:ascii="Verdana" w:hAnsi="Verdana"/>
          <w:szCs w:val="20"/>
          <w:lang w:val="en-GB" w:eastAsia="en-GB"/>
        </w:rPr>
        <w:t xml:space="preserve"> Increased “marketisation” is almost certain to lead to greater variations in standards at the same time as challenging the peer review structures that are the ultimate guarantor of quality (in a commercial marketplace, one legitimate response to competition is to reduce quality at the same time as maintaining price</w:t>
      </w:r>
      <w:r w:rsidR="00BC3D30">
        <w:rPr>
          <w:rFonts w:ascii="Verdana" w:hAnsi="Verdana"/>
          <w:szCs w:val="20"/>
          <w:lang w:val="en-GB" w:eastAsia="en-GB"/>
        </w:rPr>
        <w:t>).</w:t>
      </w:r>
    </w:p>
    <w:p w:rsidR="004E3529" w:rsidRPr="00AB3DAC" w:rsidRDefault="002F78AA"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Together, these factors are a response to </w:t>
      </w:r>
      <w:r w:rsidR="004E3529" w:rsidRPr="00AB3DAC">
        <w:rPr>
          <w:rFonts w:ascii="Verdana" w:hAnsi="Verdana"/>
          <w:szCs w:val="20"/>
          <w:lang w:val="en-GB" w:eastAsia="en-GB"/>
        </w:rPr>
        <w:t xml:space="preserve">national policies to expand the system, diversify provision, </w:t>
      </w:r>
      <w:r w:rsidR="00D30547" w:rsidRPr="00AB3DAC">
        <w:rPr>
          <w:rFonts w:ascii="Verdana" w:hAnsi="Verdana"/>
          <w:szCs w:val="20"/>
          <w:lang w:val="en-GB" w:eastAsia="en-GB"/>
        </w:rPr>
        <w:t xml:space="preserve">increase efficiency, </w:t>
      </w:r>
      <w:r w:rsidR="004E3529" w:rsidRPr="00AB3DAC">
        <w:rPr>
          <w:rFonts w:ascii="Verdana" w:hAnsi="Verdana"/>
          <w:szCs w:val="20"/>
          <w:lang w:val="en-GB" w:eastAsia="en-GB"/>
        </w:rPr>
        <w:t>make the curriculum more responsive to perce</w:t>
      </w:r>
      <w:r w:rsidR="00D30547" w:rsidRPr="00AB3DAC">
        <w:rPr>
          <w:rFonts w:ascii="Verdana" w:hAnsi="Verdana"/>
          <w:szCs w:val="20"/>
          <w:lang w:val="en-GB" w:eastAsia="en-GB"/>
        </w:rPr>
        <w:t>ived economic needs, and enlarg</w:t>
      </w:r>
      <w:r w:rsidR="004E3529" w:rsidRPr="00AB3DAC">
        <w:rPr>
          <w:rFonts w:ascii="Verdana" w:hAnsi="Verdana"/>
          <w:szCs w:val="20"/>
          <w:lang w:val="en-GB" w:eastAsia="en-GB"/>
        </w:rPr>
        <w:t>e student choice</w:t>
      </w:r>
      <w:r w:rsidR="00822A84" w:rsidRPr="00AB3DAC">
        <w:rPr>
          <w:rFonts w:ascii="Verdana" w:hAnsi="Verdana"/>
          <w:szCs w:val="20"/>
          <w:lang w:val="en-GB" w:eastAsia="en-GB"/>
        </w:rPr>
        <w:t xml:space="preserve"> at the same time as res</w:t>
      </w:r>
      <w:r w:rsidR="00D30547" w:rsidRPr="00AB3DAC">
        <w:rPr>
          <w:rFonts w:ascii="Verdana" w:hAnsi="Verdana"/>
          <w:szCs w:val="20"/>
          <w:lang w:val="en-GB" w:eastAsia="en-GB"/>
        </w:rPr>
        <w:t xml:space="preserve">ources have been constrained and successful </w:t>
      </w:r>
      <w:r w:rsidR="00822A84" w:rsidRPr="00AB3DAC">
        <w:rPr>
          <w:rFonts w:ascii="Verdana" w:hAnsi="Verdana"/>
          <w:szCs w:val="20"/>
          <w:lang w:val="en-GB" w:eastAsia="en-GB"/>
        </w:rPr>
        <w:t xml:space="preserve">performance in research has continued to take priority </w:t>
      </w:r>
      <w:r w:rsidR="00E2229A" w:rsidRPr="00AB3DAC">
        <w:rPr>
          <w:rFonts w:ascii="Verdana" w:hAnsi="Verdana"/>
          <w:szCs w:val="20"/>
          <w:lang w:val="en-GB" w:eastAsia="en-GB"/>
        </w:rPr>
        <w:t xml:space="preserve">in many institutions over </w:t>
      </w:r>
      <w:r w:rsidR="00D30547" w:rsidRPr="00AB3DAC">
        <w:rPr>
          <w:rFonts w:ascii="Verdana" w:hAnsi="Verdana"/>
          <w:szCs w:val="20"/>
          <w:lang w:val="en-GB" w:eastAsia="en-GB"/>
        </w:rPr>
        <w:t>pedagogical effectiveness</w:t>
      </w:r>
      <w:r w:rsidR="004E3529" w:rsidRPr="00AB3DAC">
        <w:rPr>
          <w:rFonts w:ascii="Verdana" w:hAnsi="Verdana"/>
          <w:szCs w:val="20"/>
          <w:lang w:val="en-GB" w:eastAsia="en-GB"/>
        </w:rPr>
        <w:t>. What they mean in a s</w:t>
      </w:r>
      <w:r w:rsidR="00822A84" w:rsidRPr="00AB3DAC">
        <w:rPr>
          <w:rFonts w:ascii="Verdana" w:hAnsi="Verdana"/>
          <w:szCs w:val="20"/>
          <w:lang w:val="en-GB" w:eastAsia="en-GB"/>
        </w:rPr>
        <w:t>tandards context is that whilst the desire for</w:t>
      </w:r>
      <w:r w:rsidR="004E3529" w:rsidRPr="00AB3DAC">
        <w:rPr>
          <w:rFonts w:ascii="Verdana" w:hAnsi="Verdana"/>
          <w:szCs w:val="20"/>
          <w:lang w:val="en-GB" w:eastAsia="en-GB"/>
        </w:rPr>
        <w:t xml:space="preserve"> some degree of</w:t>
      </w:r>
      <w:r w:rsidR="00822A84" w:rsidRPr="00AB3DAC">
        <w:rPr>
          <w:rFonts w:ascii="Verdana" w:hAnsi="Verdana"/>
          <w:szCs w:val="20"/>
          <w:lang w:val="en-GB" w:eastAsia="en-GB"/>
        </w:rPr>
        <w:t xml:space="preserve"> comparability has remain</w:t>
      </w:r>
      <w:r w:rsidR="004E3529" w:rsidRPr="00AB3DAC">
        <w:rPr>
          <w:rFonts w:ascii="Verdana" w:hAnsi="Verdana"/>
          <w:szCs w:val="20"/>
          <w:lang w:val="en-GB" w:eastAsia="en-GB"/>
        </w:rPr>
        <w:t>ed</w:t>
      </w:r>
      <w:r w:rsidR="00822A84" w:rsidRPr="00AB3DAC">
        <w:rPr>
          <w:rFonts w:ascii="Verdana" w:hAnsi="Verdana"/>
          <w:szCs w:val="20"/>
          <w:lang w:val="en-GB" w:eastAsia="en-GB"/>
        </w:rPr>
        <w:t xml:space="preserve"> (and even in some respects increased</w:t>
      </w:r>
      <w:r w:rsidR="00D30547" w:rsidRPr="00AB3DAC">
        <w:rPr>
          <w:rFonts w:ascii="Verdana" w:hAnsi="Verdana"/>
          <w:szCs w:val="20"/>
          <w:lang w:val="en-GB" w:eastAsia="en-GB"/>
        </w:rPr>
        <w:t>, as the system has expanded</w:t>
      </w:r>
      <w:r w:rsidR="00E2229A" w:rsidRPr="00AB3DAC">
        <w:rPr>
          <w:rFonts w:ascii="Verdana" w:hAnsi="Verdana"/>
          <w:szCs w:val="20"/>
          <w:lang w:val="en-GB" w:eastAsia="en-GB"/>
        </w:rPr>
        <w:t xml:space="preserve"> and become more diverse</w:t>
      </w:r>
      <w:r w:rsidR="00822A84" w:rsidRPr="00AB3DAC">
        <w:rPr>
          <w:rFonts w:ascii="Verdana" w:hAnsi="Verdana"/>
          <w:szCs w:val="20"/>
          <w:lang w:val="en-GB" w:eastAsia="en-GB"/>
        </w:rPr>
        <w:t>)</w:t>
      </w:r>
      <w:r w:rsidR="004E3529" w:rsidRPr="00AB3DAC">
        <w:rPr>
          <w:rFonts w:ascii="Verdana" w:hAnsi="Verdana"/>
          <w:szCs w:val="20"/>
          <w:lang w:val="en-GB" w:eastAsia="en-GB"/>
        </w:rPr>
        <w:t>, the ability to achieve it has diminished, ipso facto.</w:t>
      </w:r>
      <w:r w:rsidR="00E2229A" w:rsidRPr="00AB3DAC">
        <w:rPr>
          <w:rFonts w:ascii="Verdana" w:hAnsi="Verdana"/>
          <w:szCs w:val="20"/>
          <w:lang w:val="en-GB" w:eastAsia="en-GB"/>
        </w:rPr>
        <w:t xml:space="preserve"> How feasible is it to retain </w:t>
      </w:r>
      <w:r w:rsidR="00D30547" w:rsidRPr="00AB3DAC">
        <w:rPr>
          <w:rFonts w:ascii="Verdana" w:hAnsi="Verdana"/>
          <w:szCs w:val="20"/>
          <w:lang w:val="en-GB" w:eastAsia="en-GB"/>
        </w:rPr>
        <w:t>(</w:t>
      </w:r>
      <w:r w:rsidR="00E2229A" w:rsidRPr="00AB3DAC">
        <w:rPr>
          <w:rFonts w:ascii="Verdana" w:hAnsi="Verdana"/>
          <w:szCs w:val="20"/>
          <w:lang w:val="en-GB" w:eastAsia="en-GB"/>
        </w:rPr>
        <w:t>or regain</w:t>
      </w:r>
      <w:r w:rsidR="00D30547" w:rsidRPr="00AB3DAC">
        <w:rPr>
          <w:rFonts w:ascii="Verdana" w:hAnsi="Verdana"/>
          <w:szCs w:val="20"/>
          <w:lang w:val="en-GB" w:eastAsia="en-GB"/>
        </w:rPr>
        <w:t>)</w:t>
      </w:r>
      <w:r w:rsidR="00E2229A" w:rsidRPr="00AB3DAC">
        <w:rPr>
          <w:rFonts w:ascii="Verdana" w:hAnsi="Verdana"/>
          <w:szCs w:val="20"/>
          <w:lang w:val="en-GB" w:eastAsia="en-GB"/>
        </w:rPr>
        <w:t xml:space="preserve"> real comparability?</w:t>
      </w:r>
    </w:p>
    <w:p w:rsidR="00E2229A" w:rsidRPr="00AB3DAC" w:rsidRDefault="00AB3DAC" w:rsidP="00AB3DAC">
      <w:pPr>
        <w:pStyle w:val="Heading2"/>
        <w:spacing w:before="120" w:line="240" w:lineRule="auto"/>
        <w:rPr>
          <w:rFonts w:ascii="Verdana" w:hAnsi="Verdana" w:cs="Arial"/>
          <w:bCs w:val="0"/>
          <w:sz w:val="24"/>
          <w:szCs w:val="28"/>
        </w:rPr>
      </w:pPr>
      <w:r>
        <w:rPr>
          <w:rFonts w:ascii="Verdana" w:hAnsi="Verdana" w:cs="Arial"/>
          <w:bCs w:val="0"/>
          <w:sz w:val="24"/>
          <w:szCs w:val="28"/>
        </w:rPr>
        <w:t>Part</w:t>
      </w:r>
      <w:r w:rsidR="004E3529" w:rsidRPr="00AB3DAC">
        <w:rPr>
          <w:rFonts w:ascii="Verdana" w:hAnsi="Verdana" w:cs="Arial"/>
          <w:bCs w:val="0"/>
          <w:sz w:val="24"/>
          <w:szCs w:val="28"/>
        </w:rPr>
        <w:t xml:space="preserve"> 2</w:t>
      </w:r>
      <w:r>
        <w:rPr>
          <w:rFonts w:ascii="Verdana" w:hAnsi="Verdana" w:cs="Arial"/>
          <w:bCs w:val="0"/>
          <w:sz w:val="24"/>
          <w:szCs w:val="28"/>
        </w:rPr>
        <w:t xml:space="preserve">: </w:t>
      </w:r>
      <w:r w:rsidR="00F451D0" w:rsidRPr="00AB3DAC">
        <w:rPr>
          <w:rFonts w:ascii="Verdana" w:hAnsi="Verdana" w:cs="Arial"/>
          <w:bCs w:val="0"/>
          <w:sz w:val="24"/>
          <w:szCs w:val="28"/>
        </w:rPr>
        <w:t>Respon</w:t>
      </w:r>
      <w:r w:rsidR="006428C7" w:rsidRPr="00AB3DAC">
        <w:rPr>
          <w:rFonts w:ascii="Verdana" w:hAnsi="Verdana" w:cs="Arial"/>
          <w:bCs w:val="0"/>
          <w:sz w:val="24"/>
          <w:szCs w:val="28"/>
        </w:rPr>
        <w:t>s</w:t>
      </w:r>
      <w:r w:rsidR="00F451D0" w:rsidRPr="00AB3DAC">
        <w:rPr>
          <w:rFonts w:ascii="Verdana" w:hAnsi="Verdana" w:cs="Arial"/>
          <w:bCs w:val="0"/>
          <w:sz w:val="24"/>
          <w:szCs w:val="28"/>
        </w:rPr>
        <w:t xml:space="preserve">es to these </w:t>
      </w:r>
      <w:r>
        <w:rPr>
          <w:rFonts w:ascii="Verdana" w:hAnsi="Verdana" w:cs="Arial"/>
          <w:bCs w:val="0"/>
          <w:sz w:val="24"/>
          <w:szCs w:val="28"/>
        </w:rPr>
        <w:t>p</w:t>
      </w:r>
      <w:r w:rsidR="00F451D0" w:rsidRPr="00AB3DAC">
        <w:rPr>
          <w:rFonts w:ascii="Verdana" w:hAnsi="Verdana" w:cs="Arial"/>
          <w:bCs w:val="0"/>
          <w:sz w:val="24"/>
          <w:szCs w:val="28"/>
        </w:rPr>
        <w:t>ressures</w:t>
      </w:r>
    </w:p>
    <w:p w:rsidR="002E096E" w:rsidRPr="00AB3DAC" w:rsidRDefault="002E096E"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In principle, genuine comparability of degree standards would require each of the following conditions to be met:</w:t>
      </w:r>
    </w:p>
    <w:p w:rsidR="00B75F97" w:rsidRPr="00AB3DAC" w:rsidRDefault="006346B1"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There would need to be comparability</w:t>
      </w:r>
      <w:r w:rsidR="002E096E" w:rsidRPr="00AB3DAC">
        <w:rPr>
          <w:rFonts w:ascii="Verdana" w:hAnsi="Verdana"/>
          <w:szCs w:val="20"/>
          <w:lang w:val="en-GB" w:eastAsia="en-GB"/>
        </w:rPr>
        <w:t xml:space="preserve"> of standards within all the components of a degree programme</w:t>
      </w:r>
      <w:r w:rsidRPr="00AB3DAC">
        <w:rPr>
          <w:rFonts w:ascii="Verdana" w:hAnsi="Verdana"/>
          <w:szCs w:val="20"/>
          <w:lang w:val="en-GB" w:eastAsia="en-GB"/>
        </w:rPr>
        <w:t xml:space="preserve"> (including options)</w:t>
      </w:r>
      <w:r w:rsidR="002E096E" w:rsidRPr="00AB3DAC">
        <w:rPr>
          <w:rFonts w:ascii="Verdana" w:hAnsi="Verdana"/>
          <w:szCs w:val="20"/>
          <w:lang w:val="en-GB" w:eastAsia="en-GB"/>
        </w:rPr>
        <w:t xml:space="preserve"> </w:t>
      </w:r>
      <w:r w:rsidR="002F78AA" w:rsidRPr="00AB3DAC">
        <w:rPr>
          <w:rFonts w:ascii="Verdana" w:hAnsi="Verdana"/>
          <w:szCs w:val="20"/>
          <w:lang w:val="en-GB" w:eastAsia="en-GB"/>
        </w:rPr>
        <w:t>within an institution</w:t>
      </w:r>
      <w:r w:rsidR="00BC3D30">
        <w:rPr>
          <w:rFonts w:ascii="Verdana" w:hAnsi="Verdana"/>
          <w:szCs w:val="20"/>
          <w:lang w:val="en-GB" w:eastAsia="en-GB"/>
        </w:rPr>
        <w:t>;</w:t>
      </w:r>
    </w:p>
    <w:p w:rsidR="00B75F97" w:rsidRPr="00AB3DAC" w:rsidRDefault="00B75F97"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There would n</w:t>
      </w:r>
      <w:r w:rsidR="006346B1" w:rsidRPr="00AB3DAC">
        <w:rPr>
          <w:rFonts w:ascii="Verdana" w:hAnsi="Verdana"/>
          <w:szCs w:val="20"/>
          <w:lang w:val="en-GB" w:eastAsia="en-GB"/>
        </w:rPr>
        <w:t>eed to be comparability</w:t>
      </w:r>
      <w:r w:rsidRPr="00AB3DAC">
        <w:rPr>
          <w:rFonts w:ascii="Verdana" w:hAnsi="Verdana"/>
          <w:szCs w:val="20"/>
          <w:lang w:val="en-GB" w:eastAsia="en-GB"/>
        </w:rPr>
        <w:t xml:space="preserve"> in the standards required in the degree programme followed over several years</w:t>
      </w:r>
      <w:r w:rsidR="00BC3D30">
        <w:rPr>
          <w:rFonts w:ascii="Verdana" w:hAnsi="Verdana"/>
          <w:szCs w:val="20"/>
          <w:lang w:val="en-GB" w:eastAsia="en-GB"/>
        </w:rPr>
        <w:t>;</w:t>
      </w:r>
    </w:p>
    <w:p w:rsidR="00B75F97" w:rsidRPr="00AB3DAC" w:rsidRDefault="00B75F97"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lastRenderedPageBreak/>
        <w:t>T</w:t>
      </w:r>
      <w:r w:rsidR="00963090" w:rsidRPr="00AB3DAC">
        <w:rPr>
          <w:rFonts w:ascii="Verdana" w:hAnsi="Verdana"/>
          <w:szCs w:val="20"/>
          <w:lang w:val="en-GB" w:eastAsia="en-GB"/>
        </w:rPr>
        <w:t>here would need to be comparabilit</w:t>
      </w:r>
      <w:r w:rsidRPr="00AB3DAC">
        <w:rPr>
          <w:rFonts w:ascii="Verdana" w:hAnsi="Verdana"/>
          <w:szCs w:val="20"/>
          <w:lang w:val="en-GB" w:eastAsia="en-GB"/>
        </w:rPr>
        <w:t>y in the standards aimed at and achieved in similar programmes in the same subject in different institutions. The programmes would need to be taught by all the relevant institutions to a similar level and the work marked to similar standards</w:t>
      </w:r>
      <w:r w:rsidR="002A5A8A" w:rsidRPr="00AB3DAC">
        <w:rPr>
          <w:rFonts w:ascii="Verdana" w:hAnsi="Verdana"/>
          <w:szCs w:val="20"/>
          <w:lang w:val="en-GB" w:eastAsia="en-GB"/>
        </w:rPr>
        <w:t>. A</w:t>
      </w:r>
      <w:r w:rsidR="00C61177" w:rsidRPr="00AB3DAC">
        <w:rPr>
          <w:rFonts w:ascii="Verdana" w:hAnsi="Verdana"/>
          <w:szCs w:val="20"/>
          <w:lang w:val="en-GB" w:eastAsia="en-GB"/>
        </w:rPr>
        <w:t xml:space="preserve"> student emerging with a degree </w:t>
      </w:r>
      <w:r w:rsidR="00131DEE" w:rsidRPr="00AB3DAC">
        <w:rPr>
          <w:rFonts w:ascii="Verdana" w:hAnsi="Verdana"/>
          <w:szCs w:val="20"/>
          <w:lang w:val="en-GB" w:eastAsia="en-GB"/>
        </w:rPr>
        <w:t xml:space="preserve">in a particular subject </w:t>
      </w:r>
      <w:r w:rsidR="002F78AA" w:rsidRPr="00AB3DAC">
        <w:rPr>
          <w:rFonts w:ascii="Verdana" w:hAnsi="Verdana"/>
          <w:szCs w:val="20"/>
          <w:lang w:val="en-GB" w:eastAsia="en-GB"/>
        </w:rPr>
        <w:t>from any institution would</w:t>
      </w:r>
      <w:r w:rsidR="00C61177" w:rsidRPr="00AB3DAC">
        <w:rPr>
          <w:rFonts w:ascii="Verdana" w:hAnsi="Verdana"/>
          <w:szCs w:val="20"/>
          <w:lang w:val="en-GB" w:eastAsia="en-GB"/>
        </w:rPr>
        <w:t xml:space="preserve"> need to have achieved the same level of knowledge and understanding as students in </w:t>
      </w:r>
      <w:r w:rsidR="00C71029" w:rsidRPr="00AB3DAC">
        <w:rPr>
          <w:rFonts w:ascii="Verdana" w:hAnsi="Verdana"/>
          <w:szCs w:val="20"/>
          <w:lang w:val="en-GB" w:eastAsia="en-GB"/>
        </w:rPr>
        <w:t xml:space="preserve">that subject in all other institutions </w:t>
      </w:r>
      <w:r w:rsidR="00BC3D30">
        <w:rPr>
          <w:rFonts w:ascii="Verdana" w:hAnsi="Verdana"/>
          <w:szCs w:val="20"/>
          <w:lang w:val="en-GB" w:eastAsia="en-GB"/>
        </w:rPr>
        <w:t>;</w:t>
      </w:r>
    </w:p>
    <w:p w:rsidR="00B75F97" w:rsidRPr="00AB3DAC" w:rsidRDefault="00B75F97" w:rsidP="00AB3DAC">
      <w:pPr>
        <w:pStyle w:val="BodyText"/>
        <w:numPr>
          <w:ilvl w:val="1"/>
          <w:numId w:val="17"/>
        </w:numPr>
        <w:spacing w:before="0" w:line="300" w:lineRule="atLeast"/>
        <w:rPr>
          <w:rFonts w:ascii="Verdana" w:hAnsi="Verdana"/>
          <w:szCs w:val="20"/>
          <w:lang w:val="en-GB" w:eastAsia="en-GB"/>
        </w:rPr>
      </w:pPr>
      <w:r w:rsidRPr="00AB3DAC">
        <w:rPr>
          <w:rFonts w:ascii="Verdana" w:hAnsi="Verdana"/>
          <w:szCs w:val="20"/>
          <w:lang w:val="en-GB" w:eastAsia="en-GB"/>
        </w:rPr>
        <w:t>T</w:t>
      </w:r>
      <w:r w:rsidR="00963090" w:rsidRPr="00AB3DAC">
        <w:rPr>
          <w:rFonts w:ascii="Verdana" w:hAnsi="Verdana"/>
          <w:szCs w:val="20"/>
          <w:lang w:val="en-GB" w:eastAsia="en-GB"/>
        </w:rPr>
        <w:t>here would need to be comparabilit</w:t>
      </w:r>
      <w:r w:rsidRPr="00AB3DAC">
        <w:rPr>
          <w:rFonts w:ascii="Verdana" w:hAnsi="Verdana"/>
          <w:szCs w:val="20"/>
          <w:lang w:val="en-GB" w:eastAsia="en-GB"/>
        </w:rPr>
        <w:t>y in the standards aimed at and achie</w:t>
      </w:r>
      <w:r w:rsidR="00963090" w:rsidRPr="00AB3DAC">
        <w:rPr>
          <w:rFonts w:ascii="Verdana" w:hAnsi="Verdana"/>
          <w:szCs w:val="20"/>
          <w:lang w:val="en-GB" w:eastAsia="en-GB"/>
        </w:rPr>
        <w:t xml:space="preserve">ved in different subjects both within an institution and </w:t>
      </w:r>
      <w:r w:rsidRPr="00AB3DAC">
        <w:rPr>
          <w:rFonts w:ascii="Verdana" w:hAnsi="Verdana"/>
          <w:szCs w:val="20"/>
          <w:lang w:val="en-GB" w:eastAsia="en-GB"/>
        </w:rPr>
        <w:t>across</w:t>
      </w:r>
      <w:r w:rsidR="00BC3D30">
        <w:rPr>
          <w:rFonts w:ascii="Verdana" w:hAnsi="Verdana"/>
          <w:szCs w:val="20"/>
          <w:lang w:val="en-GB" w:eastAsia="en-GB"/>
        </w:rPr>
        <w:t xml:space="preserve"> the sector</w:t>
      </w:r>
      <w:r w:rsidRPr="00AB3DAC">
        <w:rPr>
          <w:rFonts w:ascii="Verdana" w:hAnsi="Verdana"/>
          <w:szCs w:val="20"/>
          <w:lang w:val="en-GB" w:eastAsia="en-GB"/>
        </w:rPr>
        <w:t>.</w:t>
      </w:r>
    </w:p>
    <w:p w:rsidR="00EF7DBA" w:rsidRDefault="00963090"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Comparabilit</w:t>
      </w:r>
      <w:r w:rsidR="00B75F97" w:rsidRPr="00AB3DAC">
        <w:rPr>
          <w:rFonts w:ascii="Verdana" w:hAnsi="Verdana"/>
          <w:szCs w:val="20"/>
          <w:lang w:val="en-GB" w:eastAsia="en-GB"/>
        </w:rPr>
        <w:t>y within a single degree programme in a single institution should in principle be achievable. However, the extensive evidence about internal variability of assessments makes it seem unlikely that it is often a</w:t>
      </w:r>
      <w:r w:rsidRPr="00AB3DAC">
        <w:rPr>
          <w:rFonts w:ascii="Verdana" w:hAnsi="Verdana"/>
          <w:szCs w:val="20"/>
          <w:lang w:val="en-GB" w:eastAsia="en-GB"/>
        </w:rPr>
        <w:t xml:space="preserve">chieved in practice. </w:t>
      </w:r>
    </w:p>
    <w:p w:rsidR="00D26302" w:rsidRPr="00AB3DAC" w:rsidRDefault="00963090"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Comparabilit</w:t>
      </w:r>
      <w:r w:rsidR="00F8068D" w:rsidRPr="00AB3DAC">
        <w:rPr>
          <w:rFonts w:ascii="Verdana" w:hAnsi="Verdana"/>
          <w:szCs w:val="20"/>
          <w:lang w:val="en-GB" w:eastAsia="en-GB"/>
        </w:rPr>
        <w:t>y of</w:t>
      </w:r>
      <w:r w:rsidR="00B75F97" w:rsidRPr="00AB3DAC">
        <w:rPr>
          <w:rFonts w:ascii="Verdana" w:hAnsi="Verdana"/>
          <w:szCs w:val="20"/>
          <w:lang w:val="en-GB" w:eastAsia="en-GB"/>
        </w:rPr>
        <w:t xml:space="preserve"> standards as betwee</w:t>
      </w:r>
      <w:r w:rsidR="00AB3DAC">
        <w:rPr>
          <w:rFonts w:ascii="Verdana" w:hAnsi="Verdana"/>
          <w:szCs w:val="20"/>
          <w:lang w:val="en-GB" w:eastAsia="en-GB"/>
        </w:rPr>
        <w:t>n successive student cohorts</w:t>
      </w:r>
      <w:r w:rsidR="00B75F97" w:rsidRPr="00AB3DAC">
        <w:rPr>
          <w:rFonts w:ascii="Verdana" w:hAnsi="Verdana"/>
          <w:szCs w:val="20"/>
          <w:lang w:val="en-GB" w:eastAsia="en-GB"/>
        </w:rPr>
        <w:t xml:space="preserve"> should also be achievable </w:t>
      </w:r>
      <w:r w:rsidRPr="00AB3DAC">
        <w:rPr>
          <w:rFonts w:ascii="Verdana" w:hAnsi="Verdana"/>
          <w:szCs w:val="20"/>
          <w:lang w:val="en-GB" w:eastAsia="en-GB"/>
        </w:rPr>
        <w:t>in theory. However</w:t>
      </w:r>
      <w:r w:rsidR="00B75F97" w:rsidRPr="00AB3DAC">
        <w:rPr>
          <w:rFonts w:ascii="Verdana" w:hAnsi="Verdana"/>
          <w:szCs w:val="20"/>
          <w:lang w:val="en-GB" w:eastAsia="en-GB"/>
        </w:rPr>
        <w:t xml:space="preserve"> </w:t>
      </w:r>
      <w:r w:rsidR="00D26302" w:rsidRPr="00AB3DAC">
        <w:rPr>
          <w:rFonts w:ascii="Verdana" w:hAnsi="Verdana"/>
          <w:szCs w:val="20"/>
          <w:lang w:val="en-GB" w:eastAsia="en-GB"/>
        </w:rPr>
        <w:t>it is rare for assessed work to be judged against the standards of work of candidates on the programme in earlier years: it is far more common for examiners to carry the standards in their memories from year to year (there are several studies casting doubt on the efficacy</w:t>
      </w:r>
      <w:r w:rsidRPr="00AB3DAC">
        <w:rPr>
          <w:rFonts w:ascii="Verdana" w:hAnsi="Verdana"/>
          <w:szCs w:val="20"/>
          <w:lang w:val="en-GB" w:eastAsia="en-GB"/>
        </w:rPr>
        <w:t xml:space="preserve"> </w:t>
      </w:r>
      <w:r w:rsidR="00D26302" w:rsidRPr="00AB3DAC">
        <w:rPr>
          <w:rFonts w:ascii="Verdana" w:hAnsi="Verdana"/>
          <w:szCs w:val="20"/>
          <w:lang w:val="en-GB" w:eastAsia="en-GB"/>
        </w:rPr>
        <w:t xml:space="preserve">of this). </w:t>
      </w:r>
    </w:p>
    <w:p w:rsidR="00EF7DBA" w:rsidRDefault="00963090"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The assurance of comparabilit</w:t>
      </w:r>
      <w:r w:rsidR="00D26302" w:rsidRPr="00AB3DAC">
        <w:rPr>
          <w:rFonts w:ascii="Verdana" w:hAnsi="Verdana"/>
          <w:szCs w:val="20"/>
          <w:lang w:val="en-GB" w:eastAsia="en-GB"/>
        </w:rPr>
        <w:t>y within subjects taught at different institutions</w:t>
      </w:r>
      <w:r w:rsidR="00AB3DAC">
        <w:rPr>
          <w:rFonts w:ascii="Verdana" w:hAnsi="Verdana"/>
          <w:szCs w:val="20"/>
          <w:lang w:val="en-GB" w:eastAsia="en-GB"/>
        </w:rPr>
        <w:t xml:space="preserve"> </w:t>
      </w:r>
      <w:r w:rsidR="00D26302" w:rsidRPr="00AB3DAC">
        <w:rPr>
          <w:rFonts w:ascii="Verdana" w:hAnsi="Verdana"/>
          <w:szCs w:val="20"/>
          <w:lang w:val="en-GB" w:eastAsia="en-GB"/>
        </w:rPr>
        <w:t xml:space="preserve"> is one of the main purposes of external examining. Yet there remain significant inter-institutional variations in the distribution of degree classes</w:t>
      </w:r>
      <w:r w:rsidR="002F78AA" w:rsidRPr="00AB3DAC">
        <w:rPr>
          <w:rFonts w:ascii="Verdana" w:hAnsi="Verdana"/>
          <w:szCs w:val="20"/>
          <w:lang w:val="en-GB" w:eastAsia="en-GB"/>
        </w:rPr>
        <w:t xml:space="preserve"> that go beyond those that may be explicable in terms of students’ entering achievements and characteristics</w:t>
      </w:r>
      <w:r w:rsidR="00D26302" w:rsidRPr="00AB3DAC">
        <w:rPr>
          <w:rFonts w:ascii="Verdana" w:hAnsi="Verdana"/>
          <w:szCs w:val="20"/>
          <w:lang w:val="en-GB" w:eastAsia="en-GB"/>
        </w:rPr>
        <w:t>. In fact, as the QAA pointed out in 2007, there are few opportunities for external examiners (or others) to make comparisons of the academic performance of students  in specific subjects across – i.e., between – institutions (QAA, 2007a). The QAA document adds “Hence it is not surprising...</w:t>
      </w:r>
      <w:r w:rsidR="00BC3D30">
        <w:rPr>
          <w:rFonts w:ascii="Verdana" w:hAnsi="Verdana"/>
          <w:szCs w:val="20"/>
          <w:lang w:val="en-GB" w:eastAsia="en-GB"/>
        </w:rPr>
        <w:t xml:space="preserve"> t</w:t>
      </w:r>
      <w:r w:rsidR="00D26302" w:rsidRPr="00AB3DAC">
        <w:rPr>
          <w:rFonts w:ascii="Verdana" w:hAnsi="Verdana"/>
          <w:szCs w:val="20"/>
          <w:lang w:val="en-GB" w:eastAsia="en-GB"/>
        </w:rPr>
        <w:t xml:space="preserve">hat adverse comments by external examiners regarding the operation of institutional rules for classifying degrees are relatively uncommon: secure evidence for such adverse comments would be hard to identify” (paragraph 16). </w:t>
      </w:r>
    </w:p>
    <w:p w:rsidR="00704CA4" w:rsidRPr="00AB3DAC" w:rsidRDefault="00D26302"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Finally, even in the mid-1980s, consistency in standard</w:t>
      </w:r>
      <w:r w:rsidR="00EF7DBA">
        <w:rPr>
          <w:rFonts w:ascii="Verdana" w:hAnsi="Verdana"/>
          <w:szCs w:val="20"/>
          <w:lang w:val="en-GB" w:eastAsia="en-GB"/>
        </w:rPr>
        <w:t xml:space="preserve">s between subjects </w:t>
      </w:r>
      <w:r w:rsidR="00EF7DBA" w:rsidRPr="00AB3DAC">
        <w:rPr>
          <w:rFonts w:ascii="Verdana" w:hAnsi="Verdana"/>
          <w:szCs w:val="20"/>
          <w:lang w:val="en-GB" w:eastAsia="en-GB"/>
        </w:rPr>
        <w:t>was</w:t>
      </w:r>
      <w:r w:rsidRPr="00AB3DAC">
        <w:rPr>
          <w:rFonts w:ascii="Verdana" w:hAnsi="Verdana"/>
          <w:szCs w:val="20"/>
          <w:lang w:val="en-GB" w:eastAsia="en-GB"/>
        </w:rPr>
        <w:t xml:space="preserve"> recognised to be difficult, as </w:t>
      </w:r>
      <w:r w:rsidR="00963090" w:rsidRPr="00AB3DAC">
        <w:rPr>
          <w:rFonts w:ascii="Verdana" w:hAnsi="Verdana"/>
          <w:szCs w:val="20"/>
          <w:lang w:val="en-GB" w:eastAsia="en-GB"/>
        </w:rPr>
        <w:t xml:space="preserve">the </w:t>
      </w:r>
      <w:r w:rsidR="00F8068D" w:rsidRPr="00AB3DAC">
        <w:rPr>
          <w:rFonts w:ascii="Verdana" w:hAnsi="Verdana"/>
          <w:szCs w:val="20"/>
          <w:lang w:val="en-GB" w:eastAsia="en-GB"/>
        </w:rPr>
        <w:t xml:space="preserve">earlier </w:t>
      </w:r>
      <w:r w:rsidR="00963090" w:rsidRPr="00AB3DAC">
        <w:rPr>
          <w:rFonts w:ascii="Verdana" w:hAnsi="Verdana"/>
          <w:szCs w:val="20"/>
          <w:lang w:val="en-GB" w:eastAsia="en-GB"/>
        </w:rPr>
        <w:t>extract fro</w:t>
      </w:r>
      <w:r w:rsidRPr="00AB3DAC">
        <w:rPr>
          <w:rFonts w:ascii="Verdana" w:hAnsi="Verdana"/>
          <w:szCs w:val="20"/>
          <w:lang w:val="en-GB" w:eastAsia="en-GB"/>
        </w:rPr>
        <w:t>m the CVCP code on e</w:t>
      </w:r>
      <w:r w:rsidR="00F8068D" w:rsidRPr="00AB3DAC">
        <w:rPr>
          <w:rFonts w:ascii="Verdana" w:hAnsi="Verdana"/>
          <w:szCs w:val="20"/>
          <w:lang w:val="en-GB" w:eastAsia="en-GB"/>
        </w:rPr>
        <w:t>xternal examining</w:t>
      </w:r>
      <w:r w:rsidRPr="00AB3DAC">
        <w:rPr>
          <w:rFonts w:ascii="Verdana" w:hAnsi="Verdana"/>
          <w:szCs w:val="20"/>
          <w:lang w:val="en-GB" w:eastAsia="en-GB"/>
        </w:rPr>
        <w:t xml:space="preserve"> indicates. This would be true even if there were more opportunities for </w:t>
      </w:r>
      <w:r w:rsidR="00704CA4" w:rsidRPr="00AB3DAC">
        <w:rPr>
          <w:rFonts w:ascii="Verdana" w:hAnsi="Verdana"/>
          <w:szCs w:val="20"/>
          <w:lang w:val="en-GB" w:eastAsia="en-GB"/>
        </w:rPr>
        <w:t>assess</w:t>
      </w:r>
      <w:r w:rsidRPr="00AB3DAC">
        <w:rPr>
          <w:rFonts w:ascii="Verdana" w:hAnsi="Verdana"/>
          <w:szCs w:val="20"/>
          <w:lang w:val="en-GB" w:eastAsia="en-GB"/>
        </w:rPr>
        <w:t>ors from</w:t>
      </w:r>
      <w:r w:rsidR="00704CA4" w:rsidRPr="00AB3DAC">
        <w:rPr>
          <w:rFonts w:ascii="Verdana" w:hAnsi="Verdana"/>
          <w:szCs w:val="20"/>
          <w:lang w:val="en-GB" w:eastAsia="en-GB"/>
        </w:rPr>
        <w:t xml:space="preserve"> different disciplines to work together. </w:t>
      </w:r>
      <w:r w:rsidR="002A5A8A" w:rsidRPr="00AB3DAC">
        <w:rPr>
          <w:rFonts w:ascii="Verdana" w:hAnsi="Verdana"/>
          <w:szCs w:val="20"/>
          <w:lang w:val="en-GB" w:eastAsia="en-GB"/>
        </w:rPr>
        <w:t xml:space="preserve">Yet the system we now have was conceived in a time when there were far fewer institutions, subjects and students. </w:t>
      </w:r>
      <w:r w:rsidR="00704CA4" w:rsidRPr="00AB3DAC">
        <w:rPr>
          <w:rFonts w:ascii="Verdana" w:hAnsi="Verdana"/>
          <w:szCs w:val="20"/>
          <w:lang w:val="en-GB" w:eastAsia="en-GB"/>
        </w:rPr>
        <w:t>That said, there can be little doubt that, within an institution, having people from different disciplines commenting on work in other disciplines is a powerful stimulus to quality enhancement.</w:t>
      </w:r>
    </w:p>
    <w:p w:rsidR="00C61177" w:rsidRPr="00AB3DAC" w:rsidRDefault="00C61177"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lastRenderedPageBreak/>
        <w:t xml:space="preserve">This discussion suggests that it would be wrong to aim for an unrealistic degree of comparability. Indeed, it actually suggests that the very question </w:t>
      </w:r>
      <w:r w:rsidR="00BC3D30">
        <w:rPr>
          <w:rFonts w:ascii="Verdana" w:hAnsi="Verdana"/>
          <w:szCs w:val="20"/>
          <w:lang w:val="en-GB" w:eastAsia="en-GB"/>
        </w:rPr>
        <w:t xml:space="preserve">of </w:t>
      </w:r>
      <w:r w:rsidRPr="00AB3DAC">
        <w:rPr>
          <w:rFonts w:ascii="Verdana" w:hAnsi="Verdana"/>
          <w:szCs w:val="20"/>
          <w:lang w:val="en-GB" w:eastAsia="en-GB"/>
        </w:rPr>
        <w:t xml:space="preserve">whether the standards of degrees are comparable </w:t>
      </w:r>
      <w:r w:rsidR="00131DEE" w:rsidRPr="00AB3DAC">
        <w:rPr>
          <w:rFonts w:ascii="Verdana" w:hAnsi="Verdana"/>
          <w:szCs w:val="20"/>
          <w:lang w:val="en-GB" w:eastAsia="en-GB"/>
        </w:rPr>
        <w:t>may be</w:t>
      </w:r>
      <w:r w:rsidRPr="00AB3DAC">
        <w:rPr>
          <w:rFonts w:ascii="Verdana" w:hAnsi="Verdana"/>
          <w:szCs w:val="20"/>
          <w:lang w:val="en-GB" w:eastAsia="en-GB"/>
        </w:rPr>
        <w:t xml:space="preserve"> misguided.</w:t>
      </w:r>
    </w:p>
    <w:p w:rsidR="00C61177" w:rsidRPr="00AB3DAC" w:rsidRDefault="00C61177"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At a time when only a very small proportion of the population went to university, and the student population was broadly equivalent in terms of background and ability </w:t>
      </w:r>
      <w:r w:rsidR="00EF7DBA">
        <w:rPr>
          <w:rFonts w:ascii="Verdana" w:hAnsi="Verdana"/>
          <w:szCs w:val="20"/>
          <w:lang w:val="en-GB" w:eastAsia="en-GB"/>
        </w:rPr>
        <w:t>–</w:t>
      </w:r>
      <w:r w:rsidRPr="00AB3DAC">
        <w:rPr>
          <w:rFonts w:ascii="Verdana" w:hAnsi="Verdana"/>
          <w:szCs w:val="20"/>
          <w:lang w:val="en-GB" w:eastAsia="en-GB"/>
        </w:rPr>
        <w:t xml:space="preserve"> and when degree courses were considerably more uniform in terms of their nature and intended outcomes</w:t>
      </w:r>
      <w:r w:rsidR="00A71075" w:rsidRPr="00AB3DAC">
        <w:rPr>
          <w:rFonts w:ascii="Verdana" w:hAnsi="Verdana"/>
          <w:szCs w:val="20"/>
          <w:lang w:val="en-GB" w:eastAsia="en-GB"/>
        </w:rPr>
        <w:t xml:space="preserve"> than they are now</w:t>
      </w:r>
      <w:r w:rsidR="00130375" w:rsidRPr="00AB3DAC">
        <w:rPr>
          <w:rFonts w:ascii="Verdana" w:hAnsi="Verdana"/>
          <w:szCs w:val="20"/>
          <w:lang w:val="en-GB" w:eastAsia="en-GB"/>
        </w:rPr>
        <w:t xml:space="preserve"> </w:t>
      </w:r>
      <w:r w:rsidR="00EF7DBA">
        <w:rPr>
          <w:rFonts w:ascii="Verdana" w:hAnsi="Verdana"/>
          <w:szCs w:val="20"/>
          <w:lang w:val="en-GB" w:eastAsia="en-GB"/>
        </w:rPr>
        <w:t xml:space="preserve">– </w:t>
      </w:r>
      <w:r w:rsidR="00130375" w:rsidRPr="00AB3DAC">
        <w:rPr>
          <w:rFonts w:ascii="Verdana" w:hAnsi="Verdana"/>
          <w:szCs w:val="20"/>
          <w:lang w:val="en-GB" w:eastAsia="en-GB"/>
        </w:rPr>
        <w:t>it may have been</w:t>
      </w:r>
      <w:r w:rsidRPr="00AB3DAC">
        <w:rPr>
          <w:rFonts w:ascii="Verdana" w:hAnsi="Verdana"/>
          <w:szCs w:val="20"/>
          <w:lang w:val="en-GB" w:eastAsia="en-GB"/>
        </w:rPr>
        <w:t xml:space="preserve"> a reasonable expectation that the outcomes of degree courses should be broadly comparable, and that there should be mechanisms available to police this</w:t>
      </w:r>
      <w:r w:rsidR="00A71075" w:rsidRPr="00AB3DAC">
        <w:rPr>
          <w:rFonts w:ascii="Verdana" w:hAnsi="Verdana"/>
          <w:szCs w:val="20"/>
          <w:lang w:val="en-GB" w:eastAsia="en-GB"/>
        </w:rPr>
        <w:t xml:space="preserve"> (hence, external examiners)</w:t>
      </w:r>
      <w:r w:rsidRPr="00AB3DAC">
        <w:rPr>
          <w:rFonts w:ascii="Verdana" w:hAnsi="Verdana"/>
          <w:szCs w:val="20"/>
          <w:lang w:val="en-GB" w:eastAsia="en-GB"/>
        </w:rPr>
        <w:t>. T</w:t>
      </w:r>
      <w:r w:rsidR="00A71075" w:rsidRPr="00AB3DAC">
        <w:rPr>
          <w:rFonts w:ascii="Verdana" w:hAnsi="Verdana"/>
          <w:szCs w:val="20"/>
          <w:lang w:val="en-GB" w:eastAsia="en-GB"/>
        </w:rPr>
        <w:t>oday, the environment</w:t>
      </w:r>
      <w:r w:rsidRPr="00AB3DAC">
        <w:rPr>
          <w:rFonts w:ascii="Verdana" w:hAnsi="Verdana"/>
          <w:szCs w:val="20"/>
          <w:lang w:val="en-GB" w:eastAsia="en-GB"/>
        </w:rPr>
        <w:t xml:space="preserve"> is radically different. Nearly half of the young population now participate in higher education, the range of ability </w:t>
      </w:r>
      <w:r w:rsidR="00130375" w:rsidRPr="00AB3DAC">
        <w:rPr>
          <w:rFonts w:ascii="Verdana" w:hAnsi="Verdana"/>
          <w:szCs w:val="20"/>
          <w:lang w:val="en-GB" w:eastAsia="en-GB"/>
        </w:rPr>
        <w:t>of those students is much</w:t>
      </w:r>
      <w:r w:rsidRPr="00AB3DAC">
        <w:rPr>
          <w:rFonts w:ascii="Verdana" w:hAnsi="Verdana"/>
          <w:szCs w:val="20"/>
          <w:lang w:val="en-GB" w:eastAsia="en-GB"/>
        </w:rPr>
        <w:t xml:space="preserve"> wide</w:t>
      </w:r>
      <w:r w:rsidR="00130375" w:rsidRPr="00AB3DAC">
        <w:rPr>
          <w:rFonts w:ascii="Verdana" w:hAnsi="Verdana"/>
          <w:szCs w:val="20"/>
          <w:lang w:val="en-GB" w:eastAsia="en-GB"/>
        </w:rPr>
        <w:t>r</w:t>
      </w:r>
      <w:r w:rsidRPr="00AB3DAC">
        <w:rPr>
          <w:rFonts w:ascii="Verdana" w:hAnsi="Verdana"/>
          <w:szCs w:val="20"/>
          <w:lang w:val="en-GB" w:eastAsia="en-GB"/>
        </w:rPr>
        <w:t>, and the purpose, nature and inte</w:t>
      </w:r>
      <w:r w:rsidR="00A931BC" w:rsidRPr="00AB3DAC">
        <w:rPr>
          <w:rFonts w:ascii="Verdana" w:hAnsi="Verdana"/>
          <w:szCs w:val="20"/>
          <w:lang w:val="en-GB" w:eastAsia="en-GB"/>
        </w:rPr>
        <w:t>nded outcomes of program</w:t>
      </w:r>
      <w:r w:rsidR="002A5A8A" w:rsidRPr="00AB3DAC">
        <w:rPr>
          <w:rFonts w:ascii="Verdana" w:hAnsi="Verdana"/>
          <w:szCs w:val="20"/>
          <w:lang w:val="en-GB" w:eastAsia="en-GB"/>
        </w:rPr>
        <w:t>me</w:t>
      </w:r>
      <w:r w:rsidR="00A931BC" w:rsidRPr="00AB3DAC">
        <w:rPr>
          <w:rFonts w:ascii="Verdana" w:hAnsi="Verdana"/>
          <w:szCs w:val="20"/>
          <w:lang w:val="en-GB" w:eastAsia="en-GB"/>
        </w:rPr>
        <w:t xml:space="preserve">s </w:t>
      </w:r>
      <w:r w:rsidR="002A5A8A" w:rsidRPr="00AB3DAC">
        <w:rPr>
          <w:rFonts w:ascii="Verdana" w:hAnsi="Verdana"/>
          <w:szCs w:val="20"/>
          <w:lang w:val="en-GB" w:eastAsia="en-GB"/>
        </w:rPr>
        <w:t xml:space="preserve">all </w:t>
      </w:r>
      <w:r w:rsidR="00A931BC" w:rsidRPr="00AB3DAC">
        <w:rPr>
          <w:rFonts w:ascii="Verdana" w:hAnsi="Verdana"/>
          <w:szCs w:val="20"/>
          <w:lang w:val="en-GB" w:eastAsia="en-GB"/>
        </w:rPr>
        <w:t>vary</w:t>
      </w:r>
      <w:r w:rsidRPr="00AB3DAC">
        <w:rPr>
          <w:rFonts w:ascii="Verdana" w:hAnsi="Verdana"/>
          <w:szCs w:val="20"/>
          <w:lang w:val="en-GB" w:eastAsia="en-GB"/>
        </w:rPr>
        <w:t xml:space="preserve"> considerably. It makes little sense to seek comparability of outcomes, and indeed it would</w:t>
      </w:r>
      <w:r w:rsidR="00131DEE" w:rsidRPr="00AB3DAC">
        <w:rPr>
          <w:rFonts w:ascii="Verdana" w:hAnsi="Verdana"/>
          <w:szCs w:val="20"/>
          <w:lang w:val="en-GB" w:eastAsia="en-GB"/>
        </w:rPr>
        <w:t xml:space="preserve"> actually</w:t>
      </w:r>
      <w:r w:rsidRPr="00AB3DAC">
        <w:rPr>
          <w:rFonts w:ascii="Verdana" w:hAnsi="Verdana"/>
          <w:szCs w:val="20"/>
          <w:lang w:val="en-GB" w:eastAsia="en-GB"/>
        </w:rPr>
        <w:t xml:space="preserve"> be wrong to do so. Given the extraordinarily high previous educational attainment of students attending, say, Oxford or Cambridge, the substantially greater resources devoted to them, the greater intensity of st</w:t>
      </w:r>
      <w:r w:rsidR="00A71075" w:rsidRPr="00AB3DAC">
        <w:rPr>
          <w:rFonts w:ascii="Verdana" w:hAnsi="Verdana"/>
          <w:szCs w:val="20"/>
          <w:lang w:val="en-GB" w:eastAsia="en-GB"/>
        </w:rPr>
        <w:t>udy that they undergo, and other factors</w:t>
      </w:r>
      <w:r w:rsidRPr="00AB3DAC">
        <w:rPr>
          <w:rFonts w:ascii="Verdana" w:hAnsi="Verdana"/>
          <w:szCs w:val="20"/>
          <w:lang w:val="en-GB" w:eastAsia="en-GB"/>
        </w:rPr>
        <w:t>, it would in fact be a surprise if the outcomes of stud</w:t>
      </w:r>
      <w:r w:rsidR="00A71075" w:rsidRPr="00AB3DAC">
        <w:rPr>
          <w:rFonts w:ascii="Verdana" w:hAnsi="Verdana"/>
          <w:szCs w:val="20"/>
          <w:lang w:val="en-GB" w:eastAsia="en-GB"/>
        </w:rPr>
        <w:t xml:space="preserve">ents from those universities </w:t>
      </w:r>
      <w:r w:rsidR="00AB3DAC" w:rsidRPr="00AB3DAC">
        <w:rPr>
          <w:rFonts w:ascii="Verdana" w:hAnsi="Verdana"/>
          <w:szCs w:val="20"/>
          <w:lang w:val="en-GB" w:eastAsia="en-GB"/>
        </w:rPr>
        <w:t>were no</w:t>
      </w:r>
      <w:r w:rsidRPr="00AB3DAC">
        <w:rPr>
          <w:rFonts w:ascii="Verdana" w:hAnsi="Verdana"/>
          <w:szCs w:val="20"/>
          <w:lang w:val="en-GB" w:eastAsia="en-GB"/>
        </w:rPr>
        <w:t xml:space="preserve"> higher than those of students from other universities who have far lower prior attainment, resources devoted to them, and so on.</w:t>
      </w:r>
      <w:r w:rsidR="002A5A8A" w:rsidRPr="00AB3DAC">
        <w:rPr>
          <w:rFonts w:ascii="Verdana" w:hAnsi="Verdana"/>
          <w:szCs w:val="20"/>
          <w:lang w:val="en-GB" w:eastAsia="en-GB"/>
        </w:rPr>
        <w:t xml:space="preserve"> But, self-evident as this might seem, there are actually no instrumen</w:t>
      </w:r>
      <w:r w:rsidR="00A71075" w:rsidRPr="00AB3DAC">
        <w:rPr>
          <w:rFonts w:ascii="Verdana" w:hAnsi="Verdana"/>
          <w:szCs w:val="20"/>
          <w:lang w:val="en-GB" w:eastAsia="en-GB"/>
        </w:rPr>
        <w:t>ts available to demonstrate it</w:t>
      </w:r>
      <w:r w:rsidR="002A5A8A" w:rsidRPr="00AB3DAC">
        <w:rPr>
          <w:rFonts w:ascii="Verdana" w:hAnsi="Verdana"/>
          <w:szCs w:val="20"/>
          <w:lang w:val="en-GB" w:eastAsia="en-GB"/>
        </w:rPr>
        <w:t>.</w:t>
      </w:r>
    </w:p>
    <w:p w:rsidR="00C61177" w:rsidRPr="00AB3DAC" w:rsidRDefault="00A37C02" w:rsidP="00AB3DAC">
      <w:pPr>
        <w:pStyle w:val="BodyText"/>
        <w:numPr>
          <w:ilvl w:val="0"/>
          <w:numId w:val="16"/>
        </w:numPr>
        <w:spacing w:before="0" w:line="300" w:lineRule="atLeast"/>
        <w:ind w:left="0" w:firstLine="0"/>
        <w:rPr>
          <w:rFonts w:ascii="Verdana" w:hAnsi="Verdana"/>
          <w:szCs w:val="20"/>
          <w:lang w:val="en-GB" w:eastAsia="en-GB"/>
        </w:rPr>
      </w:pPr>
      <w:r>
        <w:rPr>
          <w:rFonts w:ascii="Verdana" w:hAnsi="Verdana"/>
          <w:szCs w:val="20"/>
          <w:lang w:val="en-GB" w:eastAsia="en-GB"/>
        </w:rPr>
        <w:t>So, t</w:t>
      </w:r>
      <w:r w:rsidR="00612240" w:rsidRPr="00AB3DAC">
        <w:rPr>
          <w:rFonts w:ascii="Verdana" w:hAnsi="Verdana"/>
          <w:szCs w:val="20"/>
          <w:lang w:val="en-GB" w:eastAsia="en-GB"/>
        </w:rPr>
        <w:t xml:space="preserve">here are almost inevitably differences in the standard of outcomes of different universities. And it is right that that should be so. But there are no objective measures. </w:t>
      </w:r>
      <w:r w:rsidR="00C61177" w:rsidRPr="00AB3DAC">
        <w:rPr>
          <w:rFonts w:ascii="Verdana" w:hAnsi="Verdana"/>
          <w:szCs w:val="20"/>
          <w:lang w:val="en-GB" w:eastAsia="en-GB"/>
        </w:rPr>
        <w:t xml:space="preserve">What is </w:t>
      </w:r>
      <w:r w:rsidR="002A5A8A" w:rsidRPr="00AB3DAC">
        <w:rPr>
          <w:rFonts w:ascii="Verdana" w:hAnsi="Verdana"/>
          <w:szCs w:val="20"/>
          <w:lang w:val="en-GB" w:eastAsia="en-GB"/>
        </w:rPr>
        <w:t xml:space="preserve">perhaps more </w:t>
      </w:r>
      <w:r w:rsidR="00C61177" w:rsidRPr="00AB3DAC">
        <w:rPr>
          <w:rFonts w:ascii="Verdana" w:hAnsi="Verdana"/>
          <w:szCs w:val="20"/>
          <w:lang w:val="en-GB" w:eastAsia="en-GB"/>
        </w:rPr>
        <w:t>important is that there should be confidence that students graduating from all higher education institutions in all subjects have attained a minimum level of achievement. There must be confidence that the degree represents some minim</w:t>
      </w:r>
      <w:r>
        <w:rPr>
          <w:rFonts w:ascii="Verdana" w:hAnsi="Verdana"/>
          <w:szCs w:val="20"/>
          <w:lang w:val="en-GB" w:eastAsia="en-GB"/>
        </w:rPr>
        <w:t>um</w:t>
      </w:r>
      <w:r w:rsidR="00C61177" w:rsidRPr="00AB3DAC">
        <w:rPr>
          <w:rFonts w:ascii="Verdana" w:hAnsi="Verdana"/>
          <w:szCs w:val="20"/>
          <w:lang w:val="en-GB" w:eastAsia="en-GB"/>
        </w:rPr>
        <w:t xml:space="preserve"> level of skills and knowledge.</w:t>
      </w:r>
      <w:r w:rsidR="00612240" w:rsidRPr="00AB3DAC">
        <w:rPr>
          <w:rFonts w:ascii="Verdana" w:hAnsi="Verdana"/>
          <w:szCs w:val="20"/>
          <w:lang w:val="en-GB" w:eastAsia="en-GB"/>
        </w:rPr>
        <w:t xml:space="preserve">  This does not of course guarantee comparability of standards; but the guarantee of a minimum level of achievement would nevertheless represent a readily understood and worthwhile feature of our higher education system.</w:t>
      </w:r>
    </w:p>
    <w:p w:rsidR="00C61177" w:rsidRPr="00AB3DAC" w:rsidRDefault="00C61177"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 xml:space="preserve">Beyond that, </w:t>
      </w:r>
      <w:r w:rsidR="00194495" w:rsidRPr="00AB3DAC">
        <w:rPr>
          <w:rFonts w:ascii="Verdana" w:hAnsi="Verdana"/>
          <w:szCs w:val="20"/>
          <w:lang w:val="en-GB" w:eastAsia="en-GB"/>
        </w:rPr>
        <w:t xml:space="preserve">having accepted that there are bound to be </w:t>
      </w:r>
      <w:r w:rsidR="00EF7DBA">
        <w:rPr>
          <w:rFonts w:ascii="Verdana" w:hAnsi="Verdana"/>
          <w:szCs w:val="20"/>
          <w:lang w:val="en-GB" w:eastAsia="en-GB"/>
        </w:rPr>
        <w:t xml:space="preserve">– </w:t>
      </w:r>
      <w:r w:rsidR="00194495" w:rsidRPr="00AB3DAC">
        <w:rPr>
          <w:rFonts w:ascii="Verdana" w:hAnsi="Verdana"/>
          <w:szCs w:val="20"/>
          <w:lang w:val="en-GB" w:eastAsia="en-GB"/>
        </w:rPr>
        <w:t xml:space="preserve">and should be </w:t>
      </w:r>
      <w:r w:rsidR="00EF7DBA">
        <w:rPr>
          <w:rFonts w:ascii="Verdana" w:hAnsi="Verdana"/>
          <w:szCs w:val="20"/>
          <w:lang w:val="en-GB" w:eastAsia="en-GB"/>
        </w:rPr>
        <w:t xml:space="preserve">– </w:t>
      </w:r>
      <w:r w:rsidR="00194495" w:rsidRPr="00AB3DAC">
        <w:rPr>
          <w:rFonts w:ascii="Verdana" w:hAnsi="Verdana"/>
          <w:szCs w:val="20"/>
          <w:lang w:val="en-GB" w:eastAsia="en-GB"/>
        </w:rPr>
        <w:t xml:space="preserve">differences in standards, </w:t>
      </w:r>
      <w:r w:rsidRPr="00AB3DAC">
        <w:rPr>
          <w:rFonts w:ascii="Verdana" w:hAnsi="Verdana"/>
          <w:szCs w:val="20"/>
          <w:lang w:val="en-GB" w:eastAsia="en-GB"/>
        </w:rPr>
        <w:t>it would be good if a mechanism were available to differentiate the knowledge, skills and ability of students from different universities</w:t>
      </w:r>
      <w:r w:rsidR="00A71075" w:rsidRPr="00AB3DAC">
        <w:rPr>
          <w:rFonts w:ascii="Verdana" w:hAnsi="Verdana"/>
          <w:szCs w:val="20"/>
          <w:lang w:val="en-GB" w:eastAsia="en-GB"/>
        </w:rPr>
        <w:t xml:space="preserve"> (as well as courses). However</w:t>
      </w:r>
      <w:r w:rsidRPr="00AB3DAC">
        <w:rPr>
          <w:rFonts w:ascii="Verdana" w:hAnsi="Verdana"/>
          <w:szCs w:val="20"/>
          <w:lang w:val="en-GB" w:eastAsia="en-GB"/>
        </w:rPr>
        <w:t xml:space="preserve"> this has eluded those searching for it so far, and the search seems almost certainly doomed to failure. Whereas the mechanisms of degree classification and external examiners to police these may have worked well in a small, elite, system where a small number of peo</w:t>
      </w:r>
      <w:r w:rsidR="00C71029" w:rsidRPr="00AB3DAC">
        <w:rPr>
          <w:rFonts w:ascii="Verdana" w:hAnsi="Verdana"/>
          <w:szCs w:val="20"/>
          <w:lang w:val="en-GB" w:eastAsia="en-GB"/>
        </w:rPr>
        <w:t xml:space="preserve">ple could monitor these things, </w:t>
      </w:r>
      <w:r w:rsidRPr="00AB3DAC">
        <w:rPr>
          <w:rFonts w:ascii="Verdana" w:hAnsi="Verdana"/>
          <w:szCs w:val="20"/>
          <w:lang w:val="en-GB" w:eastAsia="en-GB"/>
        </w:rPr>
        <w:t>that no longer applies. Yet the same expectations exist (repeated by the Select Committee), and the same instruments</w:t>
      </w:r>
      <w:r w:rsidR="00A71075" w:rsidRPr="00AB3DAC">
        <w:rPr>
          <w:rFonts w:ascii="Verdana" w:hAnsi="Verdana"/>
          <w:szCs w:val="20"/>
          <w:lang w:val="en-GB" w:eastAsia="en-GB"/>
        </w:rPr>
        <w:t xml:space="preserve"> remain</w:t>
      </w:r>
      <w:r w:rsidRPr="00AB3DAC">
        <w:rPr>
          <w:rFonts w:ascii="Verdana" w:hAnsi="Verdana"/>
          <w:szCs w:val="20"/>
          <w:lang w:val="en-GB" w:eastAsia="en-GB"/>
        </w:rPr>
        <w:t xml:space="preserve"> to </w:t>
      </w:r>
      <w:r w:rsidR="00C71029" w:rsidRPr="00AB3DAC">
        <w:rPr>
          <w:rFonts w:ascii="Verdana" w:hAnsi="Verdana"/>
          <w:szCs w:val="20"/>
          <w:lang w:val="en-GB" w:eastAsia="en-GB"/>
        </w:rPr>
        <w:t xml:space="preserve">try to </w:t>
      </w:r>
      <w:r w:rsidRPr="00AB3DAC">
        <w:rPr>
          <w:rFonts w:ascii="Verdana" w:hAnsi="Verdana"/>
          <w:szCs w:val="20"/>
          <w:lang w:val="en-GB" w:eastAsia="en-GB"/>
        </w:rPr>
        <w:t>deliver the expectations.</w:t>
      </w:r>
      <w:r w:rsidR="00AB3DAC">
        <w:rPr>
          <w:rFonts w:ascii="Verdana" w:hAnsi="Verdana"/>
          <w:szCs w:val="20"/>
          <w:lang w:val="en-GB" w:eastAsia="en-GB"/>
        </w:rPr>
        <w:t xml:space="preserve">  </w:t>
      </w:r>
      <w:r w:rsidR="00C71029" w:rsidRPr="00AB3DAC">
        <w:rPr>
          <w:rFonts w:ascii="Verdana" w:hAnsi="Verdana"/>
          <w:szCs w:val="20"/>
          <w:lang w:val="en-GB" w:eastAsia="en-GB"/>
        </w:rPr>
        <w:t>So what is to be done?</w:t>
      </w:r>
    </w:p>
    <w:p w:rsidR="00704CA4" w:rsidRPr="00AB3DAC" w:rsidRDefault="002A5A8A"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R</w:t>
      </w:r>
      <w:r w:rsidR="00704CA4" w:rsidRPr="00AB3DAC">
        <w:rPr>
          <w:rFonts w:ascii="Verdana" w:hAnsi="Verdana"/>
          <w:szCs w:val="20"/>
          <w:lang w:val="en-GB" w:eastAsia="en-GB"/>
        </w:rPr>
        <w:t>ather than aim for an unrealistic degree of comparability</w:t>
      </w:r>
      <w:r w:rsidRPr="00AB3DAC">
        <w:rPr>
          <w:rFonts w:ascii="Verdana" w:hAnsi="Verdana"/>
          <w:szCs w:val="20"/>
          <w:lang w:val="en-GB" w:eastAsia="en-GB"/>
        </w:rPr>
        <w:t>, on the one hand, or abandon</w:t>
      </w:r>
      <w:r w:rsidR="00704CA4" w:rsidRPr="00AB3DAC">
        <w:rPr>
          <w:rFonts w:ascii="Verdana" w:hAnsi="Verdana"/>
          <w:szCs w:val="20"/>
          <w:lang w:val="en-GB" w:eastAsia="en-GB"/>
        </w:rPr>
        <w:t xml:space="preserve"> the notion, on the other, </w:t>
      </w:r>
      <w:r w:rsidR="00194495" w:rsidRPr="00AB3DAC">
        <w:rPr>
          <w:rFonts w:ascii="Verdana" w:hAnsi="Verdana"/>
          <w:szCs w:val="20"/>
          <w:lang w:val="en-GB" w:eastAsia="en-GB"/>
        </w:rPr>
        <w:t xml:space="preserve">it is suggested that </w:t>
      </w:r>
      <w:r w:rsidR="00704CA4" w:rsidRPr="00AB3DAC">
        <w:rPr>
          <w:rFonts w:ascii="Verdana" w:hAnsi="Verdana"/>
          <w:szCs w:val="20"/>
          <w:lang w:val="en-GB" w:eastAsia="en-GB"/>
        </w:rPr>
        <w:t xml:space="preserve">we should pursue </w:t>
      </w:r>
      <w:r w:rsidR="00704CA4" w:rsidRPr="00AB3DAC">
        <w:rPr>
          <w:rFonts w:ascii="Verdana" w:hAnsi="Verdana"/>
          <w:szCs w:val="20"/>
          <w:lang w:val="en-GB" w:eastAsia="en-GB"/>
        </w:rPr>
        <w:lastRenderedPageBreak/>
        <w:t xml:space="preserve">a number of </w:t>
      </w:r>
      <w:r w:rsidR="00963090" w:rsidRPr="00AB3DAC">
        <w:rPr>
          <w:rFonts w:ascii="Verdana" w:hAnsi="Verdana"/>
          <w:szCs w:val="20"/>
          <w:lang w:val="en-GB" w:eastAsia="en-GB"/>
        </w:rPr>
        <w:t>approaches aimed at improving</w:t>
      </w:r>
      <w:r w:rsidR="00704CA4" w:rsidRPr="00AB3DAC">
        <w:rPr>
          <w:rFonts w:ascii="Verdana" w:hAnsi="Verdana"/>
          <w:szCs w:val="20"/>
          <w:lang w:val="en-GB" w:eastAsia="en-GB"/>
        </w:rPr>
        <w:t xml:space="preserve"> the assurance of standards and constrain</w:t>
      </w:r>
      <w:r w:rsidR="00963090" w:rsidRPr="00AB3DAC">
        <w:rPr>
          <w:rFonts w:ascii="Verdana" w:hAnsi="Verdana"/>
          <w:szCs w:val="20"/>
          <w:lang w:val="en-GB" w:eastAsia="en-GB"/>
        </w:rPr>
        <w:t>ing</w:t>
      </w:r>
      <w:r w:rsidR="00704CA4" w:rsidRPr="00AB3DAC">
        <w:rPr>
          <w:rFonts w:ascii="Verdana" w:hAnsi="Verdana"/>
          <w:szCs w:val="20"/>
          <w:lang w:val="en-GB" w:eastAsia="en-GB"/>
        </w:rPr>
        <w:t xml:space="preserve"> the amount of variability in the system. The </w:t>
      </w:r>
      <w:r w:rsidR="00A37C02">
        <w:rPr>
          <w:rFonts w:ascii="Verdana" w:hAnsi="Verdana"/>
          <w:szCs w:val="20"/>
          <w:lang w:val="en-GB" w:eastAsia="en-GB"/>
        </w:rPr>
        <w:t xml:space="preserve">following paragraphs </w:t>
      </w:r>
      <w:r w:rsidR="00704CA4" w:rsidRPr="00AB3DAC">
        <w:rPr>
          <w:rFonts w:ascii="Verdana" w:hAnsi="Verdana"/>
          <w:szCs w:val="20"/>
          <w:lang w:val="en-GB" w:eastAsia="en-GB"/>
        </w:rPr>
        <w:t xml:space="preserve">outline what </w:t>
      </w:r>
      <w:r w:rsidR="00C71029" w:rsidRPr="00AB3DAC">
        <w:rPr>
          <w:rFonts w:ascii="Verdana" w:hAnsi="Verdana"/>
          <w:szCs w:val="20"/>
          <w:lang w:val="en-GB" w:eastAsia="en-GB"/>
        </w:rPr>
        <w:t>these might be</w:t>
      </w:r>
      <w:r w:rsidR="00704CA4" w:rsidRPr="00AB3DAC">
        <w:rPr>
          <w:rFonts w:ascii="Verdana" w:hAnsi="Verdana"/>
          <w:szCs w:val="20"/>
          <w:lang w:val="en-GB" w:eastAsia="en-GB"/>
        </w:rPr>
        <w:t>.</w:t>
      </w:r>
    </w:p>
    <w:p w:rsidR="00A83421" w:rsidRPr="00AB3DAC" w:rsidRDefault="00276B36"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First, insti</w:t>
      </w:r>
      <w:r w:rsidR="00A83421" w:rsidRPr="00AB3DAC">
        <w:rPr>
          <w:rFonts w:ascii="Verdana" w:hAnsi="Verdana"/>
          <w:szCs w:val="20"/>
          <w:lang w:val="en-GB" w:eastAsia="en-GB"/>
        </w:rPr>
        <w:t>t</w:t>
      </w:r>
      <w:r w:rsidRPr="00AB3DAC">
        <w:rPr>
          <w:rFonts w:ascii="Verdana" w:hAnsi="Verdana"/>
          <w:szCs w:val="20"/>
          <w:lang w:val="en-GB" w:eastAsia="en-GB"/>
        </w:rPr>
        <w:t>utions sh</w:t>
      </w:r>
      <w:r w:rsidR="00A83421" w:rsidRPr="00AB3DAC">
        <w:rPr>
          <w:rFonts w:ascii="Verdana" w:hAnsi="Verdana"/>
          <w:szCs w:val="20"/>
          <w:lang w:val="en-GB" w:eastAsia="en-GB"/>
        </w:rPr>
        <w:t>ould publish more information a</w:t>
      </w:r>
      <w:r w:rsidRPr="00AB3DAC">
        <w:rPr>
          <w:rFonts w:ascii="Verdana" w:hAnsi="Verdana"/>
          <w:szCs w:val="20"/>
          <w:lang w:val="en-GB" w:eastAsia="en-GB"/>
        </w:rPr>
        <w:t>bo</w:t>
      </w:r>
      <w:r w:rsidR="00A83421" w:rsidRPr="00AB3DAC">
        <w:rPr>
          <w:rFonts w:ascii="Verdana" w:hAnsi="Verdana"/>
          <w:szCs w:val="20"/>
          <w:lang w:val="en-GB" w:eastAsia="en-GB"/>
        </w:rPr>
        <w:t>ut the aims and outcomes of in</w:t>
      </w:r>
      <w:r w:rsidRPr="00AB3DAC">
        <w:rPr>
          <w:rFonts w:ascii="Verdana" w:hAnsi="Verdana"/>
          <w:szCs w:val="20"/>
          <w:lang w:val="en-GB" w:eastAsia="en-GB"/>
        </w:rPr>
        <w:t>dividual courses and programmes, what it is that students need to</w:t>
      </w:r>
      <w:r w:rsidR="00A83421" w:rsidRPr="00AB3DAC">
        <w:rPr>
          <w:rFonts w:ascii="Verdana" w:hAnsi="Verdana"/>
          <w:szCs w:val="20"/>
          <w:lang w:val="en-GB" w:eastAsia="en-GB"/>
        </w:rPr>
        <w:t xml:space="preserve"> do to be able to obtain them, and how the institution will provide them with the necessary facilities and opportunities.  This is </w:t>
      </w:r>
      <w:r w:rsidR="007B1F5E" w:rsidRPr="00AB3DAC">
        <w:rPr>
          <w:rFonts w:ascii="Verdana" w:hAnsi="Verdana"/>
          <w:szCs w:val="20"/>
          <w:lang w:val="en-GB" w:eastAsia="en-GB"/>
        </w:rPr>
        <w:t>already an</w:t>
      </w:r>
      <w:r w:rsidR="00A83421" w:rsidRPr="00AB3DAC">
        <w:rPr>
          <w:rFonts w:ascii="Verdana" w:hAnsi="Verdana"/>
          <w:szCs w:val="20"/>
          <w:lang w:val="en-GB" w:eastAsia="en-GB"/>
        </w:rPr>
        <w:t xml:space="preserve"> important plank of nati</w:t>
      </w:r>
      <w:r w:rsidR="00161941" w:rsidRPr="00AB3DAC">
        <w:rPr>
          <w:rFonts w:ascii="Verdana" w:hAnsi="Verdana"/>
          <w:szCs w:val="20"/>
          <w:lang w:val="en-GB" w:eastAsia="en-GB"/>
        </w:rPr>
        <w:t>onal policy</w:t>
      </w:r>
      <w:r w:rsidR="007B1F5E" w:rsidRPr="00AB3DAC">
        <w:rPr>
          <w:rFonts w:ascii="Verdana" w:hAnsi="Verdana"/>
          <w:szCs w:val="20"/>
          <w:lang w:val="en-GB" w:eastAsia="en-GB"/>
        </w:rPr>
        <w:t>, in part b</w:t>
      </w:r>
      <w:r w:rsidR="0046342D" w:rsidRPr="00AB3DAC">
        <w:rPr>
          <w:rFonts w:ascii="Verdana" w:hAnsi="Verdana"/>
          <w:szCs w:val="20"/>
          <w:lang w:val="en-GB" w:eastAsia="en-GB"/>
        </w:rPr>
        <w:t>ecause of previous work by HEPI</w:t>
      </w:r>
      <w:r w:rsidR="00BC3D30">
        <w:rPr>
          <w:rFonts w:ascii="Verdana" w:hAnsi="Verdana"/>
          <w:szCs w:val="20"/>
          <w:lang w:val="en-GB" w:eastAsia="en-GB"/>
        </w:rPr>
        <w:t xml:space="preserve">. </w:t>
      </w:r>
      <w:r w:rsidR="00161941" w:rsidRPr="00AB3DAC">
        <w:rPr>
          <w:rFonts w:ascii="Verdana" w:hAnsi="Verdana"/>
          <w:szCs w:val="20"/>
          <w:lang w:val="en-GB" w:eastAsia="en-GB"/>
        </w:rPr>
        <w:t>Although they have</w:t>
      </w:r>
      <w:r w:rsidR="00A83421" w:rsidRPr="00AB3DAC">
        <w:rPr>
          <w:rFonts w:ascii="Verdana" w:hAnsi="Verdana"/>
          <w:szCs w:val="20"/>
          <w:lang w:val="en-GB" w:eastAsia="en-GB"/>
        </w:rPr>
        <w:t xml:space="preserve"> been criticised as reductionist</w:t>
      </w:r>
      <w:r w:rsidR="00BC3D30">
        <w:rPr>
          <w:rFonts w:ascii="Verdana" w:hAnsi="Verdana"/>
          <w:szCs w:val="20"/>
          <w:lang w:val="en-GB" w:eastAsia="en-GB"/>
        </w:rPr>
        <w:t>,</w:t>
      </w:r>
      <w:r w:rsidR="00A83421" w:rsidRPr="00AB3DAC">
        <w:rPr>
          <w:rFonts w:ascii="Verdana" w:hAnsi="Verdana"/>
          <w:szCs w:val="20"/>
          <w:lang w:val="en-GB" w:eastAsia="en-GB"/>
        </w:rPr>
        <w:t xml:space="preserve"> the learning outcomes now expected for every course should enable everyone connected with it to see what the course is abou</w:t>
      </w:r>
      <w:r w:rsidR="00837009" w:rsidRPr="00AB3DAC">
        <w:rPr>
          <w:rFonts w:ascii="Verdana" w:hAnsi="Verdana"/>
          <w:szCs w:val="20"/>
          <w:lang w:val="en-GB" w:eastAsia="en-GB"/>
        </w:rPr>
        <w:t>t a</w:t>
      </w:r>
      <w:r w:rsidR="00A71075" w:rsidRPr="00AB3DAC">
        <w:rPr>
          <w:rFonts w:ascii="Verdana" w:hAnsi="Verdana"/>
          <w:szCs w:val="20"/>
          <w:lang w:val="en-GB" w:eastAsia="en-GB"/>
        </w:rPr>
        <w:t>nd in particular what kinds</w:t>
      </w:r>
      <w:r w:rsidR="00A83421" w:rsidRPr="00AB3DAC">
        <w:rPr>
          <w:rFonts w:ascii="Verdana" w:hAnsi="Verdana"/>
          <w:szCs w:val="20"/>
          <w:lang w:val="en-GB" w:eastAsia="en-GB"/>
        </w:rPr>
        <w:t xml:space="preserve"> of achievement are aimed at.</w:t>
      </w:r>
    </w:p>
    <w:p w:rsidR="00A83421" w:rsidRPr="00AB3DAC" w:rsidRDefault="00A83421"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Second, although they vary considerably in coverage and specificity, the subject benchmark statements do provide authoritative guidance about the aims and outcomes that the academic community generally considers appropriate for</w:t>
      </w:r>
      <w:r w:rsidR="008044A9" w:rsidRPr="00AB3DAC">
        <w:rPr>
          <w:rFonts w:ascii="Verdana" w:hAnsi="Verdana"/>
          <w:szCs w:val="20"/>
          <w:lang w:val="en-GB" w:eastAsia="en-GB"/>
        </w:rPr>
        <w:t xml:space="preserve"> </w:t>
      </w:r>
      <w:r w:rsidR="007B1F5E" w:rsidRPr="00AB3DAC">
        <w:rPr>
          <w:rFonts w:ascii="Verdana" w:hAnsi="Verdana"/>
          <w:szCs w:val="20"/>
          <w:lang w:val="en-GB" w:eastAsia="en-GB"/>
        </w:rPr>
        <w:t xml:space="preserve">degrees in </w:t>
      </w:r>
      <w:r w:rsidR="008044A9" w:rsidRPr="00AB3DAC">
        <w:rPr>
          <w:rFonts w:ascii="Verdana" w:hAnsi="Verdana"/>
          <w:szCs w:val="20"/>
          <w:lang w:val="en-GB" w:eastAsia="en-GB"/>
        </w:rPr>
        <w:t>particular subjects</w:t>
      </w:r>
      <w:r w:rsidR="00A71075" w:rsidRPr="00AB3DAC">
        <w:rPr>
          <w:rFonts w:ascii="Verdana" w:hAnsi="Verdana"/>
          <w:szCs w:val="20"/>
          <w:lang w:val="en-GB" w:eastAsia="en-GB"/>
        </w:rPr>
        <w:t xml:space="preserve">. The </w:t>
      </w:r>
      <w:r w:rsidR="00EF7DBA" w:rsidRPr="00AB3DAC">
        <w:rPr>
          <w:rFonts w:ascii="Verdana" w:hAnsi="Verdana"/>
          <w:szCs w:val="20"/>
          <w:lang w:val="en-GB" w:eastAsia="en-GB"/>
        </w:rPr>
        <w:t>current review</w:t>
      </w:r>
      <w:r w:rsidR="008044A9" w:rsidRPr="00AB3DAC">
        <w:rPr>
          <w:rFonts w:ascii="Verdana" w:hAnsi="Verdana"/>
          <w:szCs w:val="20"/>
          <w:lang w:val="en-GB" w:eastAsia="en-GB"/>
        </w:rPr>
        <w:t xml:space="preserve"> of</w:t>
      </w:r>
      <w:r w:rsidRPr="00AB3DAC">
        <w:rPr>
          <w:rFonts w:ascii="Verdana" w:hAnsi="Verdana"/>
          <w:szCs w:val="20"/>
          <w:lang w:val="en-GB" w:eastAsia="en-GB"/>
        </w:rPr>
        <w:t xml:space="preserve"> such stateme</w:t>
      </w:r>
      <w:r w:rsidR="00A71075" w:rsidRPr="00AB3DAC">
        <w:rPr>
          <w:rFonts w:ascii="Verdana" w:hAnsi="Verdana"/>
          <w:szCs w:val="20"/>
          <w:lang w:val="en-GB" w:eastAsia="en-GB"/>
        </w:rPr>
        <w:t>nts might</w:t>
      </w:r>
      <w:r w:rsidRPr="00AB3DAC">
        <w:rPr>
          <w:rFonts w:ascii="Verdana" w:hAnsi="Verdana"/>
          <w:szCs w:val="20"/>
          <w:lang w:val="en-GB" w:eastAsia="en-GB"/>
        </w:rPr>
        <w:t xml:space="preserve"> consider whether </w:t>
      </w:r>
      <w:r w:rsidR="008044A9" w:rsidRPr="00AB3DAC">
        <w:rPr>
          <w:rFonts w:ascii="Verdana" w:hAnsi="Verdana"/>
          <w:szCs w:val="20"/>
          <w:lang w:val="en-GB" w:eastAsia="en-GB"/>
        </w:rPr>
        <w:t>they can be sharpened up for thi</w:t>
      </w:r>
      <w:r w:rsidRPr="00AB3DAC">
        <w:rPr>
          <w:rFonts w:ascii="Verdana" w:hAnsi="Verdana"/>
          <w:szCs w:val="20"/>
          <w:lang w:val="en-GB" w:eastAsia="en-GB"/>
        </w:rPr>
        <w:t>s purpose without detracting from</w:t>
      </w:r>
      <w:r w:rsidR="008044A9" w:rsidRPr="00AB3DAC">
        <w:rPr>
          <w:rFonts w:ascii="Verdana" w:hAnsi="Verdana"/>
          <w:szCs w:val="20"/>
          <w:lang w:val="en-GB" w:eastAsia="en-GB"/>
        </w:rPr>
        <w:t xml:space="preserve"> institutional responsi</w:t>
      </w:r>
      <w:r w:rsidRPr="00AB3DAC">
        <w:rPr>
          <w:rFonts w:ascii="Verdana" w:hAnsi="Verdana"/>
          <w:szCs w:val="20"/>
          <w:lang w:val="en-GB" w:eastAsia="en-GB"/>
        </w:rPr>
        <w:t>bility or academic discretion.</w:t>
      </w:r>
      <w:r w:rsidR="003026C1" w:rsidRPr="00AB3DAC">
        <w:rPr>
          <w:rFonts w:ascii="Verdana" w:hAnsi="Verdana"/>
          <w:szCs w:val="20"/>
          <w:lang w:val="en-GB" w:eastAsia="en-GB"/>
        </w:rPr>
        <w:t xml:space="preserve">  It should be understood though that these are concerned only with minimum levels of knowledge and understanding required to achieve a degree, and not with comparability of degree standards.</w:t>
      </w:r>
    </w:p>
    <w:p w:rsidR="007E1AC1" w:rsidRPr="00AB3DAC" w:rsidRDefault="007B1F5E"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w:t>
      </w:r>
      <w:r w:rsidR="00A83421" w:rsidRPr="00AB3DAC">
        <w:rPr>
          <w:rFonts w:ascii="Verdana" w:hAnsi="Verdana"/>
          <w:szCs w:val="20"/>
          <w:lang w:val="en-GB" w:eastAsia="en-GB"/>
        </w:rPr>
        <w:t xml:space="preserve">hird, </w:t>
      </w:r>
      <w:r w:rsidR="00704CA4" w:rsidRPr="00AB3DAC">
        <w:rPr>
          <w:rFonts w:ascii="Verdana" w:hAnsi="Verdana"/>
          <w:szCs w:val="20"/>
          <w:lang w:val="en-GB" w:eastAsia="en-GB"/>
        </w:rPr>
        <w:t xml:space="preserve">one </w:t>
      </w:r>
      <w:r w:rsidR="00963090" w:rsidRPr="00AB3DAC">
        <w:rPr>
          <w:rFonts w:ascii="Verdana" w:hAnsi="Verdana"/>
          <w:szCs w:val="20"/>
          <w:lang w:val="en-GB" w:eastAsia="en-GB"/>
        </w:rPr>
        <w:t>of the biggest problems with external examining</w:t>
      </w:r>
      <w:r w:rsidR="00704CA4" w:rsidRPr="00AB3DAC">
        <w:rPr>
          <w:rFonts w:ascii="Verdana" w:hAnsi="Verdana"/>
          <w:szCs w:val="20"/>
          <w:lang w:val="en-GB" w:eastAsia="en-GB"/>
        </w:rPr>
        <w:t xml:space="preserve"> is that institutions tend to rely too much upon external examiners whenever questions are raised about</w:t>
      </w:r>
      <w:r w:rsidR="00963090" w:rsidRPr="00AB3DAC">
        <w:rPr>
          <w:rFonts w:ascii="Verdana" w:hAnsi="Verdana"/>
          <w:szCs w:val="20"/>
          <w:lang w:val="en-GB" w:eastAsia="en-GB"/>
        </w:rPr>
        <w:t xml:space="preserve"> the appropriateness of their stand</w:t>
      </w:r>
      <w:r w:rsidR="00704CA4" w:rsidRPr="00AB3DAC">
        <w:rPr>
          <w:rFonts w:ascii="Verdana" w:hAnsi="Verdana"/>
          <w:szCs w:val="20"/>
          <w:lang w:val="en-GB" w:eastAsia="en-GB"/>
        </w:rPr>
        <w:t xml:space="preserve">ards.  </w:t>
      </w:r>
      <w:r w:rsidR="00A83421" w:rsidRPr="00AB3DAC">
        <w:rPr>
          <w:rFonts w:ascii="Verdana" w:hAnsi="Verdana"/>
          <w:szCs w:val="20"/>
          <w:lang w:val="en-GB" w:eastAsia="en-GB"/>
        </w:rPr>
        <w:t>QAA and the Higher Education Academy could between them spon</w:t>
      </w:r>
      <w:r w:rsidR="00161941" w:rsidRPr="00AB3DAC">
        <w:rPr>
          <w:rFonts w:ascii="Verdana" w:hAnsi="Verdana"/>
          <w:szCs w:val="20"/>
          <w:lang w:val="en-GB" w:eastAsia="en-GB"/>
        </w:rPr>
        <w:t>sor the creation of networks of</w:t>
      </w:r>
      <w:r w:rsidR="00A83421" w:rsidRPr="00AB3DAC">
        <w:rPr>
          <w:rFonts w:ascii="Verdana" w:hAnsi="Verdana"/>
          <w:szCs w:val="20"/>
          <w:lang w:val="en-GB" w:eastAsia="en-GB"/>
        </w:rPr>
        <w:t xml:space="preserve"> staff, generally but not exclusively on a subject basis, concerned with different aspe</w:t>
      </w:r>
      <w:r w:rsidRPr="00AB3DAC">
        <w:rPr>
          <w:rFonts w:ascii="Verdana" w:hAnsi="Verdana"/>
          <w:szCs w:val="20"/>
          <w:lang w:val="en-GB" w:eastAsia="en-GB"/>
        </w:rPr>
        <w:t xml:space="preserve">cts of assessment.  The aim would </w:t>
      </w:r>
      <w:r w:rsidR="00A83421" w:rsidRPr="00AB3DAC">
        <w:rPr>
          <w:rFonts w:ascii="Verdana" w:hAnsi="Verdana"/>
          <w:szCs w:val="20"/>
          <w:lang w:val="en-GB" w:eastAsia="en-GB"/>
        </w:rPr>
        <w:t xml:space="preserve">be to strengthen the ways in which staff determine the appropriateness of the courses and awards they design by reference to practice elsewhere. </w:t>
      </w:r>
      <w:r w:rsidR="00822A84" w:rsidRPr="00AB3DAC">
        <w:rPr>
          <w:rFonts w:ascii="Verdana" w:hAnsi="Verdana"/>
          <w:szCs w:val="20"/>
          <w:lang w:val="en-GB" w:eastAsia="en-GB"/>
        </w:rPr>
        <w:t>This would be done by comparing the quality of student work and the assessment judgements made in relation to it. In this way the sector could build shared understandings of assessment standards in a way th</w:t>
      </w:r>
      <w:r w:rsidR="00B2371F" w:rsidRPr="00AB3DAC">
        <w:rPr>
          <w:rFonts w:ascii="Verdana" w:hAnsi="Verdana"/>
          <w:szCs w:val="20"/>
          <w:lang w:val="en-GB" w:eastAsia="en-GB"/>
        </w:rPr>
        <w:t>at is still uncommon at present (this was in fact one of the principal recommendations of the Graduate Standards Programme</w:t>
      </w:r>
      <w:r w:rsidR="00837009" w:rsidRPr="00AB3DAC">
        <w:rPr>
          <w:rFonts w:ascii="Verdana" w:hAnsi="Verdana"/>
          <w:szCs w:val="20"/>
          <w:lang w:val="en-GB" w:eastAsia="en-GB"/>
        </w:rPr>
        <w:t>)</w:t>
      </w:r>
      <w:r w:rsidR="00B2371F" w:rsidRPr="00AB3DAC">
        <w:rPr>
          <w:rFonts w:ascii="Verdana" w:hAnsi="Verdana"/>
          <w:szCs w:val="20"/>
          <w:lang w:val="en-GB" w:eastAsia="en-GB"/>
        </w:rPr>
        <w:t>.</w:t>
      </w:r>
      <w:r w:rsidR="002A5A8A" w:rsidRPr="00AB3DAC">
        <w:rPr>
          <w:rFonts w:ascii="Verdana" w:hAnsi="Verdana"/>
          <w:szCs w:val="20"/>
          <w:lang w:val="en-GB" w:eastAsia="en-GB"/>
        </w:rPr>
        <w:t xml:space="preserve"> This is the direction in which external examining might move.</w:t>
      </w:r>
    </w:p>
    <w:p w:rsidR="00A71075" w:rsidRPr="00AB3DAC" w:rsidRDefault="007B1F5E"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Fourth, the sector should make a determined effort both to improve the quality and consistency of assessment practice and to communicate the limitations of</w:t>
      </w:r>
      <w:r w:rsidR="00837009" w:rsidRPr="00AB3DAC">
        <w:rPr>
          <w:rFonts w:ascii="Verdana" w:hAnsi="Verdana"/>
          <w:szCs w:val="20"/>
          <w:lang w:val="en-GB" w:eastAsia="en-GB"/>
        </w:rPr>
        <w:t xml:space="preserve"> a</w:t>
      </w:r>
      <w:r w:rsidR="00704CA4" w:rsidRPr="00AB3DAC">
        <w:rPr>
          <w:rFonts w:ascii="Verdana" w:hAnsi="Verdana"/>
          <w:szCs w:val="20"/>
          <w:lang w:val="en-GB" w:eastAsia="en-GB"/>
        </w:rPr>
        <w:t>ny assessment method, even ones</w:t>
      </w:r>
      <w:r w:rsidRPr="00AB3DAC">
        <w:rPr>
          <w:rFonts w:ascii="Verdana" w:hAnsi="Verdana"/>
          <w:szCs w:val="20"/>
          <w:lang w:val="en-GB" w:eastAsia="en-GB"/>
        </w:rPr>
        <w:t xml:space="preserve"> mor</w:t>
      </w:r>
      <w:r w:rsidR="00837009" w:rsidRPr="00AB3DAC">
        <w:rPr>
          <w:rFonts w:ascii="Verdana" w:hAnsi="Verdana"/>
          <w:szCs w:val="20"/>
          <w:lang w:val="en-GB" w:eastAsia="en-GB"/>
        </w:rPr>
        <w:t xml:space="preserve">e valid and reliable than what </w:t>
      </w:r>
      <w:r w:rsidRPr="00AB3DAC">
        <w:rPr>
          <w:rFonts w:ascii="Verdana" w:hAnsi="Verdana"/>
          <w:szCs w:val="20"/>
          <w:lang w:val="en-GB" w:eastAsia="en-GB"/>
        </w:rPr>
        <w:t xml:space="preserve">we currently have. The QAA’s 2009 report </w:t>
      </w:r>
      <w:r w:rsidR="00EF7DBA">
        <w:rPr>
          <w:rFonts w:ascii="Verdana" w:hAnsi="Verdana"/>
          <w:szCs w:val="20"/>
          <w:lang w:val="en-GB" w:eastAsia="en-GB"/>
        </w:rPr>
        <w:t>‘</w:t>
      </w:r>
      <w:r w:rsidR="00726906" w:rsidRPr="00AB3DAC">
        <w:rPr>
          <w:rFonts w:ascii="Verdana" w:hAnsi="Verdana"/>
          <w:szCs w:val="20"/>
          <w:lang w:val="en-GB" w:eastAsia="en-GB"/>
        </w:rPr>
        <w:t>Thematic Enquiries into Concerns about Academic Quality and Standards in Higher Education in England</w:t>
      </w:r>
      <w:r w:rsidR="00EF7DBA">
        <w:rPr>
          <w:rFonts w:ascii="Verdana" w:hAnsi="Verdana"/>
          <w:szCs w:val="20"/>
          <w:lang w:val="en-GB" w:eastAsia="en-GB"/>
        </w:rPr>
        <w:t>’</w:t>
      </w:r>
      <w:r w:rsidR="00726906" w:rsidRPr="00AB3DAC">
        <w:rPr>
          <w:rFonts w:ascii="Verdana" w:hAnsi="Verdana"/>
          <w:szCs w:val="20"/>
          <w:lang w:val="en-GB" w:eastAsia="en-GB"/>
        </w:rPr>
        <w:t xml:space="preserve"> </w:t>
      </w:r>
      <w:r w:rsidR="00C71029" w:rsidRPr="00AB3DAC">
        <w:rPr>
          <w:rFonts w:ascii="Verdana" w:hAnsi="Verdana"/>
          <w:szCs w:val="20"/>
          <w:lang w:val="en-GB" w:eastAsia="en-GB"/>
        </w:rPr>
        <w:t xml:space="preserve"> recommended</w:t>
      </w:r>
      <w:r w:rsidR="00726906" w:rsidRPr="00AB3DAC">
        <w:rPr>
          <w:rFonts w:ascii="Verdana" w:hAnsi="Verdana"/>
          <w:szCs w:val="20"/>
          <w:lang w:val="en-GB" w:eastAsia="en-GB"/>
        </w:rPr>
        <w:t xml:space="preserve"> a review of assessment practices “supported by developmental activities aimed at improving the robustness and consistency of assessment and classification practices within and between institutions”, together with clarification and explanation of the reasons for, and meaning of, variation in particular approaches to assessment. </w:t>
      </w:r>
      <w:r w:rsidR="00141A80" w:rsidRPr="00AB3DAC">
        <w:rPr>
          <w:rFonts w:ascii="Verdana" w:hAnsi="Verdana"/>
          <w:szCs w:val="20"/>
          <w:lang w:val="en-GB" w:eastAsia="en-GB"/>
        </w:rPr>
        <w:t xml:space="preserve">This would seem appropriate, if not </w:t>
      </w:r>
      <w:r w:rsidR="00C71029" w:rsidRPr="00AB3DAC">
        <w:rPr>
          <w:rFonts w:ascii="Verdana" w:hAnsi="Verdana"/>
          <w:szCs w:val="20"/>
          <w:lang w:val="en-GB" w:eastAsia="en-GB"/>
        </w:rPr>
        <w:t xml:space="preserve">long </w:t>
      </w:r>
      <w:r w:rsidR="00141A80" w:rsidRPr="00AB3DAC">
        <w:rPr>
          <w:rFonts w:ascii="Verdana" w:hAnsi="Verdana"/>
          <w:szCs w:val="20"/>
          <w:lang w:val="en-GB" w:eastAsia="en-GB"/>
        </w:rPr>
        <w:lastRenderedPageBreak/>
        <w:t xml:space="preserve">overdue. </w:t>
      </w:r>
      <w:r w:rsidR="00A71075" w:rsidRPr="00AB3DAC">
        <w:rPr>
          <w:rFonts w:ascii="Verdana" w:hAnsi="Verdana"/>
          <w:szCs w:val="20"/>
          <w:lang w:val="en-GB" w:eastAsia="en-GB"/>
        </w:rPr>
        <w:t>However</w:t>
      </w:r>
      <w:r w:rsidR="00BC3D30">
        <w:rPr>
          <w:rFonts w:ascii="Verdana" w:hAnsi="Verdana"/>
          <w:szCs w:val="20"/>
          <w:lang w:val="en-GB" w:eastAsia="en-GB"/>
        </w:rPr>
        <w:t>,</w:t>
      </w:r>
      <w:r w:rsidR="00A71075" w:rsidRPr="00AB3DAC">
        <w:rPr>
          <w:rFonts w:ascii="Verdana" w:hAnsi="Verdana"/>
          <w:szCs w:val="20"/>
          <w:lang w:val="en-GB" w:eastAsia="en-GB"/>
        </w:rPr>
        <w:t xml:space="preserve"> it is not mentioned in the consultative document on future arrangements for quality assurance recently published by HEFCE on behalf of the funding agencies and the representative bodies </w:t>
      </w:r>
      <w:r w:rsidR="00C71029" w:rsidRPr="00AB3DAC">
        <w:rPr>
          <w:rFonts w:ascii="Verdana" w:hAnsi="Verdana"/>
          <w:szCs w:val="20"/>
          <w:lang w:val="en-GB" w:eastAsia="en-GB"/>
        </w:rPr>
        <w:t>and it is not clear what priority this now has</w:t>
      </w:r>
      <w:r w:rsidR="00A71075" w:rsidRPr="00AB3DAC">
        <w:rPr>
          <w:rFonts w:ascii="Verdana" w:hAnsi="Verdana"/>
          <w:szCs w:val="20"/>
          <w:lang w:val="en-GB" w:eastAsia="en-GB"/>
        </w:rPr>
        <w:t>.</w:t>
      </w:r>
    </w:p>
    <w:p w:rsidR="00726906" w:rsidRPr="00AB3DAC" w:rsidRDefault="00726906"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Fifth, we should press on with alternatives to honours degree classification even if a wholly or mainly formative assessment regime (strongly preferable</w:t>
      </w:r>
      <w:r w:rsidR="00A71075" w:rsidRPr="00AB3DAC">
        <w:rPr>
          <w:rFonts w:ascii="Verdana" w:hAnsi="Verdana"/>
          <w:szCs w:val="20"/>
          <w:lang w:val="en-GB" w:eastAsia="en-GB"/>
        </w:rPr>
        <w:t>,</w:t>
      </w:r>
      <w:r w:rsidRPr="00AB3DAC">
        <w:rPr>
          <w:rFonts w:ascii="Verdana" w:hAnsi="Verdana"/>
          <w:szCs w:val="20"/>
          <w:lang w:val="en-GB" w:eastAsia="en-GB"/>
        </w:rPr>
        <w:t xml:space="preserve"> educationally) is unrealistic in a market-led system.</w:t>
      </w:r>
    </w:p>
    <w:p w:rsidR="00715DD9" w:rsidRPr="00AB3DAC" w:rsidRDefault="00704CA4"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Sixth</w:t>
      </w:r>
      <w:r w:rsidR="00726906" w:rsidRPr="00AB3DAC">
        <w:rPr>
          <w:rFonts w:ascii="Verdana" w:hAnsi="Verdana"/>
          <w:szCs w:val="20"/>
          <w:lang w:val="en-GB" w:eastAsia="en-GB"/>
        </w:rPr>
        <w:t xml:space="preserve">, </w:t>
      </w:r>
      <w:r w:rsidR="00A71075" w:rsidRPr="00AB3DAC">
        <w:rPr>
          <w:rFonts w:ascii="Verdana" w:hAnsi="Verdana"/>
          <w:szCs w:val="20"/>
          <w:lang w:val="en-GB" w:eastAsia="en-GB"/>
        </w:rPr>
        <w:t xml:space="preserve">whilst valuing the way in which external examining helps to keep the sector “honest”, </w:t>
      </w:r>
      <w:r w:rsidR="00726906" w:rsidRPr="00AB3DAC">
        <w:rPr>
          <w:rFonts w:ascii="Verdana" w:hAnsi="Verdana"/>
          <w:szCs w:val="20"/>
          <w:lang w:val="en-GB" w:eastAsia="en-GB"/>
        </w:rPr>
        <w:t xml:space="preserve">we should be more realistic about what we can expect from external examiners. Phasing out degree classification would certainly help here, but there is </w:t>
      </w:r>
      <w:r w:rsidR="00B2371F" w:rsidRPr="00AB3DAC">
        <w:rPr>
          <w:rFonts w:ascii="Verdana" w:hAnsi="Verdana"/>
          <w:szCs w:val="20"/>
          <w:lang w:val="en-GB" w:eastAsia="en-GB"/>
        </w:rPr>
        <w:t xml:space="preserve">much </w:t>
      </w:r>
      <w:r w:rsidR="00726906" w:rsidRPr="00AB3DAC">
        <w:rPr>
          <w:rFonts w:ascii="Verdana" w:hAnsi="Verdana"/>
          <w:szCs w:val="20"/>
          <w:lang w:val="en-GB" w:eastAsia="en-GB"/>
        </w:rPr>
        <w:t xml:space="preserve">more that needs to be done. </w:t>
      </w:r>
    </w:p>
    <w:p w:rsidR="00704CA4" w:rsidRPr="00AB3DAC" w:rsidRDefault="00704CA4"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Finally, we should try a</w:t>
      </w:r>
      <w:r w:rsidR="00963090" w:rsidRPr="00AB3DAC">
        <w:rPr>
          <w:rFonts w:ascii="Verdana" w:hAnsi="Verdana"/>
          <w:szCs w:val="20"/>
          <w:lang w:val="en-GB" w:eastAsia="en-GB"/>
        </w:rPr>
        <w:t xml:space="preserve">s a sector to be much clearer about </w:t>
      </w:r>
      <w:r w:rsidRPr="00AB3DAC">
        <w:rPr>
          <w:rFonts w:ascii="Verdana" w:hAnsi="Verdana"/>
          <w:szCs w:val="20"/>
          <w:lang w:val="en-GB" w:eastAsia="en-GB"/>
        </w:rPr>
        <w:t>what we mean by such terms as “comparability” and “consistency”</w:t>
      </w:r>
      <w:r w:rsidR="00586DC7" w:rsidRPr="00AB3DAC">
        <w:rPr>
          <w:rFonts w:ascii="Verdana" w:hAnsi="Verdana"/>
          <w:szCs w:val="20"/>
          <w:lang w:val="en-GB" w:eastAsia="en-GB"/>
        </w:rPr>
        <w:t>. If we are muddled</w:t>
      </w:r>
      <w:r w:rsidRPr="00AB3DAC">
        <w:rPr>
          <w:rFonts w:ascii="Verdana" w:hAnsi="Verdana"/>
          <w:szCs w:val="20"/>
          <w:lang w:val="en-GB" w:eastAsia="en-GB"/>
        </w:rPr>
        <w:t xml:space="preserve"> in our thinkin</w:t>
      </w:r>
      <w:r w:rsidR="00586DC7" w:rsidRPr="00AB3DAC">
        <w:rPr>
          <w:rFonts w:ascii="Verdana" w:hAnsi="Verdana"/>
          <w:szCs w:val="20"/>
          <w:lang w:val="en-GB" w:eastAsia="en-GB"/>
        </w:rPr>
        <w:t>g,</w:t>
      </w:r>
      <w:r w:rsidRPr="00AB3DAC">
        <w:rPr>
          <w:rFonts w:ascii="Verdana" w:hAnsi="Verdana"/>
          <w:szCs w:val="20"/>
          <w:lang w:val="en-GB" w:eastAsia="en-GB"/>
        </w:rPr>
        <w:t xml:space="preserve"> in our practices, </w:t>
      </w:r>
      <w:r w:rsidR="00586DC7" w:rsidRPr="00AB3DAC">
        <w:rPr>
          <w:rFonts w:ascii="Verdana" w:hAnsi="Verdana"/>
          <w:szCs w:val="20"/>
          <w:lang w:val="en-GB" w:eastAsia="en-GB"/>
        </w:rPr>
        <w:t xml:space="preserve">and in the claims we make for them, </w:t>
      </w:r>
      <w:r w:rsidRPr="00AB3DAC">
        <w:rPr>
          <w:rFonts w:ascii="Verdana" w:hAnsi="Verdana"/>
          <w:szCs w:val="20"/>
          <w:lang w:val="en-GB" w:eastAsia="en-GB"/>
        </w:rPr>
        <w:t>how can we expect others to</w:t>
      </w:r>
      <w:r w:rsidR="00586DC7" w:rsidRPr="00AB3DAC">
        <w:rPr>
          <w:rFonts w:ascii="Verdana" w:hAnsi="Verdana"/>
          <w:szCs w:val="20"/>
          <w:lang w:val="en-GB" w:eastAsia="en-GB"/>
        </w:rPr>
        <w:t xml:space="preserve"> be clear about them?</w:t>
      </w:r>
    </w:p>
    <w:p w:rsidR="00B2371F" w:rsidRPr="00AB3DAC" w:rsidRDefault="00B2371F" w:rsidP="00AB3DAC">
      <w:pPr>
        <w:pStyle w:val="Heading2"/>
        <w:spacing w:before="120" w:line="240" w:lineRule="auto"/>
        <w:rPr>
          <w:rFonts w:ascii="Verdana" w:hAnsi="Verdana" w:cs="Arial"/>
          <w:bCs w:val="0"/>
          <w:sz w:val="24"/>
          <w:szCs w:val="28"/>
        </w:rPr>
      </w:pPr>
      <w:r w:rsidRPr="00AB3DAC">
        <w:rPr>
          <w:rFonts w:ascii="Verdana" w:hAnsi="Verdana" w:cs="Arial"/>
          <w:bCs w:val="0"/>
          <w:sz w:val="24"/>
          <w:szCs w:val="28"/>
        </w:rPr>
        <w:t>Conclusion</w:t>
      </w:r>
    </w:p>
    <w:p w:rsidR="00BC3D30" w:rsidRDefault="00A71075"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Historically, t</w:t>
      </w:r>
      <w:r w:rsidR="00B2371F" w:rsidRPr="00AB3DAC">
        <w:rPr>
          <w:rFonts w:ascii="Verdana" w:hAnsi="Verdana"/>
          <w:szCs w:val="20"/>
          <w:lang w:val="en-GB" w:eastAsia="en-GB"/>
        </w:rPr>
        <w:t xml:space="preserve">he </w:t>
      </w:r>
      <w:r w:rsidRPr="00AB3DAC">
        <w:rPr>
          <w:rFonts w:ascii="Verdana" w:hAnsi="Verdana"/>
          <w:szCs w:val="20"/>
          <w:lang w:val="en-GB" w:eastAsia="en-GB"/>
        </w:rPr>
        <w:t xml:space="preserve">UK has had a strong </w:t>
      </w:r>
      <w:r w:rsidR="00B2371F" w:rsidRPr="00AB3DAC">
        <w:rPr>
          <w:rFonts w:ascii="Verdana" w:hAnsi="Verdana"/>
          <w:szCs w:val="20"/>
          <w:lang w:val="en-GB" w:eastAsia="en-GB"/>
        </w:rPr>
        <w:t>attachment to the principle of compar</w:t>
      </w:r>
      <w:r w:rsidR="00141A80" w:rsidRPr="00AB3DAC">
        <w:rPr>
          <w:rFonts w:ascii="Verdana" w:hAnsi="Verdana"/>
          <w:szCs w:val="20"/>
          <w:lang w:val="en-GB" w:eastAsia="en-GB"/>
        </w:rPr>
        <w:t>abili</w:t>
      </w:r>
      <w:r w:rsidR="0046621C" w:rsidRPr="00AB3DAC">
        <w:rPr>
          <w:rFonts w:ascii="Verdana" w:hAnsi="Verdana"/>
          <w:szCs w:val="20"/>
          <w:lang w:val="en-GB" w:eastAsia="en-GB"/>
        </w:rPr>
        <w:t>ty of de</w:t>
      </w:r>
      <w:r w:rsidRPr="00AB3DAC">
        <w:rPr>
          <w:rFonts w:ascii="Verdana" w:hAnsi="Verdana"/>
          <w:szCs w:val="20"/>
          <w:lang w:val="en-GB" w:eastAsia="en-GB"/>
        </w:rPr>
        <w:t>gree standards. However</w:t>
      </w:r>
      <w:r w:rsidR="0046621C" w:rsidRPr="00AB3DAC">
        <w:rPr>
          <w:rFonts w:ascii="Verdana" w:hAnsi="Verdana"/>
          <w:szCs w:val="20"/>
          <w:lang w:val="en-GB" w:eastAsia="en-GB"/>
        </w:rPr>
        <w:t>,</w:t>
      </w:r>
      <w:r w:rsidR="00B2371F" w:rsidRPr="00AB3DAC">
        <w:rPr>
          <w:rFonts w:ascii="Verdana" w:hAnsi="Verdana"/>
          <w:szCs w:val="20"/>
          <w:lang w:val="en-GB" w:eastAsia="en-GB"/>
        </w:rPr>
        <w:t xml:space="preserve"> it is increasingly doubtful whether, in a diverse mass system inco</w:t>
      </w:r>
      <w:r w:rsidR="00141A80" w:rsidRPr="00AB3DAC">
        <w:rPr>
          <w:rFonts w:ascii="Verdana" w:hAnsi="Verdana"/>
          <w:szCs w:val="20"/>
          <w:lang w:val="en-GB" w:eastAsia="en-GB"/>
        </w:rPr>
        <w:t>rporating significant</w:t>
      </w:r>
      <w:r w:rsidR="00B2371F" w:rsidRPr="00AB3DAC">
        <w:rPr>
          <w:rFonts w:ascii="Verdana" w:hAnsi="Verdana"/>
          <w:szCs w:val="20"/>
          <w:lang w:val="en-GB" w:eastAsia="en-GB"/>
        </w:rPr>
        <w:t xml:space="preserve"> student choice, a real degree of comparability, in the sense of </w:t>
      </w:r>
      <w:r w:rsidR="00141A80" w:rsidRPr="00AB3DAC">
        <w:rPr>
          <w:rFonts w:ascii="Verdana" w:hAnsi="Verdana"/>
          <w:szCs w:val="20"/>
          <w:lang w:val="en-GB" w:eastAsia="en-GB"/>
        </w:rPr>
        <w:t xml:space="preserve">equivalent </w:t>
      </w:r>
      <w:r w:rsidR="00B2371F" w:rsidRPr="00AB3DAC">
        <w:rPr>
          <w:rFonts w:ascii="Verdana" w:hAnsi="Verdana"/>
          <w:szCs w:val="20"/>
          <w:lang w:val="en-GB" w:eastAsia="en-GB"/>
        </w:rPr>
        <w:t xml:space="preserve">levels of student learning achievement across </w:t>
      </w:r>
      <w:r w:rsidRPr="00AB3DAC">
        <w:rPr>
          <w:rFonts w:ascii="Verdana" w:hAnsi="Verdana"/>
          <w:szCs w:val="20"/>
          <w:lang w:val="en-GB" w:eastAsia="en-GB"/>
        </w:rPr>
        <w:t xml:space="preserve">all </w:t>
      </w:r>
      <w:r w:rsidR="00B2371F" w:rsidRPr="00AB3DAC">
        <w:rPr>
          <w:rFonts w:ascii="Verdana" w:hAnsi="Verdana"/>
          <w:szCs w:val="20"/>
          <w:lang w:val="en-GB" w:eastAsia="en-GB"/>
        </w:rPr>
        <w:t>institutions and subjects, is pract</w:t>
      </w:r>
      <w:r w:rsidR="0046621C" w:rsidRPr="00AB3DAC">
        <w:rPr>
          <w:rFonts w:ascii="Verdana" w:hAnsi="Verdana"/>
          <w:szCs w:val="20"/>
          <w:lang w:val="en-GB" w:eastAsia="en-GB"/>
        </w:rPr>
        <w:t>icable</w:t>
      </w:r>
      <w:r w:rsidR="00194495" w:rsidRPr="00AB3DAC">
        <w:rPr>
          <w:rFonts w:ascii="Verdana" w:hAnsi="Verdana"/>
          <w:szCs w:val="20"/>
          <w:lang w:val="en-GB" w:eastAsia="en-GB"/>
        </w:rPr>
        <w:t xml:space="preserve"> or even desirable</w:t>
      </w:r>
      <w:r w:rsidR="00B2371F" w:rsidRPr="00AB3DAC">
        <w:rPr>
          <w:rFonts w:ascii="Verdana" w:hAnsi="Verdana"/>
          <w:szCs w:val="20"/>
          <w:lang w:val="en-GB" w:eastAsia="en-GB"/>
        </w:rPr>
        <w:t xml:space="preserve">. </w:t>
      </w:r>
      <w:r w:rsidR="0046621C" w:rsidRPr="00AB3DAC">
        <w:rPr>
          <w:rFonts w:ascii="Verdana" w:hAnsi="Verdana"/>
          <w:szCs w:val="20"/>
          <w:lang w:val="en-GB" w:eastAsia="en-GB"/>
        </w:rPr>
        <w:t>However</w:t>
      </w:r>
      <w:r w:rsidR="00141A80" w:rsidRPr="00AB3DAC">
        <w:rPr>
          <w:rFonts w:ascii="Verdana" w:hAnsi="Verdana"/>
          <w:szCs w:val="20"/>
          <w:lang w:val="en-GB" w:eastAsia="en-GB"/>
        </w:rPr>
        <w:t>, t</w:t>
      </w:r>
      <w:r w:rsidR="00B2371F" w:rsidRPr="00AB3DAC">
        <w:rPr>
          <w:rFonts w:ascii="Verdana" w:hAnsi="Verdana"/>
          <w:szCs w:val="20"/>
          <w:lang w:val="en-GB" w:eastAsia="en-GB"/>
        </w:rPr>
        <w:t>his nee</w:t>
      </w:r>
      <w:r w:rsidRPr="00AB3DAC">
        <w:rPr>
          <w:rFonts w:ascii="Verdana" w:hAnsi="Verdana"/>
          <w:szCs w:val="20"/>
          <w:lang w:val="en-GB" w:eastAsia="en-GB"/>
        </w:rPr>
        <w:t>d not mean a</w:t>
      </w:r>
      <w:r w:rsidR="00B2371F" w:rsidRPr="00AB3DAC">
        <w:rPr>
          <w:rFonts w:ascii="Verdana" w:hAnsi="Verdana"/>
          <w:szCs w:val="20"/>
          <w:lang w:val="en-GB" w:eastAsia="en-GB"/>
        </w:rPr>
        <w:t xml:space="preserve"> dilution </w:t>
      </w:r>
      <w:r w:rsidR="0046621C" w:rsidRPr="00AB3DAC">
        <w:rPr>
          <w:rFonts w:ascii="Verdana" w:hAnsi="Verdana"/>
          <w:szCs w:val="20"/>
          <w:lang w:val="en-GB" w:eastAsia="en-GB"/>
        </w:rPr>
        <w:t>of standards</w:t>
      </w:r>
      <w:r w:rsidR="00194495" w:rsidRPr="00AB3DAC">
        <w:rPr>
          <w:rFonts w:ascii="Verdana" w:hAnsi="Verdana"/>
          <w:szCs w:val="20"/>
          <w:lang w:val="en-GB" w:eastAsia="en-GB"/>
        </w:rPr>
        <w:t xml:space="preserve"> </w:t>
      </w:r>
      <w:r w:rsidR="00EF7DBA">
        <w:rPr>
          <w:rFonts w:ascii="Verdana" w:hAnsi="Verdana"/>
          <w:szCs w:val="20"/>
          <w:lang w:val="en-GB" w:eastAsia="en-GB"/>
        </w:rPr>
        <w:t xml:space="preserve">– </w:t>
      </w:r>
      <w:r w:rsidR="00194495" w:rsidRPr="00AB3DAC">
        <w:rPr>
          <w:rFonts w:ascii="Verdana" w:hAnsi="Verdana"/>
          <w:szCs w:val="20"/>
          <w:lang w:val="en-GB" w:eastAsia="en-GB"/>
        </w:rPr>
        <w:t>minimum standards need to be maintained, and as far as possible differences in standards should be recognised and described</w:t>
      </w:r>
      <w:r w:rsidR="0046621C" w:rsidRPr="00AB3DAC">
        <w:rPr>
          <w:rFonts w:ascii="Verdana" w:hAnsi="Verdana"/>
          <w:szCs w:val="20"/>
          <w:lang w:val="en-GB" w:eastAsia="en-GB"/>
        </w:rPr>
        <w:t xml:space="preserve">. </w:t>
      </w:r>
    </w:p>
    <w:p w:rsidR="002C4E2E" w:rsidRPr="00AB3DAC" w:rsidRDefault="0046621C" w:rsidP="00AB3DAC">
      <w:pPr>
        <w:pStyle w:val="BodyText"/>
        <w:numPr>
          <w:ilvl w:val="0"/>
          <w:numId w:val="16"/>
        </w:numPr>
        <w:spacing w:before="0" w:line="300" w:lineRule="atLeast"/>
        <w:ind w:left="0" w:firstLine="0"/>
        <w:rPr>
          <w:rFonts w:ascii="Verdana" w:hAnsi="Verdana"/>
          <w:szCs w:val="20"/>
          <w:lang w:val="en-GB" w:eastAsia="en-GB"/>
        </w:rPr>
      </w:pPr>
      <w:r w:rsidRPr="00AB3DAC">
        <w:rPr>
          <w:rFonts w:ascii="Verdana" w:hAnsi="Verdana"/>
          <w:szCs w:val="20"/>
          <w:lang w:val="en-GB" w:eastAsia="en-GB"/>
        </w:rPr>
        <w:t>There are</w:t>
      </w:r>
      <w:r w:rsidR="00141A80" w:rsidRPr="00AB3DAC">
        <w:rPr>
          <w:rFonts w:ascii="Verdana" w:hAnsi="Verdana"/>
          <w:szCs w:val="20"/>
          <w:lang w:val="en-GB" w:eastAsia="en-GB"/>
        </w:rPr>
        <w:t xml:space="preserve"> </w:t>
      </w:r>
      <w:r w:rsidR="00A71075" w:rsidRPr="00AB3DAC">
        <w:rPr>
          <w:rFonts w:ascii="Verdana" w:hAnsi="Verdana"/>
          <w:szCs w:val="20"/>
          <w:lang w:val="en-GB" w:eastAsia="en-GB"/>
        </w:rPr>
        <w:t xml:space="preserve">a number of </w:t>
      </w:r>
      <w:r w:rsidR="00B2371F" w:rsidRPr="00AB3DAC">
        <w:rPr>
          <w:rFonts w:ascii="Verdana" w:hAnsi="Verdana"/>
          <w:szCs w:val="20"/>
          <w:lang w:val="en-GB" w:eastAsia="en-GB"/>
        </w:rPr>
        <w:t xml:space="preserve">things that the sector could do to </w:t>
      </w:r>
      <w:r w:rsidR="00A71075" w:rsidRPr="00AB3DAC">
        <w:rPr>
          <w:rFonts w:ascii="Verdana" w:hAnsi="Verdana"/>
          <w:szCs w:val="20"/>
          <w:lang w:val="en-GB" w:eastAsia="en-GB"/>
        </w:rPr>
        <w:t>achieve this</w:t>
      </w:r>
      <w:r w:rsidR="00F8068D" w:rsidRPr="00AB3DAC">
        <w:rPr>
          <w:rFonts w:ascii="Verdana" w:hAnsi="Verdana"/>
          <w:szCs w:val="20"/>
          <w:lang w:val="en-GB" w:eastAsia="en-GB"/>
        </w:rPr>
        <w:t>. M</w:t>
      </w:r>
      <w:r w:rsidR="00963090" w:rsidRPr="00AB3DAC">
        <w:rPr>
          <w:rFonts w:ascii="Verdana" w:hAnsi="Verdana"/>
          <w:szCs w:val="20"/>
          <w:lang w:val="en-GB" w:eastAsia="en-GB"/>
        </w:rPr>
        <w:t>any of these</w:t>
      </w:r>
      <w:r w:rsidRPr="00AB3DAC">
        <w:rPr>
          <w:rFonts w:ascii="Verdana" w:hAnsi="Verdana"/>
          <w:szCs w:val="20"/>
          <w:lang w:val="en-GB" w:eastAsia="en-GB"/>
        </w:rPr>
        <w:t xml:space="preserve"> are already in train</w:t>
      </w:r>
      <w:r w:rsidR="00B2371F" w:rsidRPr="00AB3DAC">
        <w:rPr>
          <w:rFonts w:ascii="Verdana" w:hAnsi="Verdana"/>
          <w:szCs w:val="20"/>
          <w:lang w:val="en-GB" w:eastAsia="en-GB"/>
        </w:rPr>
        <w:t>. Perha</w:t>
      </w:r>
      <w:r w:rsidR="00F8068D" w:rsidRPr="00AB3DAC">
        <w:rPr>
          <w:rFonts w:ascii="Verdana" w:hAnsi="Verdana"/>
          <w:szCs w:val="20"/>
          <w:lang w:val="en-GB" w:eastAsia="en-GB"/>
        </w:rPr>
        <w:t xml:space="preserve">ps the most fundamental </w:t>
      </w:r>
      <w:r w:rsidR="00963090" w:rsidRPr="00AB3DAC">
        <w:rPr>
          <w:rFonts w:ascii="Verdana" w:hAnsi="Verdana"/>
          <w:szCs w:val="20"/>
          <w:lang w:val="en-GB" w:eastAsia="en-GB"/>
        </w:rPr>
        <w:t xml:space="preserve">is to improve the quality </w:t>
      </w:r>
      <w:r w:rsidR="00B2371F" w:rsidRPr="00AB3DAC">
        <w:rPr>
          <w:rFonts w:ascii="Verdana" w:hAnsi="Verdana"/>
          <w:szCs w:val="20"/>
          <w:lang w:val="en-GB" w:eastAsia="en-GB"/>
        </w:rPr>
        <w:t xml:space="preserve">of assessment, with much greater professionalism </w:t>
      </w:r>
      <w:r w:rsidR="00141A80" w:rsidRPr="00AB3DAC">
        <w:rPr>
          <w:rFonts w:ascii="Verdana" w:hAnsi="Verdana"/>
          <w:szCs w:val="20"/>
          <w:lang w:val="en-GB" w:eastAsia="en-GB"/>
        </w:rPr>
        <w:t xml:space="preserve">and </w:t>
      </w:r>
      <w:r w:rsidR="00810BB0" w:rsidRPr="00AB3DAC">
        <w:rPr>
          <w:rFonts w:ascii="Verdana" w:hAnsi="Verdana"/>
          <w:szCs w:val="20"/>
          <w:lang w:val="en-GB" w:eastAsia="en-GB"/>
        </w:rPr>
        <w:t>much more systematic comparisons of student performance on similar programmes across a range of institutions. This could be done either through a reformed external examiner system or through the creation of new subject-based networks</w:t>
      </w:r>
      <w:r w:rsidR="00136AF2" w:rsidRPr="00AB3DAC">
        <w:rPr>
          <w:rFonts w:ascii="Verdana" w:hAnsi="Verdana"/>
          <w:szCs w:val="20"/>
          <w:lang w:val="en-GB" w:eastAsia="en-GB"/>
        </w:rPr>
        <w:t>, or some combination of them</w:t>
      </w:r>
      <w:r w:rsidR="00810BB0" w:rsidRPr="00AB3DAC">
        <w:rPr>
          <w:rFonts w:ascii="Verdana" w:hAnsi="Verdana"/>
          <w:szCs w:val="20"/>
          <w:lang w:val="en-GB" w:eastAsia="en-GB"/>
        </w:rPr>
        <w:t>.</w:t>
      </w:r>
      <w:r w:rsidR="00FF7341" w:rsidRPr="00AB3DAC">
        <w:rPr>
          <w:rFonts w:ascii="Verdana" w:hAnsi="Verdana"/>
          <w:szCs w:val="20"/>
          <w:lang w:val="en-GB" w:eastAsia="en-GB"/>
        </w:rPr>
        <w:t xml:space="preserve"> </w:t>
      </w:r>
      <w:r w:rsidR="00A71075" w:rsidRPr="00AB3DAC">
        <w:rPr>
          <w:rFonts w:ascii="Verdana" w:hAnsi="Verdana"/>
          <w:szCs w:val="20"/>
          <w:lang w:val="en-GB" w:eastAsia="en-GB"/>
        </w:rPr>
        <w:t xml:space="preserve">Contrariwise, if a consensus is not achieved on comparability then the current moves to reform quality assurance, including </w:t>
      </w:r>
      <w:r w:rsidR="00C630AF" w:rsidRPr="00AB3DAC">
        <w:rPr>
          <w:rFonts w:ascii="Verdana" w:hAnsi="Verdana"/>
          <w:szCs w:val="20"/>
          <w:lang w:val="en-GB" w:eastAsia="en-GB"/>
        </w:rPr>
        <w:t>the review of external examining and the evaluation of t</w:t>
      </w:r>
      <w:r w:rsidR="00925B8A" w:rsidRPr="00AB3DAC">
        <w:rPr>
          <w:rFonts w:ascii="Verdana" w:hAnsi="Verdana"/>
          <w:szCs w:val="20"/>
          <w:lang w:val="en-GB" w:eastAsia="en-GB"/>
        </w:rPr>
        <w:t xml:space="preserve">he academic infrastructure, may prove </w:t>
      </w:r>
      <w:r w:rsidR="00C630AF" w:rsidRPr="00AB3DAC">
        <w:rPr>
          <w:rFonts w:ascii="Verdana" w:hAnsi="Verdana"/>
          <w:szCs w:val="20"/>
          <w:lang w:val="en-GB" w:eastAsia="en-GB"/>
        </w:rPr>
        <w:t>nugatory</w:t>
      </w:r>
      <w:r w:rsidR="00FF7341" w:rsidRPr="00AB3DAC">
        <w:rPr>
          <w:rFonts w:ascii="Verdana" w:hAnsi="Verdana"/>
          <w:szCs w:val="20"/>
          <w:lang w:val="en-GB" w:eastAsia="en-GB"/>
        </w:rPr>
        <w:t xml:space="preserve">. </w:t>
      </w:r>
    </w:p>
    <w:sectPr w:rsidR="002C4E2E" w:rsidRPr="00AB3DAC" w:rsidSect="0043535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260" w:rsidRDefault="00E72260" w:rsidP="00715DD9">
      <w:pPr>
        <w:spacing w:after="0" w:line="240" w:lineRule="auto"/>
      </w:pPr>
      <w:r>
        <w:separator/>
      </w:r>
    </w:p>
  </w:endnote>
  <w:endnote w:type="continuationSeparator" w:id="0">
    <w:p w:rsidR="00E72260" w:rsidRDefault="00E72260" w:rsidP="0071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260" w:rsidRDefault="00E72260" w:rsidP="00715DD9">
      <w:pPr>
        <w:spacing w:after="0" w:line="240" w:lineRule="auto"/>
      </w:pPr>
      <w:r>
        <w:separator/>
      </w:r>
    </w:p>
  </w:footnote>
  <w:footnote w:type="continuationSeparator" w:id="0">
    <w:p w:rsidR="00E72260" w:rsidRDefault="00E72260" w:rsidP="00715DD9">
      <w:pPr>
        <w:spacing w:after="0" w:line="240" w:lineRule="auto"/>
      </w:pPr>
      <w:r>
        <w:continuationSeparator/>
      </w:r>
    </w:p>
  </w:footnote>
  <w:footnote w:id="1">
    <w:p w:rsidR="00AD7F70" w:rsidRDefault="00AD7F70">
      <w:pPr>
        <w:pStyle w:val="FootnoteText"/>
      </w:pPr>
      <w:r>
        <w:rPr>
          <w:rStyle w:val="FootnoteReference"/>
        </w:rPr>
        <w:footnoteRef/>
      </w:r>
      <w:r>
        <w:t xml:space="preserve"> For full references and bibliography, please refer to the full version of this report on www.hepi.ac.uk.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965"/>
    <w:multiLevelType w:val="hybridMultilevel"/>
    <w:tmpl w:val="BF98D67E"/>
    <w:lvl w:ilvl="0" w:tplc="0409000F">
      <w:start w:val="1"/>
      <w:numFmt w:val="decimal"/>
      <w:lvlText w:val="%1."/>
      <w:lvlJc w:val="left"/>
      <w:pPr>
        <w:ind w:left="1065" w:hanging="360"/>
      </w:pPr>
      <w:rPr>
        <w:rFont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nsid w:val="0FF26497"/>
    <w:multiLevelType w:val="hybridMultilevel"/>
    <w:tmpl w:val="A8183148"/>
    <w:lvl w:ilvl="0" w:tplc="5740BE8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nsid w:val="12DE0D64"/>
    <w:multiLevelType w:val="hybridMultilevel"/>
    <w:tmpl w:val="2AC8A288"/>
    <w:lvl w:ilvl="0" w:tplc="0809000F">
      <w:start w:val="9"/>
      <w:numFmt w:val="decimal"/>
      <w:lvlText w:val="%1."/>
      <w:lvlJc w:val="left"/>
      <w:pPr>
        <w:ind w:left="29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1866D5"/>
    <w:multiLevelType w:val="hybridMultilevel"/>
    <w:tmpl w:val="9188A1FC"/>
    <w:lvl w:ilvl="0" w:tplc="C084419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15DA75F1"/>
    <w:multiLevelType w:val="hybridMultilevel"/>
    <w:tmpl w:val="33E4403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751DF5"/>
    <w:multiLevelType w:val="hybridMultilevel"/>
    <w:tmpl w:val="82045A6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B33482"/>
    <w:multiLevelType w:val="hybridMultilevel"/>
    <w:tmpl w:val="49C6B144"/>
    <w:lvl w:ilvl="0" w:tplc="A1664A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9E0D29"/>
    <w:multiLevelType w:val="hybridMultilevel"/>
    <w:tmpl w:val="5680E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2351B2"/>
    <w:multiLevelType w:val="hybridMultilevel"/>
    <w:tmpl w:val="19E4B222"/>
    <w:lvl w:ilvl="0" w:tplc="4772324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3EF7B89"/>
    <w:multiLevelType w:val="hybridMultilevel"/>
    <w:tmpl w:val="EFF66AE0"/>
    <w:lvl w:ilvl="0" w:tplc="FECEB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AA96B17"/>
    <w:multiLevelType w:val="hybridMultilevel"/>
    <w:tmpl w:val="53A42834"/>
    <w:lvl w:ilvl="0" w:tplc="4DCE5C0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37662C"/>
    <w:multiLevelType w:val="hybridMultilevel"/>
    <w:tmpl w:val="F1468A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5512E"/>
    <w:multiLevelType w:val="hybridMultilevel"/>
    <w:tmpl w:val="56E02DA2"/>
    <w:lvl w:ilvl="0" w:tplc="34923F3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6DA23112"/>
    <w:multiLevelType w:val="hybridMultilevel"/>
    <w:tmpl w:val="717292B2"/>
    <w:lvl w:ilvl="0" w:tplc="D8364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43306A"/>
    <w:multiLevelType w:val="hybridMultilevel"/>
    <w:tmpl w:val="89367938"/>
    <w:lvl w:ilvl="0" w:tplc="B3CC247A">
      <w:start w:val="1"/>
      <w:numFmt w:val="decimal"/>
      <w:lvlText w:val="%1."/>
      <w:lvlJc w:val="left"/>
      <w:pPr>
        <w:ind w:left="720" w:hanging="360"/>
      </w:pPr>
      <w:rPr>
        <w:rFonts w:ascii="Times New Roman" w:eastAsia="SimSu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BA43E0"/>
    <w:multiLevelType w:val="hybridMultilevel"/>
    <w:tmpl w:val="A6103CE8"/>
    <w:lvl w:ilvl="0" w:tplc="983A524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nsid w:val="7BEB26AE"/>
    <w:multiLevelType w:val="hybridMultilevel"/>
    <w:tmpl w:val="48A2E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4"/>
  </w:num>
  <w:num w:numId="5">
    <w:abstractNumId w:val="7"/>
  </w:num>
  <w:num w:numId="6">
    <w:abstractNumId w:val="12"/>
  </w:num>
  <w:num w:numId="7">
    <w:abstractNumId w:val="9"/>
  </w:num>
  <w:num w:numId="8">
    <w:abstractNumId w:val="2"/>
  </w:num>
  <w:num w:numId="9">
    <w:abstractNumId w:val="3"/>
  </w:num>
  <w:num w:numId="10">
    <w:abstractNumId w:val="13"/>
  </w:num>
  <w:num w:numId="11">
    <w:abstractNumId w:val="8"/>
  </w:num>
  <w:num w:numId="12">
    <w:abstractNumId w:val="5"/>
  </w:num>
  <w:num w:numId="13">
    <w:abstractNumId w:val="6"/>
  </w:num>
  <w:num w:numId="14">
    <w:abstractNumId w:val="4"/>
  </w:num>
  <w:num w:numId="15">
    <w:abstractNumId w:val="10"/>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docVars>
    <w:docVar w:name="dgnword-docGUID" w:val="赴㊣ЀÔ$㰤㉨㊧㊧㊧"/>
    <w:docVar w:name="dgnword-eventsink" w:val="X~~įįƝƝȀȀ̵̵͒͒ͣͣББѳѳӻӻ११੝੝ଓଓஅ஌᤭᤭ᦣᦩ᧐ᵓᵓᵞᵞᵵᵵᶔᶔᶾᶾ᷇᷇ᷓᷓᷔᷔᷴᷴḂḂḚḚḲḲṁṁṓṓṜṜṣṣẗẗầầỈỈỉỉ㌼㌼㎰㎰㖖㖖䓎䓎䙻䙻䮂䮂䮗䮗䮴䯗哓哜啚嗔嗕嗘戾扅灚灠狅狋踽蹍鋵鋶鷧鷫點黪ꉩꉭ뗏뗑뗧뗨똩뙄뚍뚑뚔뚕뚖뚯뛮뛯뚚ȃȇȄȇȃȇȄȇȃȇȄȇȃȇȄȇȃȇȄȇȄȇȄȇȄȇȄȇȄȇȄȇȄȇȄȇȄȇȄȇȄȇȄȇȄȇȳȇȄȇȳȇȃȄȃȄȃȄȃȄȃȄȃȄȃȄȃȄȃȄȃȄȃȄȃȄȃȄȃȄȃȄȃȄȃȄȃȄȃȄȃȄȃȄȃȄȃȄȃȄȃȄȃȄȃȄȃȳȇȳȇȃȄȃȇȳȇȳȇȳȇȳȇȳȇȳȇȳȇȳȇȳȇȳȇȄȇȳȇȄȇȃȇȃȇ騄͠ﶔ쫮"/>
  </w:docVars>
  <w:rsids>
    <w:rsidRoot w:val="00121984"/>
    <w:rsid w:val="00031902"/>
    <w:rsid w:val="00033794"/>
    <w:rsid w:val="00035510"/>
    <w:rsid w:val="00051697"/>
    <w:rsid w:val="00082EB4"/>
    <w:rsid w:val="000A294E"/>
    <w:rsid w:val="000A53AF"/>
    <w:rsid w:val="000B03F5"/>
    <w:rsid w:val="000B1ECE"/>
    <w:rsid w:val="000C58F6"/>
    <w:rsid w:val="001178F3"/>
    <w:rsid w:val="00121984"/>
    <w:rsid w:val="00130375"/>
    <w:rsid w:val="00131DEE"/>
    <w:rsid w:val="00136AF2"/>
    <w:rsid w:val="00140040"/>
    <w:rsid w:val="00141A80"/>
    <w:rsid w:val="00161941"/>
    <w:rsid w:val="0016582C"/>
    <w:rsid w:val="00174BC7"/>
    <w:rsid w:val="00194495"/>
    <w:rsid w:val="001B35F3"/>
    <w:rsid w:val="002257A4"/>
    <w:rsid w:val="0023133D"/>
    <w:rsid w:val="00256E59"/>
    <w:rsid w:val="00261A82"/>
    <w:rsid w:val="00276B36"/>
    <w:rsid w:val="00280BE9"/>
    <w:rsid w:val="00297E4E"/>
    <w:rsid w:val="002A5A8A"/>
    <w:rsid w:val="002C28E6"/>
    <w:rsid w:val="002C4E2E"/>
    <w:rsid w:val="002D5083"/>
    <w:rsid w:val="002E096E"/>
    <w:rsid w:val="002F78AA"/>
    <w:rsid w:val="003026C1"/>
    <w:rsid w:val="00360756"/>
    <w:rsid w:val="003C5545"/>
    <w:rsid w:val="00407E05"/>
    <w:rsid w:val="00427015"/>
    <w:rsid w:val="0043535F"/>
    <w:rsid w:val="0046342D"/>
    <w:rsid w:val="0046621C"/>
    <w:rsid w:val="00491578"/>
    <w:rsid w:val="004B7C51"/>
    <w:rsid w:val="004C3C8A"/>
    <w:rsid w:val="004E3529"/>
    <w:rsid w:val="005412D7"/>
    <w:rsid w:val="0055515A"/>
    <w:rsid w:val="00586DC7"/>
    <w:rsid w:val="005A0455"/>
    <w:rsid w:val="005B195A"/>
    <w:rsid w:val="005B49B2"/>
    <w:rsid w:val="005B4D3D"/>
    <w:rsid w:val="005C2179"/>
    <w:rsid w:val="005D5B34"/>
    <w:rsid w:val="00612240"/>
    <w:rsid w:val="00633921"/>
    <w:rsid w:val="006346B1"/>
    <w:rsid w:val="006428C7"/>
    <w:rsid w:val="00704CA4"/>
    <w:rsid w:val="00715DD9"/>
    <w:rsid w:val="00726906"/>
    <w:rsid w:val="007402E3"/>
    <w:rsid w:val="007413BD"/>
    <w:rsid w:val="007424E0"/>
    <w:rsid w:val="007B1F5E"/>
    <w:rsid w:val="007D4004"/>
    <w:rsid w:val="007E1AC1"/>
    <w:rsid w:val="007F4FFF"/>
    <w:rsid w:val="008044A9"/>
    <w:rsid w:val="00810BB0"/>
    <w:rsid w:val="00822A84"/>
    <w:rsid w:val="00833F24"/>
    <w:rsid w:val="00837009"/>
    <w:rsid w:val="0083720B"/>
    <w:rsid w:val="00850968"/>
    <w:rsid w:val="00856CD3"/>
    <w:rsid w:val="00890BCC"/>
    <w:rsid w:val="00897855"/>
    <w:rsid w:val="00906256"/>
    <w:rsid w:val="00915213"/>
    <w:rsid w:val="00925B8A"/>
    <w:rsid w:val="00930C45"/>
    <w:rsid w:val="00963090"/>
    <w:rsid w:val="0098428B"/>
    <w:rsid w:val="009B6E6C"/>
    <w:rsid w:val="009E0B3B"/>
    <w:rsid w:val="00A221F2"/>
    <w:rsid w:val="00A37C02"/>
    <w:rsid w:val="00A41504"/>
    <w:rsid w:val="00A53F9D"/>
    <w:rsid w:val="00A55159"/>
    <w:rsid w:val="00A56B95"/>
    <w:rsid w:val="00A71075"/>
    <w:rsid w:val="00A808A8"/>
    <w:rsid w:val="00A83421"/>
    <w:rsid w:val="00A931BC"/>
    <w:rsid w:val="00AB3DAC"/>
    <w:rsid w:val="00AC1AFB"/>
    <w:rsid w:val="00AC20AB"/>
    <w:rsid w:val="00AD13CD"/>
    <w:rsid w:val="00AD7F70"/>
    <w:rsid w:val="00AE71F3"/>
    <w:rsid w:val="00B12FDD"/>
    <w:rsid w:val="00B21CF7"/>
    <w:rsid w:val="00B2371F"/>
    <w:rsid w:val="00B75F97"/>
    <w:rsid w:val="00BC3D30"/>
    <w:rsid w:val="00BC6061"/>
    <w:rsid w:val="00BF2EDD"/>
    <w:rsid w:val="00C32F25"/>
    <w:rsid w:val="00C61177"/>
    <w:rsid w:val="00C630AF"/>
    <w:rsid w:val="00C71029"/>
    <w:rsid w:val="00C74C88"/>
    <w:rsid w:val="00CA164C"/>
    <w:rsid w:val="00CA62F8"/>
    <w:rsid w:val="00CB01D0"/>
    <w:rsid w:val="00CB0923"/>
    <w:rsid w:val="00CE3E22"/>
    <w:rsid w:val="00CE6A53"/>
    <w:rsid w:val="00CE6E56"/>
    <w:rsid w:val="00D06C06"/>
    <w:rsid w:val="00D20AFD"/>
    <w:rsid w:val="00D26302"/>
    <w:rsid w:val="00D30547"/>
    <w:rsid w:val="00D455F6"/>
    <w:rsid w:val="00D4594E"/>
    <w:rsid w:val="00D67EFF"/>
    <w:rsid w:val="00D9641C"/>
    <w:rsid w:val="00DE0797"/>
    <w:rsid w:val="00DF1E69"/>
    <w:rsid w:val="00E11A44"/>
    <w:rsid w:val="00E2229A"/>
    <w:rsid w:val="00E24682"/>
    <w:rsid w:val="00E441A8"/>
    <w:rsid w:val="00E72260"/>
    <w:rsid w:val="00E77F0F"/>
    <w:rsid w:val="00ED4968"/>
    <w:rsid w:val="00EF7DBA"/>
    <w:rsid w:val="00F12552"/>
    <w:rsid w:val="00F451D0"/>
    <w:rsid w:val="00F66203"/>
    <w:rsid w:val="00F8068D"/>
    <w:rsid w:val="00FA5AA6"/>
    <w:rsid w:val="00FF07BD"/>
    <w:rsid w:val="00FF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5F"/>
    <w:pPr>
      <w:spacing w:after="200" w:line="276" w:lineRule="auto"/>
    </w:pPr>
    <w:rPr>
      <w:sz w:val="22"/>
      <w:szCs w:val="22"/>
      <w:lang w:eastAsia="zh-CN"/>
    </w:rPr>
  </w:style>
  <w:style w:type="paragraph" w:styleId="Heading2">
    <w:name w:val="heading 2"/>
    <w:basedOn w:val="Normal"/>
    <w:next w:val="Normal"/>
    <w:link w:val="Heading2Char"/>
    <w:uiPriority w:val="99"/>
    <w:qFormat/>
    <w:rsid w:val="00AB3DAC"/>
    <w:pPr>
      <w:keepNext/>
      <w:spacing w:before="240" w:after="240"/>
      <w:outlineLvl w:val="1"/>
    </w:pPr>
    <w:rPr>
      <w:rFonts w:ascii="Cambria" w:eastAsia="Times New Roman"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04"/>
    <w:pPr>
      <w:ind w:left="720"/>
      <w:contextualSpacing/>
    </w:pPr>
  </w:style>
  <w:style w:type="paragraph" w:styleId="EndnoteText">
    <w:name w:val="endnote text"/>
    <w:basedOn w:val="Normal"/>
    <w:link w:val="EndnoteTextChar"/>
    <w:uiPriority w:val="99"/>
    <w:semiHidden/>
    <w:unhideWhenUsed/>
    <w:rsid w:val="00715D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DD9"/>
    <w:rPr>
      <w:sz w:val="20"/>
      <w:szCs w:val="20"/>
    </w:rPr>
  </w:style>
  <w:style w:type="character" w:styleId="EndnoteReference">
    <w:name w:val="endnote reference"/>
    <w:basedOn w:val="DefaultParagraphFont"/>
    <w:uiPriority w:val="99"/>
    <w:semiHidden/>
    <w:unhideWhenUsed/>
    <w:rsid w:val="00715DD9"/>
    <w:rPr>
      <w:vertAlign w:val="superscript"/>
    </w:rPr>
  </w:style>
  <w:style w:type="paragraph" w:styleId="Header">
    <w:name w:val="header"/>
    <w:basedOn w:val="Normal"/>
    <w:link w:val="HeaderChar"/>
    <w:uiPriority w:val="99"/>
    <w:semiHidden/>
    <w:unhideWhenUsed/>
    <w:rsid w:val="00161941"/>
    <w:pPr>
      <w:tabs>
        <w:tab w:val="center" w:pos="4513"/>
        <w:tab w:val="right" w:pos="9026"/>
      </w:tabs>
    </w:pPr>
  </w:style>
  <w:style w:type="character" w:customStyle="1" w:styleId="HeaderChar">
    <w:name w:val="Header Char"/>
    <w:basedOn w:val="DefaultParagraphFont"/>
    <w:link w:val="Header"/>
    <w:uiPriority w:val="99"/>
    <w:semiHidden/>
    <w:rsid w:val="00161941"/>
    <w:rPr>
      <w:sz w:val="22"/>
      <w:szCs w:val="22"/>
    </w:rPr>
  </w:style>
  <w:style w:type="paragraph" w:styleId="Footer">
    <w:name w:val="footer"/>
    <w:basedOn w:val="Normal"/>
    <w:link w:val="FooterChar"/>
    <w:uiPriority w:val="99"/>
    <w:unhideWhenUsed/>
    <w:rsid w:val="00161941"/>
    <w:pPr>
      <w:tabs>
        <w:tab w:val="center" w:pos="4513"/>
        <w:tab w:val="right" w:pos="9026"/>
      </w:tabs>
    </w:pPr>
  </w:style>
  <w:style w:type="character" w:customStyle="1" w:styleId="FooterChar">
    <w:name w:val="Footer Char"/>
    <w:basedOn w:val="DefaultParagraphFont"/>
    <w:link w:val="Footer"/>
    <w:uiPriority w:val="99"/>
    <w:rsid w:val="00161941"/>
    <w:rPr>
      <w:sz w:val="22"/>
      <w:szCs w:val="22"/>
    </w:rPr>
  </w:style>
  <w:style w:type="character" w:styleId="Hyperlink">
    <w:name w:val="Hyperlink"/>
    <w:basedOn w:val="DefaultParagraphFont"/>
    <w:uiPriority w:val="99"/>
    <w:unhideWhenUsed/>
    <w:rsid w:val="00141A80"/>
    <w:rPr>
      <w:color w:val="0000FF"/>
      <w:u w:val="single"/>
    </w:rPr>
  </w:style>
  <w:style w:type="paragraph" w:styleId="BalloonText">
    <w:name w:val="Balloon Text"/>
    <w:basedOn w:val="Normal"/>
    <w:link w:val="BalloonTextChar"/>
    <w:uiPriority w:val="99"/>
    <w:semiHidden/>
    <w:unhideWhenUsed/>
    <w:rsid w:val="000B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F5"/>
    <w:rPr>
      <w:rFonts w:ascii="Tahoma" w:hAnsi="Tahoma" w:cs="Tahoma"/>
      <w:sz w:val="16"/>
      <w:szCs w:val="16"/>
      <w:lang w:val="en-GB" w:eastAsia="zh-CN"/>
    </w:rPr>
  </w:style>
  <w:style w:type="character" w:styleId="CommentReference">
    <w:name w:val="annotation reference"/>
    <w:basedOn w:val="DefaultParagraphFont"/>
    <w:uiPriority w:val="99"/>
    <w:semiHidden/>
    <w:unhideWhenUsed/>
    <w:rsid w:val="00131DEE"/>
    <w:rPr>
      <w:sz w:val="16"/>
      <w:szCs w:val="16"/>
    </w:rPr>
  </w:style>
  <w:style w:type="paragraph" w:styleId="CommentText">
    <w:name w:val="annotation text"/>
    <w:basedOn w:val="Normal"/>
    <w:link w:val="CommentTextChar"/>
    <w:uiPriority w:val="99"/>
    <w:semiHidden/>
    <w:unhideWhenUsed/>
    <w:rsid w:val="00131DEE"/>
    <w:rPr>
      <w:sz w:val="20"/>
      <w:szCs w:val="20"/>
    </w:rPr>
  </w:style>
  <w:style w:type="character" w:customStyle="1" w:styleId="CommentTextChar">
    <w:name w:val="Comment Text Char"/>
    <w:basedOn w:val="DefaultParagraphFont"/>
    <w:link w:val="CommentText"/>
    <w:uiPriority w:val="99"/>
    <w:semiHidden/>
    <w:rsid w:val="00131DEE"/>
    <w:rPr>
      <w:lang w:val="en-GB" w:eastAsia="zh-CN"/>
    </w:rPr>
  </w:style>
  <w:style w:type="paragraph" w:styleId="CommentSubject">
    <w:name w:val="annotation subject"/>
    <w:basedOn w:val="CommentText"/>
    <w:next w:val="CommentText"/>
    <w:link w:val="CommentSubjectChar"/>
    <w:uiPriority w:val="99"/>
    <w:semiHidden/>
    <w:unhideWhenUsed/>
    <w:rsid w:val="00131DEE"/>
    <w:rPr>
      <w:b/>
      <w:bCs/>
    </w:rPr>
  </w:style>
  <w:style w:type="character" w:customStyle="1" w:styleId="CommentSubjectChar">
    <w:name w:val="Comment Subject Char"/>
    <w:basedOn w:val="CommentTextChar"/>
    <w:link w:val="CommentSubject"/>
    <w:uiPriority w:val="99"/>
    <w:semiHidden/>
    <w:rsid w:val="00131DEE"/>
    <w:rPr>
      <w:b/>
      <w:bCs/>
    </w:rPr>
  </w:style>
  <w:style w:type="character" w:customStyle="1" w:styleId="Heading2Char">
    <w:name w:val="Heading 2 Char"/>
    <w:basedOn w:val="DefaultParagraphFont"/>
    <w:link w:val="Heading2"/>
    <w:uiPriority w:val="99"/>
    <w:rsid w:val="00AB3DAC"/>
    <w:rPr>
      <w:rFonts w:ascii="Cambria" w:eastAsia="Times New Roman" w:hAnsi="Cambria"/>
      <w:b/>
      <w:bCs/>
      <w:sz w:val="26"/>
      <w:szCs w:val="26"/>
      <w:lang w:val="en-US" w:eastAsia="en-US"/>
    </w:rPr>
  </w:style>
  <w:style w:type="paragraph" w:styleId="BodyText">
    <w:name w:val="Body Text"/>
    <w:basedOn w:val="Normal"/>
    <w:link w:val="BodyTextChar"/>
    <w:uiPriority w:val="99"/>
    <w:rsid w:val="00AB3DAC"/>
    <w:pPr>
      <w:spacing w:before="240" w:after="240"/>
    </w:pPr>
    <w:rPr>
      <w:rFonts w:eastAsia="Times New Roman"/>
      <w:lang w:val="en-US" w:eastAsia="en-US"/>
    </w:rPr>
  </w:style>
  <w:style w:type="character" w:customStyle="1" w:styleId="BodyTextChar">
    <w:name w:val="Body Text Char"/>
    <w:basedOn w:val="DefaultParagraphFont"/>
    <w:link w:val="BodyText"/>
    <w:uiPriority w:val="99"/>
    <w:rsid w:val="00AB3DAC"/>
    <w:rPr>
      <w:rFonts w:eastAsia="Times New Roman"/>
      <w:sz w:val="22"/>
      <w:szCs w:val="22"/>
      <w:lang w:val="en-US" w:eastAsia="en-US"/>
    </w:rPr>
  </w:style>
  <w:style w:type="paragraph" w:styleId="FootnoteText">
    <w:name w:val="footnote text"/>
    <w:basedOn w:val="Normal"/>
    <w:link w:val="FootnoteTextChar"/>
    <w:uiPriority w:val="99"/>
    <w:semiHidden/>
    <w:unhideWhenUsed/>
    <w:rsid w:val="00AD7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F70"/>
    <w:rPr>
      <w:lang w:eastAsia="zh-CN"/>
    </w:rPr>
  </w:style>
  <w:style w:type="character" w:styleId="FootnoteReference">
    <w:name w:val="footnote reference"/>
    <w:basedOn w:val="DefaultParagraphFont"/>
    <w:uiPriority w:val="99"/>
    <w:semiHidden/>
    <w:unhideWhenUsed/>
    <w:rsid w:val="00AD7F7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5B1A-CD05-4D94-B118-FCFCDC6F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cp:lastModifiedBy>
  <cp:revision>6</cp:revision>
  <cp:lastPrinted>2010-03-10T08:09:00Z</cp:lastPrinted>
  <dcterms:created xsi:type="dcterms:W3CDTF">2010-05-24T15:29:00Z</dcterms:created>
  <dcterms:modified xsi:type="dcterms:W3CDTF">2010-05-26T08:19:00Z</dcterms:modified>
</cp:coreProperties>
</file>