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6A" w:rsidRDefault="00517D6A" w:rsidP="00517D6A">
      <w:pPr>
        <w:spacing w:after="240"/>
        <w:jc w:val="center"/>
        <w:rPr>
          <w:rFonts w:ascii="Verdana" w:hAnsi="Verdana"/>
          <w:b/>
          <w:sz w:val="24"/>
        </w:rPr>
      </w:pPr>
      <w:r w:rsidRPr="004B2C47">
        <w:rPr>
          <w:rFonts w:ascii="Verdana" w:hAnsi="Verdana"/>
          <w:b/>
          <w:sz w:val="24"/>
        </w:rPr>
        <w:t xml:space="preserve">The government's proposals for higher education funding and student </w:t>
      </w:r>
      <w:r>
        <w:rPr>
          <w:rFonts w:ascii="Verdana" w:hAnsi="Verdana"/>
          <w:b/>
          <w:sz w:val="24"/>
          <w:szCs w:val="24"/>
        </w:rPr>
        <w:t>finance</w:t>
      </w:r>
      <w:r>
        <w:rPr>
          <w:rFonts w:ascii="Verdana" w:hAnsi="Verdana"/>
          <w:b/>
          <w:sz w:val="24"/>
        </w:rPr>
        <w:t xml:space="preserve"> – </w:t>
      </w:r>
      <w:r w:rsidRPr="004B2C47">
        <w:rPr>
          <w:rFonts w:ascii="Verdana" w:hAnsi="Verdana"/>
          <w:b/>
          <w:sz w:val="24"/>
        </w:rPr>
        <w:t>an analysis</w:t>
      </w:r>
    </w:p>
    <w:p w:rsidR="00517D6A" w:rsidRDefault="00517D6A" w:rsidP="00517D6A">
      <w:pPr>
        <w:spacing w:after="240"/>
        <w:jc w:val="center"/>
        <w:rPr>
          <w:rFonts w:ascii="Verdana" w:hAnsi="Verdana"/>
          <w:b/>
          <w:sz w:val="24"/>
        </w:rPr>
      </w:pPr>
      <w:r>
        <w:rPr>
          <w:rFonts w:ascii="Verdana" w:hAnsi="Verdana"/>
          <w:b/>
          <w:sz w:val="24"/>
        </w:rPr>
        <w:t>Annexes</w:t>
      </w:r>
    </w:p>
    <w:p w:rsidR="00517D6A" w:rsidRPr="00DB5337" w:rsidRDefault="00517D6A" w:rsidP="00517D6A">
      <w:pPr>
        <w:spacing w:after="240"/>
        <w:rPr>
          <w:rFonts w:ascii="Verdana" w:hAnsi="Verdana"/>
          <w:b/>
          <w:sz w:val="24"/>
        </w:rPr>
      </w:pPr>
      <w:r w:rsidRPr="00DB5337">
        <w:rPr>
          <w:rFonts w:ascii="Verdana" w:hAnsi="Verdana"/>
          <w:b/>
          <w:sz w:val="24"/>
        </w:rPr>
        <w:t>Annex A: Modelling student loan repayment</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This Annex</w:t>
      </w:r>
      <w:r w:rsidR="00A16F1D">
        <w:rPr>
          <w:rStyle w:val="FootnoteReference"/>
          <w:rFonts w:ascii="Verdana" w:hAnsi="Verdana"/>
          <w:sz w:val="22"/>
          <w:szCs w:val="22"/>
        </w:rPr>
        <w:footnoteReference w:id="1"/>
      </w:r>
      <w:r w:rsidRPr="003E1C24">
        <w:rPr>
          <w:rFonts w:ascii="Verdana" w:hAnsi="Verdana"/>
          <w:sz w:val="22"/>
          <w:szCs w:val="22"/>
        </w:rPr>
        <w:t xml:space="preserve"> is based </w:t>
      </w:r>
      <w:r w:rsidR="0087644B">
        <w:rPr>
          <w:rFonts w:ascii="Verdana" w:hAnsi="Verdana"/>
          <w:sz w:val="22"/>
          <w:szCs w:val="22"/>
        </w:rPr>
        <w:t>on</w:t>
      </w:r>
      <w:r w:rsidRPr="003E1C24">
        <w:rPr>
          <w:rFonts w:ascii="Verdana" w:hAnsi="Verdana"/>
          <w:sz w:val="22"/>
          <w:szCs w:val="22"/>
        </w:rPr>
        <w:t xml:space="preserve"> the information provided by the Department for Business</w:t>
      </w:r>
      <w:r w:rsidR="00321564">
        <w:rPr>
          <w:rFonts w:ascii="Verdana" w:hAnsi="Verdana"/>
          <w:sz w:val="22"/>
          <w:szCs w:val="22"/>
        </w:rPr>
        <w:t>,</w:t>
      </w:r>
      <w:r w:rsidRPr="003E1C24">
        <w:rPr>
          <w:rFonts w:ascii="Verdana" w:hAnsi="Verdana"/>
          <w:sz w:val="22"/>
          <w:szCs w:val="22"/>
        </w:rPr>
        <w:t xml:space="preserve"> Innovation and Skills (BIS). The information is contained in:</w:t>
      </w:r>
    </w:p>
    <w:p w:rsidR="00517D6A" w:rsidRPr="003E1C24" w:rsidRDefault="00517D6A" w:rsidP="00517D6A">
      <w:pPr>
        <w:spacing w:after="240"/>
        <w:ind w:left="567"/>
        <w:rPr>
          <w:rFonts w:ascii="Verdana" w:hAnsi="Verdana"/>
          <w:sz w:val="22"/>
          <w:szCs w:val="22"/>
        </w:rPr>
      </w:pPr>
      <w:r w:rsidRPr="003E1C24">
        <w:rPr>
          <w:rFonts w:ascii="Verdana" w:hAnsi="Verdana"/>
          <w:sz w:val="22"/>
          <w:szCs w:val="22"/>
        </w:rPr>
        <w:t xml:space="preserve">BIS Research and analysis model, “BIS Student Loan Repayment Ready </w:t>
      </w:r>
      <w:proofErr w:type="spellStart"/>
      <w:r w:rsidRPr="003E1C24">
        <w:rPr>
          <w:rFonts w:ascii="Verdana" w:hAnsi="Verdana"/>
          <w:sz w:val="22"/>
          <w:szCs w:val="22"/>
        </w:rPr>
        <w:t>Reckoner</w:t>
      </w:r>
      <w:proofErr w:type="spellEnd"/>
      <w:r w:rsidRPr="003E1C24">
        <w:rPr>
          <w:rFonts w:ascii="Verdana" w:hAnsi="Verdana"/>
          <w:sz w:val="22"/>
          <w:szCs w:val="22"/>
        </w:rPr>
        <w:t>”</w:t>
      </w:r>
    </w:p>
    <w:p w:rsidR="00517D6A" w:rsidRPr="003E1C24" w:rsidRDefault="00517D6A" w:rsidP="00517D6A">
      <w:pPr>
        <w:spacing w:after="240"/>
        <w:ind w:left="567"/>
        <w:rPr>
          <w:rFonts w:ascii="Verdana" w:hAnsi="Verdana"/>
          <w:sz w:val="22"/>
          <w:szCs w:val="22"/>
        </w:rPr>
      </w:pPr>
      <w:r w:rsidRPr="003E1C24">
        <w:rPr>
          <w:rFonts w:ascii="Verdana" w:hAnsi="Verdana"/>
          <w:sz w:val="22"/>
          <w:szCs w:val="22"/>
        </w:rPr>
        <w:t xml:space="preserve">BIS Research and Analysis note, “BIS Student Loan Repayment Ready </w:t>
      </w:r>
      <w:proofErr w:type="spellStart"/>
      <w:r w:rsidRPr="003E1C24">
        <w:rPr>
          <w:rFonts w:ascii="Verdana" w:hAnsi="Verdana"/>
          <w:sz w:val="22"/>
          <w:szCs w:val="22"/>
        </w:rPr>
        <w:t>Reckoner</w:t>
      </w:r>
      <w:proofErr w:type="spellEnd"/>
      <w:r w:rsidRPr="003E1C24">
        <w:rPr>
          <w:rFonts w:ascii="Verdana" w:hAnsi="Verdana"/>
          <w:sz w:val="22"/>
          <w:szCs w:val="22"/>
        </w:rPr>
        <w:t>: Background Note”</w:t>
      </w:r>
    </w:p>
    <w:p w:rsidR="00517D6A" w:rsidRPr="003E1C24" w:rsidRDefault="00517D6A" w:rsidP="00517D6A">
      <w:pPr>
        <w:spacing w:after="240"/>
        <w:rPr>
          <w:rFonts w:ascii="Verdana" w:hAnsi="Verdana"/>
          <w:sz w:val="22"/>
          <w:szCs w:val="22"/>
        </w:rPr>
      </w:pPr>
      <w:proofErr w:type="gramStart"/>
      <w:r w:rsidRPr="003E1C24">
        <w:rPr>
          <w:rFonts w:ascii="Verdana" w:hAnsi="Verdana"/>
          <w:sz w:val="22"/>
          <w:szCs w:val="22"/>
        </w:rPr>
        <w:t>located</w:t>
      </w:r>
      <w:proofErr w:type="gramEnd"/>
      <w:r w:rsidRPr="003E1C24">
        <w:rPr>
          <w:rFonts w:ascii="Verdana" w:hAnsi="Verdana"/>
          <w:sz w:val="22"/>
          <w:szCs w:val="22"/>
        </w:rPr>
        <w:t xml:space="preserve"> at: www.bis.gov.uk/policies/higher-education/research-analysis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It should be appreciated that the Ready </w:t>
      </w:r>
      <w:proofErr w:type="spellStart"/>
      <w:r w:rsidRPr="003E1C24">
        <w:rPr>
          <w:rFonts w:ascii="Verdana" w:hAnsi="Verdana"/>
          <w:sz w:val="22"/>
          <w:szCs w:val="22"/>
        </w:rPr>
        <w:t>Reckoner</w:t>
      </w:r>
      <w:proofErr w:type="spellEnd"/>
      <w:r w:rsidRPr="003E1C24">
        <w:rPr>
          <w:rFonts w:ascii="Verdana" w:hAnsi="Verdana"/>
          <w:sz w:val="22"/>
          <w:szCs w:val="22"/>
        </w:rPr>
        <w:t xml:space="preserve"> is a tool, originally requested by the Browne Committee, designed for making comparisons between policy options. BIS will model more realistic ranges of course lengths and course types, take-up rates, ranges of maintenance and fees loans taken out, collection inefficiencies, dropout rates, and</w:t>
      </w:r>
      <w:r w:rsidRPr="003E1C24">
        <w:rPr>
          <w:rFonts w:ascii="Verdana" w:hAnsi="Verdana"/>
        </w:rPr>
        <w:t xml:space="preserve"> </w:t>
      </w:r>
      <w:r w:rsidRPr="003E1C24">
        <w:rPr>
          <w:rFonts w:ascii="Verdana" w:hAnsi="Verdana"/>
          <w:sz w:val="22"/>
          <w:szCs w:val="22"/>
        </w:rPr>
        <w:t>demographic changes in the calculations used for their budgeting.</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In this annex we describe how we used this model and information and we present more detailed results than set out in the main body of the report. There are five sections: </w:t>
      </w:r>
    </w:p>
    <w:tbl>
      <w:tblPr>
        <w:tblStyle w:val="TableGrid"/>
        <w:tblW w:w="0" w:type="auto"/>
        <w:tblBorders>
          <w:insideH w:val="none" w:sz="0" w:space="0" w:color="auto"/>
          <w:insideV w:val="none" w:sz="0" w:space="0" w:color="auto"/>
        </w:tblBorders>
        <w:tblLook w:val="04A0"/>
      </w:tblPr>
      <w:tblGrid>
        <w:gridCol w:w="6629"/>
        <w:gridCol w:w="1893"/>
      </w:tblGrid>
      <w:tr w:rsidR="00517D6A" w:rsidRPr="003E1C24" w:rsidTr="008879B5">
        <w:tc>
          <w:tcPr>
            <w:tcW w:w="6629" w:type="dxa"/>
            <w:tcBorders>
              <w:right w:val="single" w:sz="4" w:space="0" w:color="auto"/>
            </w:tcBorders>
            <w:vAlign w:val="center"/>
          </w:tcPr>
          <w:p w:rsidR="00517D6A" w:rsidRPr="003E1C24" w:rsidRDefault="00517D6A" w:rsidP="008879B5">
            <w:pPr>
              <w:spacing w:before="120" w:line="240" w:lineRule="auto"/>
              <w:rPr>
                <w:rFonts w:ascii="Verdana" w:hAnsi="Verdana"/>
                <w:sz w:val="22"/>
                <w:szCs w:val="22"/>
              </w:rPr>
            </w:pPr>
          </w:p>
        </w:tc>
        <w:tc>
          <w:tcPr>
            <w:tcW w:w="1893" w:type="dxa"/>
            <w:tcBorders>
              <w:top w:val="single" w:sz="4" w:space="0" w:color="auto"/>
              <w:left w:val="single" w:sz="4" w:space="0" w:color="auto"/>
              <w:bottom w:val="nil"/>
            </w:tcBorders>
          </w:tcPr>
          <w:p w:rsidR="00517D6A" w:rsidRPr="003E1C24" w:rsidRDefault="00517D6A" w:rsidP="008879B5">
            <w:pPr>
              <w:spacing w:before="120" w:line="240" w:lineRule="auto"/>
              <w:rPr>
                <w:rFonts w:ascii="Verdana" w:hAnsi="Verdana"/>
                <w:b/>
                <w:sz w:val="22"/>
                <w:szCs w:val="22"/>
              </w:rPr>
            </w:pPr>
            <w:r w:rsidRPr="003E1C24">
              <w:rPr>
                <w:rFonts w:ascii="Verdana" w:hAnsi="Verdana"/>
                <w:b/>
                <w:sz w:val="22"/>
                <w:szCs w:val="22"/>
              </w:rPr>
              <w:t>Paragraphs</w:t>
            </w:r>
          </w:p>
        </w:tc>
      </w:tr>
      <w:tr w:rsidR="00517D6A" w:rsidRPr="003E1C24" w:rsidTr="008879B5">
        <w:tc>
          <w:tcPr>
            <w:tcW w:w="6629" w:type="dxa"/>
            <w:tcBorders>
              <w:right w:val="single" w:sz="4" w:space="0" w:color="auto"/>
            </w:tcBorders>
            <w:vAlign w:val="center"/>
          </w:tcPr>
          <w:p w:rsidR="00517D6A" w:rsidRPr="003E1C24" w:rsidRDefault="00517D6A" w:rsidP="008879B5">
            <w:pPr>
              <w:spacing w:before="120" w:line="240" w:lineRule="auto"/>
              <w:rPr>
                <w:rFonts w:ascii="Verdana" w:hAnsi="Verdana"/>
                <w:sz w:val="22"/>
                <w:szCs w:val="22"/>
              </w:rPr>
            </w:pPr>
            <w:r w:rsidRPr="003E1C24">
              <w:rPr>
                <w:rFonts w:ascii="Verdana" w:hAnsi="Verdana"/>
                <w:sz w:val="22"/>
                <w:szCs w:val="22"/>
              </w:rPr>
              <w:t>Future incomes –an assessment of their estimation</w:t>
            </w:r>
          </w:p>
        </w:tc>
        <w:tc>
          <w:tcPr>
            <w:tcW w:w="1893" w:type="dxa"/>
            <w:tcBorders>
              <w:top w:val="nil"/>
              <w:left w:val="single" w:sz="4" w:space="0" w:color="auto"/>
              <w:bottom w:val="nil"/>
            </w:tcBorders>
            <w:vAlign w:val="center"/>
          </w:tcPr>
          <w:p w:rsidR="00517D6A" w:rsidRPr="003E1C24" w:rsidRDefault="00517D6A" w:rsidP="001465F8">
            <w:pPr>
              <w:spacing w:before="120" w:line="240" w:lineRule="auto"/>
              <w:rPr>
                <w:rFonts w:ascii="Verdana" w:hAnsi="Verdana"/>
                <w:sz w:val="22"/>
                <w:szCs w:val="22"/>
              </w:rPr>
            </w:pPr>
            <w:r w:rsidRPr="003E1C24">
              <w:rPr>
                <w:rFonts w:ascii="Verdana" w:hAnsi="Verdana"/>
                <w:sz w:val="22"/>
                <w:szCs w:val="22"/>
              </w:rPr>
              <w:t>4 -</w:t>
            </w:r>
            <w:r w:rsidR="001465F8">
              <w:rPr>
                <w:rFonts w:ascii="Verdana" w:hAnsi="Verdana"/>
                <w:sz w:val="22"/>
                <w:szCs w:val="22"/>
              </w:rPr>
              <w:t>19</w:t>
            </w:r>
          </w:p>
        </w:tc>
      </w:tr>
      <w:tr w:rsidR="00517D6A" w:rsidRPr="003E1C24" w:rsidTr="008879B5">
        <w:tc>
          <w:tcPr>
            <w:tcW w:w="6629" w:type="dxa"/>
            <w:tcBorders>
              <w:right w:val="single" w:sz="4" w:space="0" w:color="auto"/>
            </w:tcBorders>
            <w:vAlign w:val="center"/>
          </w:tcPr>
          <w:p w:rsidR="00517D6A" w:rsidRPr="003E1C24" w:rsidRDefault="00517D6A" w:rsidP="008879B5">
            <w:pPr>
              <w:spacing w:before="120" w:line="240" w:lineRule="auto"/>
              <w:rPr>
                <w:rFonts w:ascii="Verdana" w:hAnsi="Verdana"/>
                <w:sz w:val="22"/>
                <w:szCs w:val="22"/>
              </w:rPr>
            </w:pPr>
            <w:r w:rsidRPr="003E1C24">
              <w:rPr>
                <w:rFonts w:ascii="Verdana" w:hAnsi="Verdana"/>
                <w:sz w:val="22"/>
                <w:szCs w:val="22"/>
              </w:rPr>
              <w:t>Calculating the RAB – BIS and modified calculations</w:t>
            </w:r>
          </w:p>
        </w:tc>
        <w:tc>
          <w:tcPr>
            <w:tcW w:w="1893" w:type="dxa"/>
            <w:tcBorders>
              <w:top w:val="nil"/>
              <w:left w:val="single" w:sz="4" w:space="0" w:color="auto"/>
              <w:bottom w:val="nil"/>
            </w:tcBorders>
            <w:vAlign w:val="center"/>
          </w:tcPr>
          <w:p w:rsidR="00517D6A" w:rsidRPr="003E1C24" w:rsidRDefault="00517D6A" w:rsidP="001465F8">
            <w:pPr>
              <w:spacing w:before="120" w:line="240" w:lineRule="auto"/>
              <w:rPr>
                <w:rFonts w:ascii="Verdana" w:hAnsi="Verdana"/>
                <w:sz w:val="22"/>
                <w:szCs w:val="22"/>
              </w:rPr>
            </w:pPr>
            <w:r w:rsidRPr="003E1C24">
              <w:rPr>
                <w:rFonts w:ascii="Verdana" w:hAnsi="Verdana"/>
                <w:sz w:val="22"/>
                <w:szCs w:val="22"/>
              </w:rPr>
              <w:t>2</w:t>
            </w:r>
            <w:r w:rsidR="001465F8">
              <w:rPr>
                <w:rFonts w:ascii="Verdana" w:hAnsi="Verdana"/>
                <w:sz w:val="22"/>
                <w:szCs w:val="22"/>
              </w:rPr>
              <w:t>0</w:t>
            </w:r>
            <w:r w:rsidRPr="003E1C24">
              <w:rPr>
                <w:rFonts w:ascii="Verdana" w:hAnsi="Verdana"/>
                <w:sz w:val="22"/>
                <w:szCs w:val="22"/>
              </w:rPr>
              <w:t>-</w:t>
            </w:r>
            <w:r w:rsidR="00FC48DE">
              <w:rPr>
                <w:rFonts w:ascii="Verdana" w:hAnsi="Verdana"/>
                <w:sz w:val="22"/>
                <w:szCs w:val="22"/>
              </w:rPr>
              <w:t>3</w:t>
            </w:r>
            <w:r w:rsidR="001465F8">
              <w:rPr>
                <w:rFonts w:ascii="Verdana" w:hAnsi="Verdana"/>
                <w:sz w:val="22"/>
                <w:szCs w:val="22"/>
              </w:rPr>
              <w:t>3</w:t>
            </w:r>
          </w:p>
        </w:tc>
      </w:tr>
      <w:tr w:rsidR="00517D6A" w:rsidRPr="003E1C24" w:rsidTr="008879B5">
        <w:tc>
          <w:tcPr>
            <w:tcW w:w="6629" w:type="dxa"/>
            <w:tcBorders>
              <w:right w:val="single" w:sz="4" w:space="0" w:color="auto"/>
            </w:tcBorders>
            <w:vAlign w:val="center"/>
          </w:tcPr>
          <w:p w:rsidR="00517D6A" w:rsidRPr="003E1C24" w:rsidRDefault="00517D6A" w:rsidP="008879B5">
            <w:pPr>
              <w:spacing w:before="120" w:line="240" w:lineRule="auto"/>
              <w:rPr>
                <w:rFonts w:ascii="Verdana" w:hAnsi="Verdana"/>
                <w:sz w:val="22"/>
                <w:szCs w:val="22"/>
              </w:rPr>
            </w:pPr>
            <w:r w:rsidRPr="003E1C24">
              <w:rPr>
                <w:rFonts w:ascii="Verdana" w:hAnsi="Verdana"/>
                <w:sz w:val="22"/>
                <w:szCs w:val="22"/>
              </w:rPr>
              <w:t>Changing income growth assumptions</w:t>
            </w:r>
          </w:p>
        </w:tc>
        <w:tc>
          <w:tcPr>
            <w:tcW w:w="1893" w:type="dxa"/>
            <w:tcBorders>
              <w:top w:val="nil"/>
              <w:left w:val="single" w:sz="4" w:space="0" w:color="auto"/>
              <w:bottom w:val="nil"/>
            </w:tcBorders>
            <w:vAlign w:val="center"/>
          </w:tcPr>
          <w:p w:rsidR="008912FC" w:rsidRDefault="00FC48DE" w:rsidP="001465F8">
            <w:pPr>
              <w:spacing w:before="120" w:line="240" w:lineRule="auto"/>
              <w:rPr>
                <w:rFonts w:ascii="Verdana" w:hAnsi="Verdana"/>
                <w:sz w:val="22"/>
                <w:szCs w:val="22"/>
              </w:rPr>
            </w:pPr>
            <w:r>
              <w:rPr>
                <w:rFonts w:ascii="Verdana" w:hAnsi="Verdana"/>
                <w:sz w:val="22"/>
                <w:szCs w:val="22"/>
              </w:rPr>
              <w:t>3</w:t>
            </w:r>
            <w:r w:rsidR="001465F8">
              <w:rPr>
                <w:rFonts w:ascii="Verdana" w:hAnsi="Verdana"/>
                <w:sz w:val="22"/>
                <w:szCs w:val="22"/>
              </w:rPr>
              <w:t>4</w:t>
            </w:r>
            <w:r w:rsidR="00517D6A" w:rsidRPr="003E1C24">
              <w:rPr>
                <w:rFonts w:ascii="Verdana" w:hAnsi="Verdana"/>
                <w:sz w:val="22"/>
                <w:szCs w:val="22"/>
              </w:rPr>
              <w:t>-3</w:t>
            </w:r>
            <w:r w:rsidR="001465F8">
              <w:rPr>
                <w:rFonts w:ascii="Verdana" w:hAnsi="Verdana"/>
                <w:sz w:val="22"/>
                <w:szCs w:val="22"/>
              </w:rPr>
              <w:t>7</w:t>
            </w:r>
          </w:p>
        </w:tc>
      </w:tr>
      <w:tr w:rsidR="00517D6A" w:rsidRPr="003E1C24" w:rsidTr="0070237E">
        <w:tc>
          <w:tcPr>
            <w:tcW w:w="6629" w:type="dxa"/>
            <w:tcBorders>
              <w:right w:val="single" w:sz="4" w:space="0" w:color="auto"/>
            </w:tcBorders>
            <w:vAlign w:val="center"/>
          </w:tcPr>
          <w:p w:rsidR="00517D6A" w:rsidRPr="003E1C24" w:rsidRDefault="00517D6A" w:rsidP="008879B5">
            <w:pPr>
              <w:spacing w:before="120" w:line="240" w:lineRule="auto"/>
              <w:rPr>
                <w:rFonts w:ascii="Verdana" w:hAnsi="Verdana"/>
                <w:sz w:val="22"/>
                <w:szCs w:val="22"/>
              </w:rPr>
            </w:pPr>
            <w:r w:rsidRPr="003E1C24">
              <w:rPr>
                <w:rFonts w:ascii="Verdana" w:hAnsi="Verdana"/>
                <w:sz w:val="22"/>
                <w:szCs w:val="22"/>
              </w:rPr>
              <w:t>Summary of the changes made to the RAB calculation</w:t>
            </w:r>
          </w:p>
        </w:tc>
        <w:tc>
          <w:tcPr>
            <w:tcW w:w="1893" w:type="dxa"/>
            <w:tcBorders>
              <w:top w:val="nil"/>
              <w:left w:val="single" w:sz="4" w:space="0" w:color="auto"/>
              <w:bottom w:val="nil"/>
            </w:tcBorders>
            <w:vAlign w:val="center"/>
          </w:tcPr>
          <w:p w:rsidR="008912FC" w:rsidRDefault="00517D6A" w:rsidP="001465F8">
            <w:pPr>
              <w:spacing w:before="120" w:line="240" w:lineRule="auto"/>
              <w:rPr>
                <w:rFonts w:ascii="Verdana" w:hAnsi="Verdana"/>
                <w:sz w:val="22"/>
                <w:szCs w:val="22"/>
              </w:rPr>
            </w:pPr>
            <w:r w:rsidRPr="003E1C24">
              <w:rPr>
                <w:rFonts w:ascii="Verdana" w:hAnsi="Verdana"/>
                <w:sz w:val="22"/>
                <w:szCs w:val="22"/>
              </w:rPr>
              <w:t>3</w:t>
            </w:r>
            <w:r w:rsidR="001465F8">
              <w:rPr>
                <w:rFonts w:ascii="Verdana" w:hAnsi="Verdana"/>
                <w:sz w:val="22"/>
                <w:szCs w:val="22"/>
              </w:rPr>
              <w:t>8</w:t>
            </w:r>
          </w:p>
        </w:tc>
      </w:tr>
      <w:tr w:rsidR="00A93500" w:rsidRPr="003E1C24" w:rsidTr="0070237E">
        <w:tc>
          <w:tcPr>
            <w:tcW w:w="6629" w:type="dxa"/>
            <w:tcBorders>
              <w:right w:val="single" w:sz="4" w:space="0" w:color="auto"/>
            </w:tcBorders>
          </w:tcPr>
          <w:p w:rsidR="00A93500" w:rsidRPr="000D13D9" w:rsidRDefault="00A93500" w:rsidP="00A93500">
            <w:pPr>
              <w:rPr>
                <w:rFonts w:ascii="Verdana" w:hAnsi="Verdana"/>
              </w:rPr>
            </w:pPr>
            <w:r>
              <w:rPr>
                <w:rFonts w:ascii="Verdana" w:hAnsi="Verdana"/>
                <w:sz w:val="22"/>
                <w:szCs w:val="22"/>
              </w:rPr>
              <w:t>Former student</w:t>
            </w:r>
            <w:r w:rsidRPr="003E1C24">
              <w:rPr>
                <w:rFonts w:ascii="Verdana" w:hAnsi="Verdana"/>
                <w:sz w:val="22"/>
                <w:szCs w:val="22"/>
              </w:rPr>
              <w:t>s repaying more than they borrowed</w:t>
            </w:r>
            <w:r w:rsidRPr="000D13D9">
              <w:rPr>
                <w:rFonts w:ascii="Verdana" w:hAnsi="Verdana"/>
                <w:sz w:val="22"/>
                <w:szCs w:val="22"/>
              </w:rPr>
              <w:t xml:space="preserve"> </w:t>
            </w:r>
          </w:p>
        </w:tc>
        <w:tc>
          <w:tcPr>
            <w:tcW w:w="1893" w:type="dxa"/>
            <w:tcBorders>
              <w:top w:val="nil"/>
              <w:left w:val="single" w:sz="4" w:space="0" w:color="auto"/>
              <w:bottom w:val="nil"/>
            </w:tcBorders>
          </w:tcPr>
          <w:p w:rsidR="00A93500" w:rsidRDefault="001465F8" w:rsidP="007A53D4">
            <w:r>
              <w:t>39</w:t>
            </w:r>
          </w:p>
        </w:tc>
      </w:tr>
      <w:tr w:rsidR="00A93500" w:rsidRPr="003E1C24" w:rsidTr="00D2662C">
        <w:tc>
          <w:tcPr>
            <w:tcW w:w="6629" w:type="dxa"/>
            <w:tcBorders>
              <w:right w:val="single" w:sz="4" w:space="0" w:color="auto"/>
            </w:tcBorders>
          </w:tcPr>
          <w:p w:rsidR="00A93500" w:rsidRPr="000D13D9" w:rsidRDefault="00A93500" w:rsidP="00D2662C">
            <w:pPr>
              <w:rPr>
                <w:rFonts w:ascii="Verdana" w:hAnsi="Verdana"/>
              </w:rPr>
            </w:pPr>
            <w:r w:rsidRPr="000D13D9">
              <w:rPr>
                <w:rFonts w:ascii="Verdana" w:hAnsi="Verdana"/>
                <w:sz w:val="22"/>
                <w:szCs w:val="22"/>
              </w:rPr>
              <w:t>Government, IFS and ‘break</w:t>
            </w:r>
            <w:r>
              <w:rPr>
                <w:rFonts w:ascii="Verdana" w:hAnsi="Verdana"/>
                <w:sz w:val="22"/>
                <w:szCs w:val="22"/>
              </w:rPr>
              <w:t>-even’ RAB values</w:t>
            </w:r>
          </w:p>
        </w:tc>
        <w:tc>
          <w:tcPr>
            <w:tcW w:w="1893" w:type="dxa"/>
            <w:tcBorders>
              <w:top w:val="nil"/>
              <w:left w:val="single" w:sz="4" w:space="0" w:color="auto"/>
              <w:bottom w:val="nil"/>
            </w:tcBorders>
            <w:vAlign w:val="center"/>
          </w:tcPr>
          <w:p w:rsidR="00A93500" w:rsidRPr="003E1C24" w:rsidRDefault="001465F8" w:rsidP="001465F8">
            <w:pPr>
              <w:spacing w:before="120" w:line="240" w:lineRule="auto"/>
              <w:rPr>
                <w:rFonts w:ascii="Verdana" w:hAnsi="Verdana"/>
                <w:sz w:val="22"/>
                <w:szCs w:val="22"/>
              </w:rPr>
            </w:pPr>
            <w:r>
              <w:rPr>
                <w:rFonts w:ascii="Verdana" w:hAnsi="Verdana"/>
                <w:sz w:val="22"/>
                <w:szCs w:val="22"/>
              </w:rPr>
              <w:t>40</w:t>
            </w:r>
            <w:r w:rsidR="00A93500">
              <w:rPr>
                <w:rFonts w:ascii="Verdana" w:hAnsi="Verdana"/>
                <w:sz w:val="22"/>
                <w:szCs w:val="22"/>
              </w:rPr>
              <w:t>-4</w:t>
            </w:r>
            <w:r>
              <w:rPr>
                <w:rFonts w:ascii="Verdana" w:hAnsi="Verdana"/>
                <w:sz w:val="22"/>
                <w:szCs w:val="22"/>
              </w:rPr>
              <w:t>2</w:t>
            </w:r>
          </w:p>
        </w:tc>
      </w:tr>
      <w:tr w:rsidR="00A93500" w:rsidRPr="003E1C24" w:rsidTr="008879B5">
        <w:tc>
          <w:tcPr>
            <w:tcW w:w="6629" w:type="dxa"/>
            <w:tcBorders>
              <w:right w:val="single" w:sz="4" w:space="0" w:color="auto"/>
            </w:tcBorders>
            <w:vAlign w:val="center"/>
          </w:tcPr>
          <w:p w:rsidR="00A93500" w:rsidRDefault="00A93500" w:rsidP="00D2662C">
            <w:pPr>
              <w:spacing w:before="120" w:line="240" w:lineRule="auto"/>
              <w:rPr>
                <w:rFonts w:ascii="Verdana" w:hAnsi="Verdana"/>
                <w:sz w:val="22"/>
                <w:szCs w:val="22"/>
              </w:rPr>
            </w:pPr>
            <w:r>
              <w:rPr>
                <w:rFonts w:ascii="Verdana" w:hAnsi="Verdana"/>
                <w:sz w:val="22"/>
                <w:szCs w:val="22"/>
              </w:rPr>
              <w:t>Reporting uncertainty</w:t>
            </w:r>
          </w:p>
          <w:p w:rsidR="0065592E" w:rsidRPr="003E1C24" w:rsidRDefault="0065592E" w:rsidP="00D2662C">
            <w:pPr>
              <w:spacing w:before="120" w:line="240" w:lineRule="auto"/>
              <w:rPr>
                <w:rFonts w:ascii="Verdana" w:hAnsi="Verdana"/>
                <w:sz w:val="22"/>
                <w:szCs w:val="22"/>
              </w:rPr>
            </w:pPr>
          </w:p>
        </w:tc>
        <w:tc>
          <w:tcPr>
            <w:tcW w:w="1893" w:type="dxa"/>
            <w:tcBorders>
              <w:top w:val="nil"/>
              <w:left w:val="single" w:sz="4" w:space="0" w:color="auto"/>
              <w:bottom w:val="single" w:sz="4" w:space="0" w:color="auto"/>
            </w:tcBorders>
            <w:vAlign w:val="center"/>
          </w:tcPr>
          <w:p w:rsidR="00A93500" w:rsidRDefault="00A93500" w:rsidP="001465F8">
            <w:pPr>
              <w:spacing w:before="120" w:line="240" w:lineRule="auto"/>
              <w:rPr>
                <w:rFonts w:ascii="Verdana" w:hAnsi="Verdana"/>
                <w:sz w:val="22"/>
                <w:szCs w:val="22"/>
              </w:rPr>
            </w:pPr>
            <w:r>
              <w:rPr>
                <w:rFonts w:ascii="Verdana" w:hAnsi="Verdana"/>
                <w:sz w:val="22"/>
                <w:szCs w:val="22"/>
              </w:rPr>
              <w:t>4</w:t>
            </w:r>
            <w:r w:rsidR="001465F8">
              <w:rPr>
                <w:rFonts w:ascii="Verdana" w:hAnsi="Verdana"/>
                <w:sz w:val="22"/>
                <w:szCs w:val="22"/>
              </w:rPr>
              <w:t>3-46</w:t>
            </w:r>
          </w:p>
        </w:tc>
      </w:tr>
    </w:tbl>
    <w:p w:rsidR="00A93500" w:rsidRDefault="00A93500" w:rsidP="00517D6A">
      <w:pPr>
        <w:spacing w:before="120" w:after="240"/>
        <w:rPr>
          <w:rFonts w:ascii="Verdana" w:hAnsi="Verdana"/>
          <w:b/>
          <w:sz w:val="22"/>
          <w:szCs w:val="22"/>
        </w:rPr>
      </w:pPr>
    </w:p>
    <w:p w:rsidR="00517D6A" w:rsidRPr="0065592E" w:rsidRDefault="00517D6A" w:rsidP="00517D6A">
      <w:pPr>
        <w:spacing w:before="120" w:after="240"/>
        <w:rPr>
          <w:rFonts w:ascii="Verdana" w:hAnsi="Verdana"/>
          <w:b/>
          <w:sz w:val="24"/>
          <w:szCs w:val="24"/>
        </w:rPr>
      </w:pPr>
      <w:r w:rsidRPr="0065592E">
        <w:rPr>
          <w:rFonts w:ascii="Verdana" w:hAnsi="Verdana"/>
          <w:b/>
          <w:sz w:val="24"/>
          <w:szCs w:val="24"/>
        </w:rPr>
        <w:t xml:space="preserve">Future incomes </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BIS have made available a model which provides projections of the repayments expected from those </w:t>
      </w:r>
      <w:r w:rsidR="0070237E">
        <w:rPr>
          <w:rFonts w:ascii="Verdana" w:hAnsi="Verdana"/>
          <w:sz w:val="22"/>
          <w:szCs w:val="22"/>
        </w:rPr>
        <w:t xml:space="preserve">studying on </w:t>
      </w:r>
      <w:r w:rsidRPr="003E1C24">
        <w:rPr>
          <w:rFonts w:ascii="Verdana" w:hAnsi="Verdana"/>
          <w:sz w:val="22"/>
          <w:szCs w:val="22"/>
        </w:rPr>
        <w:t xml:space="preserve">a three year degree course. The driver in creating these estimates is a matrix of 141,435 cells of the expected incomes of 4,041 </w:t>
      </w:r>
      <w:r w:rsidR="00034FB5">
        <w:rPr>
          <w:rFonts w:ascii="Verdana" w:hAnsi="Verdana"/>
          <w:sz w:val="22"/>
          <w:szCs w:val="22"/>
        </w:rPr>
        <w:t>former student</w:t>
      </w:r>
      <w:r w:rsidRPr="003E1C24">
        <w:rPr>
          <w:rFonts w:ascii="Verdana" w:hAnsi="Verdana"/>
          <w:sz w:val="22"/>
          <w:szCs w:val="22"/>
        </w:rPr>
        <w:t>s over 35 years. The derivation of the various statistics from this matrix is straightforward, if complex. The difficulty is in initial generation of this simulation of future employment states and incomes.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The “BIS Student Loan Repayment Ready </w:t>
      </w:r>
      <w:proofErr w:type="spellStart"/>
      <w:r w:rsidRPr="003E1C24">
        <w:rPr>
          <w:rFonts w:ascii="Verdana" w:hAnsi="Verdana"/>
          <w:sz w:val="22"/>
          <w:szCs w:val="22"/>
        </w:rPr>
        <w:t>Reckoner</w:t>
      </w:r>
      <w:proofErr w:type="spellEnd"/>
      <w:r w:rsidRPr="003E1C24">
        <w:rPr>
          <w:rFonts w:ascii="Verdana" w:hAnsi="Verdana"/>
          <w:sz w:val="22"/>
          <w:szCs w:val="22"/>
        </w:rPr>
        <w:t xml:space="preserve">: Background Note” provides a description of how the income projections were created. In brief, survey data was used to estimate the parameters of distributions of both employment status and incomes. The profiles generated from these data are then adjusted by assuming an </w:t>
      </w:r>
      <w:r w:rsidR="007A1FEA">
        <w:rPr>
          <w:rFonts w:ascii="Verdana" w:hAnsi="Verdana"/>
          <w:sz w:val="22"/>
          <w:szCs w:val="22"/>
        </w:rPr>
        <w:t xml:space="preserve">additional </w:t>
      </w:r>
      <w:r w:rsidRPr="003E1C24">
        <w:rPr>
          <w:rFonts w:ascii="Verdana" w:hAnsi="Verdana"/>
          <w:sz w:val="22"/>
          <w:szCs w:val="22"/>
        </w:rPr>
        <w:t>annual growth in cash income of 4.75 per cent.</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There are some features that are not made explicit in the Background Note, which </w:t>
      </w:r>
      <w:r w:rsidR="0070237E">
        <w:rPr>
          <w:rFonts w:ascii="Verdana" w:hAnsi="Verdana"/>
          <w:sz w:val="22"/>
          <w:szCs w:val="22"/>
        </w:rPr>
        <w:t>may be</w:t>
      </w:r>
      <w:r w:rsidRPr="003E1C24">
        <w:rPr>
          <w:rFonts w:ascii="Verdana" w:hAnsi="Verdana"/>
          <w:sz w:val="22"/>
          <w:szCs w:val="22"/>
        </w:rPr>
        <w:t xml:space="preserve"> important when judging the results.</w:t>
      </w:r>
    </w:p>
    <w:p w:rsidR="00517D6A" w:rsidRPr="003E1C24" w:rsidRDefault="00517D6A" w:rsidP="00517D6A">
      <w:pPr>
        <w:pStyle w:val="ListParagraph"/>
        <w:numPr>
          <w:ilvl w:val="0"/>
          <w:numId w:val="3"/>
        </w:numPr>
        <w:spacing w:after="240"/>
        <w:rPr>
          <w:rFonts w:ascii="Verdana" w:hAnsi="Verdana"/>
          <w:sz w:val="22"/>
          <w:szCs w:val="22"/>
        </w:rPr>
      </w:pPr>
      <w:r w:rsidRPr="003E1C24">
        <w:rPr>
          <w:rFonts w:ascii="Verdana" w:hAnsi="Verdana"/>
          <w:sz w:val="22"/>
          <w:szCs w:val="22"/>
        </w:rPr>
        <w:t xml:space="preserve">There are estimates of the number of </w:t>
      </w:r>
      <w:r w:rsidR="00034FB5">
        <w:rPr>
          <w:rFonts w:ascii="Verdana" w:hAnsi="Verdana"/>
          <w:sz w:val="22"/>
          <w:szCs w:val="22"/>
        </w:rPr>
        <w:t>former student</w:t>
      </w:r>
      <w:r w:rsidRPr="003E1C24">
        <w:rPr>
          <w:rFonts w:ascii="Verdana" w:hAnsi="Verdana"/>
          <w:sz w:val="22"/>
          <w:szCs w:val="22"/>
        </w:rPr>
        <w:t xml:space="preserve">s who go abroad and, pessimistically, they are assumed to make no payments when abroad, but to resume payment if or when they return. </w:t>
      </w:r>
    </w:p>
    <w:p w:rsidR="00517D6A" w:rsidRPr="003E1C24" w:rsidRDefault="00517D6A" w:rsidP="00517D6A">
      <w:pPr>
        <w:pStyle w:val="ListParagraph"/>
        <w:numPr>
          <w:ilvl w:val="0"/>
          <w:numId w:val="3"/>
        </w:numPr>
        <w:spacing w:after="240"/>
        <w:rPr>
          <w:rFonts w:ascii="Verdana" w:hAnsi="Verdana"/>
          <w:sz w:val="22"/>
          <w:szCs w:val="22"/>
        </w:rPr>
      </w:pPr>
      <w:r w:rsidRPr="003E1C24">
        <w:rPr>
          <w:rFonts w:ascii="Verdana" w:hAnsi="Verdana"/>
          <w:sz w:val="22"/>
          <w:szCs w:val="22"/>
        </w:rPr>
        <w:t>EU students are not included in the modelling.</w:t>
      </w:r>
    </w:p>
    <w:p w:rsidR="00517D6A" w:rsidRPr="0070237E" w:rsidRDefault="00517D6A" w:rsidP="00517D6A">
      <w:pPr>
        <w:pStyle w:val="ListParagraph"/>
        <w:numPr>
          <w:ilvl w:val="0"/>
          <w:numId w:val="3"/>
        </w:numPr>
        <w:rPr>
          <w:rFonts w:ascii="Verdana" w:hAnsi="Verdana"/>
          <w:sz w:val="22"/>
          <w:szCs w:val="22"/>
        </w:rPr>
      </w:pPr>
      <w:r w:rsidRPr="0070237E">
        <w:rPr>
          <w:rFonts w:ascii="Verdana" w:hAnsi="Verdana"/>
          <w:sz w:val="22"/>
          <w:szCs w:val="22"/>
        </w:rPr>
        <w:t>In generating salaries from year to year, the association between</w:t>
      </w:r>
      <w:r w:rsidRPr="0070237E">
        <w:rPr>
          <w:rFonts w:ascii="Verdana" w:hAnsi="Verdana"/>
          <w:sz w:val="22"/>
          <w:szCs w:val="22"/>
        </w:rPr>
        <w:br/>
        <w:t>the salary in one year and the previous year is not made through</w:t>
      </w:r>
      <w:r w:rsidRPr="0070237E">
        <w:rPr>
          <w:rFonts w:ascii="Verdana" w:hAnsi="Verdana"/>
          <w:sz w:val="22"/>
          <w:szCs w:val="22"/>
        </w:rPr>
        <w:br/>
        <w:t xml:space="preserve">individual earning values. Each </w:t>
      </w:r>
      <w:r w:rsidR="00034FB5" w:rsidRPr="0070237E">
        <w:rPr>
          <w:rFonts w:ascii="Verdana" w:hAnsi="Verdana"/>
          <w:sz w:val="22"/>
          <w:szCs w:val="22"/>
        </w:rPr>
        <w:t>former student</w:t>
      </w:r>
      <w:r w:rsidRPr="0070237E">
        <w:rPr>
          <w:rFonts w:ascii="Verdana" w:hAnsi="Verdana"/>
          <w:sz w:val="22"/>
          <w:szCs w:val="22"/>
        </w:rPr>
        <w:t xml:space="preserve"> in a given year is assigned</w:t>
      </w:r>
      <w:r w:rsidR="0070237E" w:rsidRPr="0070237E">
        <w:rPr>
          <w:rFonts w:ascii="Verdana" w:hAnsi="Verdana"/>
          <w:sz w:val="22"/>
          <w:szCs w:val="22"/>
        </w:rPr>
        <w:t xml:space="preserve"> </w:t>
      </w:r>
      <w:r w:rsidRPr="0070237E">
        <w:rPr>
          <w:rFonts w:ascii="Verdana" w:hAnsi="Verdana"/>
          <w:sz w:val="22"/>
          <w:szCs w:val="22"/>
        </w:rPr>
        <w:t>to one of three income bands (low, medium or high) and the mean and standard deviations of these bands provide the parameters for the distribution from which the next year’s income are generated. This will ensure that there is some correlation between an individual’s income between one year and the next, but apart from this, there is nothing to associate an individual's salary from one year to the next.</w:t>
      </w:r>
    </w:p>
    <w:p w:rsidR="00517D6A" w:rsidRPr="003E1C24" w:rsidRDefault="00517D6A" w:rsidP="00517D6A">
      <w:pPr>
        <w:pStyle w:val="ListParagraph"/>
        <w:rPr>
          <w:rFonts w:ascii="Verdana" w:hAnsi="Verdana"/>
          <w:sz w:val="22"/>
          <w:szCs w:val="22"/>
        </w:rPr>
      </w:pPr>
    </w:p>
    <w:p w:rsidR="00517D6A" w:rsidRPr="003E1C24" w:rsidRDefault="00517D6A" w:rsidP="00517D6A">
      <w:pPr>
        <w:pStyle w:val="ListParagraph"/>
        <w:numPr>
          <w:ilvl w:val="0"/>
          <w:numId w:val="3"/>
        </w:numPr>
        <w:spacing w:after="240"/>
        <w:rPr>
          <w:rFonts w:ascii="Verdana" w:hAnsi="Verdana"/>
          <w:sz w:val="22"/>
          <w:szCs w:val="22"/>
        </w:rPr>
      </w:pPr>
      <w:r w:rsidRPr="003E1C24">
        <w:rPr>
          <w:rFonts w:ascii="Verdana" w:hAnsi="Verdana"/>
          <w:sz w:val="22"/>
          <w:szCs w:val="22"/>
        </w:rPr>
        <w:t xml:space="preserve">For each </w:t>
      </w:r>
      <w:r w:rsidR="007A1FEA">
        <w:rPr>
          <w:rFonts w:ascii="Verdana" w:hAnsi="Verdana"/>
          <w:sz w:val="22"/>
          <w:szCs w:val="22"/>
        </w:rPr>
        <w:t xml:space="preserve">of </w:t>
      </w:r>
      <w:r w:rsidRPr="003E1C24">
        <w:rPr>
          <w:rFonts w:ascii="Verdana" w:hAnsi="Verdana"/>
          <w:sz w:val="22"/>
          <w:szCs w:val="22"/>
        </w:rPr>
        <w:t xml:space="preserve">the three income bands and for males and females there is a linear regression model of income by age, age squared and age cubed. It is these models which drive the ‘career’ mean salary increases. The data for this model covers about ten years and therefore combines age cohorts. </w:t>
      </w:r>
      <w:r w:rsidR="002805D7">
        <w:rPr>
          <w:rFonts w:ascii="Verdana" w:hAnsi="Verdana"/>
          <w:sz w:val="22"/>
          <w:szCs w:val="22"/>
        </w:rPr>
        <w:t>I</w:t>
      </w:r>
      <w:r w:rsidRPr="003E1C24">
        <w:rPr>
          <w:rFonts w:ascii="Verdana" w:hAnsi="Verdana"/>
          <w:sz w:val="22"/>
          <w:szCs w:val="22"/>
        </w:rPr>
        <w:t>ndividuals at the end of the 35 year period will have been born earlier than those at the beginning.</w:t>
      </w:r>
    </w:p>
    <w:p w:rsidR="00517D6A" w:rsidRPr="003E1C24" w:rsidRDefault="00517D6A" w:rsidP="00517D6A">
      <w:pPr>
        <w:pStyle w:val="ListParagraph"/>
        <w:numPr>
          <w:ilvl w:val="0"/>
          <w:numId w:val="3"/>
        </w:numPr>
        <w:spacing w:after="240"/>
        <w:rPr>
          <w:rFonts w:ascii="Verdana" w:hAnsi="Verdana"/>
          <w:sz w:val="22"/>
          <w:szCs w:val="22"/>
        </w:rPr>
      </w:pPr>
      <w:r w:rsidRPr="003E1C24">
        <w:rPr>
          <w:rFonts w:ascii="Verdana" w:hAnsi="Verdana"/>
          <w:sz w:val="22"/>
          <w:szCs w:val="22"/>
        </w:rPr>
        <w:lastRenderedPageBreak/>
        <w:t xml:space="preserve">Nearly half of the simulated </w:t>
      </w:r>
      <w:r w:rsidR="00034FB5">
        <w:rPr>
          <w:rFonts w:ascii="Verdana" w:hAnsi="Verdana"/>
          <w:sz w:val="22"/>
          <w:szCs w:val="22"/>
        </w:rPr>
        <w:t>former student</w:t>
      </w:r>
      <w:r w:rsidRPr="003E1C24">
        <w:rPr>
          <w:rFonts w:ascii="Verdana" w:hAnsi="Verdana"/>
          <w:sz w:val="22"/>
          <w:szCs w:val="22"/>
        </w:rPr>
        <w:t>s are male.</w:t>
      </w:r>
    </w:p>
    <w:p w:rsidR="00517D6A" w:rsidRPr="003E1C24" w:rsidRDefault="00517D6A" w:rsidP="00517D6A">
      <w:pPr>
        <w:keepNext/>
        <w:spacing w:after="240"/>
        <w:rPr>
          <w:rFonts w:ascii="Verdana" w:hAnsi="Verdana"/>
          <w:b/>
          <w:sz w:val="22"/>
          <w:szCs w:val="22"/>
        </w:rPr>
      </w:pPr>
      <w:r w:rsidRPr="003E1C24">
        <w:rPr>
          <w:rFonts w:ascii="Verdana" w:hAnsi="Verdana"/>
          <w:b/>
          <w:sz w:val="22"/>
          <w:szCs w:val="22"/>
        </w:rPr>
        <w:t xml:space="preserve">Concerns about the simulated dataset of incomes </w:t>
      </w:r>
    </w:p>
    <w:p w:rsidR="00517D6A" w:rsidRPr="003E1C24" w:rsidRDefault="00517D6A" w:rsidP="00517D6A">
      <w:pPr>
        <w:keepNext/>
        <w:spacing w:after="240"/>
        <w:rPr>
          <w:rFonts w:ascii="Verdana" w:hAnsi="Verdana"/>
          <w:i/>
          <w:sz w:val="22"/>
          <w:szCs w:val="22"/>
        </w:rPr>
      </w:pPr>
      <w:r w:rsidRPr="003E1C24">
        <w:rPr>
          <w:rFonts w:ascii="Verdana" w:hAnsi="Verdana"/>
          <w:i/>
          <w:sz w:val="22"/>
          <w:szCs w:val="22"/>
        </w:rPr>
        <w:t>Emigration</w:t>
      </w:r>
      <w:r w:rsidR="0070237E">
        <w:rPr>
          <w:rFonts w:ascii="Verdana" w:hAnsi="Verdana"/>
          <w:i/>
          <w:sz w:val="22"/>
          <w:szCs w:val="22"/>
        </w:rPr>
        <w:t xml:space="preserve"> and</w:t>
      </w:r>
      <w:r w:rsidRPr="003E1C24">
        <w:rPr>
          <w:rFonts w:ascii="Verdana" w:hAnsi="Verdana"/>
          <w:i/>
          <w:sz w:val="22"/>
          <w:szCs w:val="22"/>
        </w:rPr>
        <w:t xml:space="preserve"> EU students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The treatment of emigration would seem to be cautious</w:t>
      </w:r>
      <w:r w:rsidR="002805D7">
        <w:rPr>
          <w:rFonts w:ascii="Verdana" w:hAnsi="Verdana"/>
          <w:sz w:val="22"/>
          <w:szCs w:val="22"/>
        </w:rPr>
        <w:t xml:space="preserve"> </w:t>
      </w:r>
      <w:r w:rsidRPr="003E1C24">
        <w:rPr>
          <w:rFonts w:ascii="Verdana" w:hAnsi="Verdana"/>
          <w:sz w:val="22"/>
          <w:szCs w:val="22"/>
        </w:rPr>
        <w:t xml:space="preserve">by not including any repayments from </w:t>
      </w:r>
      <w:r w:rsidR="00034FB5">
        <w:rPr>
          <w:rFonts w:ascii="Verdana" w:hAnsi="Verdana"/>
          <w:sz w:val="22"/>
          <w:szCs w:val="22"/>
        </w:rPr>
        <w:t>former student</w:t>
      </w:r>
      <w:r w:rsidRPr="003E1C24">
        <w:rPr>
          <w:rFonts w:ascii="Verdana" w:hAnsi="Verdana"/>
          <w:sz w:val="22"/>
          <w:szCs w:val="22"/>
        </w:rPr>
        <w:t>s abroad. However, the concern is that estimating emigration is difficult, and there is evidence that significant numbers of young men emigrate without this being captured by m</w:t>
      </w:r>
      <w:r w:rsidR="002805D7">
        <w:rPr>
          <w:rFonts w:ascii="Verdana" w:hAnsi="Verdana"/>
          <w:sz w:val="22"/>
          <w:szCs w:val="22"/>
        </w:rPr>
        <w:t>ost</w:t>
      </w:r>
      <w:r w:rsidRPr="003E1C24">
        <w:rPr>
          <w:rFonts w:ascii="Verdana" w:hAnsi="Verdana"/>
          <w:sz w:val="22"/>
          <w:szCs w:val="22"/>
        </w:rPr>
        <w:t xml:space="preserve"> surveys.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 The 2010 repayment cohort of EU borrowers is the first significant group of EU borrowers who have come into repayment. EU borrowers in earlier repayment cohorts will mostly comprise of those borrowers on one or two year courses or those who have dropped out of their course. It was only in 2009 that the Student Loan Company (SLC) began to take action against those borrowers who moved overseas. This means we have very little repayment history, but the expectation must be that there will be a much lower yield from repayments.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We have been unable to make any adjustments to take account of these groups in the time available. Though this creates further uncertainties, because they only relate to minorities of </w:t>
      </w:r>
      <w:r w:rsidR="00034FB5">
        <w:rPr>
          <w:rFonts w:ascii="Verdana" w:hAnsi="Verdana"/>
          <w:sz w:val="22"/>
          <w:szCs w:val="22"/>
        </w:rPr>
        <w:t>former student</w:t>
      </w:r>
      <w:r w:rsidRPr="003E1C24">
        <w:rPr>
          <w:rFonts w:ascii="Verdana" w:hAnsi="Verdana"/>
          <w:sz w:val="22"/>
          <w:szCs w:val="22"/>
        </w:rPr>
        <w:t>s, the uncertainties are smaller than for the other concerns.</w:t>
      </w:r>
    </w:p>
    <w:p w:rsidR="00517D6A" w:rsidRPr="003E1C24" w:rsidRDefault="00517D6A" w:rsidP="00517D6A">
      <w:pPr>
        <w:spacing w:after="240"/>
        <w:rPr>
          <w:rFonts w:ascii="Verdana" w:hAnsi="Verdana"/>
          <w:i/>
          <w:sz w:val="22"/>
          <w:szCs w:val="22"/>
        </w:rPr>
      </w:pPr>
      <w:r w:rsidRPr="003E1C24">
        <w:rPr>
          <w:rFonts w:ascii="Verdana" w:hAnsi="Verdana"/>
          <w:i/>
          <w:sz w:val="22"/>
          <w:szCs w:val="22"/>
        </w:rPr>
        <w:t>Changes in individual incomes from year to year</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 As the IFS modellers have pointed out (</w:t>
      </w:r>
      <w:proofErr w:type="spellStart"/>
      <w:r w:rsidRPr="003E1C24">
        <w:rPr>
          <w:rFonts w:ascii="Verdana" w:hAnsi="Verdana" w:cs="Courier New"/>
          <w:sz w:val="22"/>
          <w:szCs w:val="22"/>
        </w:rPr>
        <w:t>Dearden</w:t>
      </w:r>
      <w:proofErr w:type="spellEnd"/>
      <w:r w:rsidRPr="003E1C24">
        <w:rPr>
          <w:rFonts w:ascii="Verdana" w:hAnsi="Verdana" w:cs="Courier New"/>
          <w:sz w:val="22"/>
          <w:szCs w:val="22"/>
        </w:rPr>
        <w:t xml:space="preserve"> 2010b)</w:t>
      </w:r>
      <w:r w:rsidRPr="003E1C24">
        <w:rPr>
          <w:rFonts w:ascii="Verdana" w:hAnsi="Verdana"/>
          <w:sz w:val="22"/>
          <w:szCs w:val="22"/>
        </w:rPr>
        <w:t xml:space="preserve">, there is good evidence showing that there are strong correlations in individual incomes which go back through time for more than one year. Our concerns were further raised on producing some sample descriptive statistics. For example just 5.2 per cent of male </w:t>
      </w:r>
      <w:r w:rsidR="00034FB5">
        <w:rPr>
          <w:rFonts w:ascii="Verdana" w:hAnsi="Verdana"/>
          <w:sz w:val="22"/>
          <w:szCs w:val="22"/>
        </w:rPr>
        <w:t>former student</w:t>
      </w:r>
      <w:r w:rsidRPr="003E1C24">
        <w:rPr>
          <w:rFonts w:ascii="Verdana" w:hAnsi="Verdana"/>
          <w:sz w:val="22"/>
          <w:szCs w:val="22"/>
        </w:rPr>
        <w:t xml:space="preserve">s had not earned £40,000 or more in any year of the first ten years (2016 prices), and only 2.0 per cent had earned less than this in all of the thirty year repayment period. </w:t>
      </w:r>
      <w:r w:rsidR="00BC15B2">
        <w:rPr>
          <w:rFonts w:ascii="Verdana" w:hAnsi="Verdana"/>
          <w:sz w:val="22"/>
          <w:szCs w:val="22"/>
        </w:rPr>
        <w:t xml:space="preserve">Table </w:t>
      </w:r>
      <w:r w:rsidR="00EE378A">
        <w:rPr>
          <w:rFonts w:ascii="Verdana" w:hAnsi="Verdana"/>
          <w:sz w:val="22"/>
          <w:szCs w:val="22"/>
        </w:rPr>
        <w:t>A</w:t>
      </w:r>
      <w:r w:rsidR="00BC15B2">
        <w:rPr>
          <w:rFonts w:ascii="Verdana" w:hAnsi="Verdana"/>
          <w:sz w:val="22"/>
          <w:szCs w:val="22"/>
        </w:rPr>
        <w:t xml:space="preserve">1 shows the proportions of </w:t>
      </w:r>
      <w:r w:rsidR="00034FB5">
        <w:rPr>
          <w:rFonts w:ascii="Verdana" w:hAnsi="Verdana"/>
          <w:sz w:val="22"/>
          <w:szCs w:val="22"/>
        </w:rPr>
        <w:t>former student</w:t>
      </w:r>
      <w:r w:rsidR="00BC15B2">
        <w:rPr>
          <w:rFonts w:ascii="Verdana" w:hAnsi="Verdana"/>
          <w:sz w:val="22"/>
          <w:szCs w:val="22"/>
        </w:rPr>
        <w:t>s with a maximum salary below a range of values. It can be seen that there are</w:t>
      </w:r>
      <w:r w:rsidRPr="003E1C24">
        <w:rPr>
          <w:rFonts w:ascii="Verdana" w:hAnsi="Verdana"/>
          <w:sz w:val="22"/>
          <w:szCs w:val="22"/>
        </w:rPr>
        <w:t xml:space="preserve"> very few individuals on consistently low </w:t>
      </w:r>
      <w:r w:rsidR="00BC15B2">
        <w:rPr>
          <w:rFonts w:ascii="Verdana" w:hAnsi="Verdana"/>
          <w:sz w:val="22"/>
          <w:szCs w:val="22"/>
        </w:rPr>
        <w:t xml:space="preserve">or even middle incomes. </w:t>
      </w:r>
      <w:r w:rsidRPr="003E1C24">
        <w:rPr>
          <w:rFonts w:ascii="Verdana" w:hAnsi="Verdana"/>
          <w:sz w:val="22"/>
          <w:szCs w:val="22"/>
        </w:rPr>
        <w:t>This, we suspect, is an artefact of the modelling.</w:t>
      </w:r>
    </w:p>
    <w:p w:rsidR="00517D6A"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We carried out a number of simulations, using artificial data, to see how year to year variation in income impacts the RAB. We found that the changes to the RAB were small, and not consistent. For example, an individual whose expected income was just below the repayment threshold would have a reduced RAB with increased year to year variation, but other circumstances produced the opposite result. We concluded therefore that though the data set did generate some implausible statistics, the lack of association between individual incomes from year to </w:t>
      </w:r>
      <w:r w:rsidRPr="003E1C24">
        <w:rPr>
          <w:rFonts w:ascii="Verdana" w:hAnsi="Verdana"/>
          <w:sz w:val="22"/>
          <w:szCs w:val="22"/>
        </w:rPr>
        <w:lastRenderedPageBreak/>
        <w:t xml:space="preserve">year did not make the data unfit for the purpose of providing at least a </w:t>
      </w:r>
      <w:r w:rsidRPr="007B71EB">
        <w:rPr>
          <w:rFonts w:ascii="Verdana" w:hAnsi="Verdana"/>
          <w:b/>
          <w:sz w:val="22"/>
          <w:szCs w:val="22"/>
        </w:rPr>
        <w:t>rough</w:t>
      </w:r>
      <w:r w:rsidRPr="003E1C24">
        <w:rPr>
          <w:rFonts w:ascii="Verdana" w:hAnsi="Verdana"/>
          <w:sz w:val="22"/>
          <w:szCs w:val="22"/>
        </w:rPr>
        <w:t xml:space="preserve"> estimate </w:t>
      </w:r>
      <w:r w:rsidR="002805D7">
        <w:rPr>
          <w:rFonts w:ascii="Verdana" w:hAnsi="Verdana"/>
          <w:sz w:val="22"/>
          <w:szCs w:val="22"/>
        </w:rPr>
        <w:t xml:space="preserve">of </w:t>
      </w:r>
      <w:r w:rsidRPr="003E1C24">
        <w:rPr>
          <w:rFonts w:ascii="Verdana" w:hAnsi="Verdana"/>
          <w:sz w:val="22"/>
          <w:szCs w:val="22"/>
        </w:rPr>
        <w:t>the RAB.</w:t>
      </w:r>
      <w:r w:rsidR="007B71EB">
        <w:rPr>
          <w:rFonts w:ascii="Verdana" w:hAnsi="Verdana"/>
          <w:sz w:val="22"/>
          <w:szCs w:val="22"/>
        </w:rPr>
        <w:t xml:space="preserve"> The simulations we have carried out suggest that the high year to year variability is not a first order source of inaccuracy, but for figures to be truly credible this issue needs to be addressed.</w:t>
      </w:r>
      <w:r w:rsidR="00BC15B2">
        <w:rPr>
          <w:rFonts w:ascii="Verdana" w:hAnsi="Verdana"/>
          <w:sz w:val="22"/>
          <w:szCs w:val="22"/>
        </w:rPr>
        <w:t xml:space="preserve"> </w:t>
      </w:r>
    </w:p>
    <w:p w:rsidR="00BD1ADC" w:rsidRPr="00BD1ADC" w:rsidRDefault="00BD1ADC" w:rsidP="00BD1ADC">
      <w:pPr>
        <w:spacing w:after="240"/>
        <w:rPr>
          <w:rFonts w:ascii="Verdana" w:hAnsi="Verdana"/>
          <w:sz w:val="22"/>
          <w:szCs w:val="22"/>
          <w:u w:val="single"/>
        </w:rPr>
      </w:pPr>
      <w:r w:rsidRPr="00BD1ADC">
        <w:rPr>
          <w:rFonts w:ascii="Verdana" w:hAnsi="Verdana"/>
          <w:sz w:val="22"/>
          <w:szCs w:val="22"/>
          <w:u w:val="single"/>
        </w:rPr>
        <w:t xml:space="preserve">Table </w:t>
      </w:r>
      <w:r w:rsidR="007C2D5A">
        <w:rPr>
          <w:rFonts w:ascii="Verdana" w:hAnsi="Verdana"/>
          <w:sz w:val="22"/>
          <w:szCs w:val="22"/>
          <w:u w:val="single"/>
        </w:rPr>
        <w:t>A</w:t>
      </w:r>
      <w:r w:rsidRPr="00BD1ADC">
        <w:rPr>
          <w:rFonts w:ascii="Verdana" w:hAnsi="Verdana"/>
          <w:sz w:val="22"/>
          <w:szCs w:val="22"/>
          <w:u w:val="single"/>
        </w:rPr>
        <w:t>1: Maximum incomes over 10 and 30 year periods</w:t>
      </w:r>
    </w:p>
    <w:tbl>
      <w:tblPr>
        <w:tblStyle w:val="TableGrid"/>
        <w:tblW w:w="0" w:type="auto"/>
        <w:tblLook w:val="04A0"/>
      </w:tblPr>
      <w:tblGrid>
        <w:gridCol w:w="2660"/>
        <w:gridCol w:w="1559"/>
        <w:gridCol w:w="1418"/>
        <w:gridCol w:w="1559"/>
        <w:gridCol w:w="1326"/>
      </w:tblGrid>
      <w:tr w:rsidR="00BD1ADC" w:rsidRPr="00935609" w:rsidTr="00034FB5">
        <w:tc>
          <w:tcPr>
            <w:tcW w:w="2660" w:type="dxa"/>
            <w:vMerge w:val="restart"/>
          </w:tcPr>
          <w:p w:rsidR="00BD1ADC" w:rsidRPr="00935609" w:rsidRDefault="00BD1ADC" w:rsidP="00321564">
            <w:pPr>
              <w:spacing w:line="240" w:lineRule="auto"/>
              <w:jc w:val="center"/>
              <w:rPr>
                <w:rFonts w:ascii="Verdana" w:hAnsi="Verdana"/>
                <w:b/>
                <w:sz w:val="20"/>
              </w:rPr>
            </w:pPr>
            <w:r w:rsidRPr="00935609">
              <w:rPr>
                <w:rFonts w:ascii="Verdana" w:hAnsi="Verdana"/>
                <w:b/>
                <w:sz w:val="20"/>
              </w:rPr>
              <w:t>Maximum income</w:t>
            </w:r>
          </w:p>
          <w:p w:rsidR="00BD1ADC" w:rsidRPr="00935609" w:rsidRDefault="00BD1ADC" w:rsidP="00321564">
            <w:pPr>
              <w:spacing w:line="240" w:lineRule="auto"/>
              <w:jc w:val="center"/>
              <w:rPr>
                <w:rFonts w:ascii="Verdana" w:hAnsi="Verdana"/>
                <w:b/>
                <w:sz w:val="20"/>
              </w:rPr>
            </w:pPr>
            <w:r w:rsidRPr="00935609">
              <w:rPr>
                <w:rFonts w:ascii="Verdana" w:hAnsi="Verdana"/>
                <w:b/>
                <w:sz w:val="20"/>
              </w:rPr>
              <w:t>(£ 000s pa, 2016 prices)</w:t>
            </w:r>
          </w:p>
        </w:tc>
        <w:tc>
          <w:tcPr>
            <w:tcW w:w="2977" w:type="dxa"/>
            <w:gridSpan w:val="2"/>
          </w:tcPr>
          <w:p w:rsidR="00BD1ADC" w:rsidRPr="00935609" w:rsidRDefault="00BD1ADC" w:rsidP="00321564">
            <w:pPr>
              <w:spacing w:line="240" w:lineRule="auto"/>
              <w:jc w:val="center"/>
              <w:rPr>
                <w:rFonts w:ascii="Verdana" w:hAnsi="Verdana"/>
                <w:b/>
                <w:sz w:val="20"/>
              </w:rPr>
            </w:pPr>
            <w:r w:rsidRPr="00935609">
              <w:rPr>
                <w:rFonts w:ascii="Verdana" w:hAnsi="Verdana"/>
                <w:b/>
                <w:sz w:val="20"/>
              </w:rPr>
              <w:t>Over first 10 years</w:t>
            </w:r>
          </w:p>
        </w:tc>
        <w:tc>
          <w:tcPr>
            <w:tcW w:w="2885" w:type="dxa"/>
            <w:gridSpan w:val="2"/>
          </w:tcPr>
          <w:p w:rsidR="00BD1ADC" w:rsidRPr="00935609" w:rsidRDefault="00BD1ADC" w:rsidP="00321564">
            <w:pPr>
              <w:spacing w:line="240" w:lineRule="auto"/>
              <w:jc w:val="center"/>
              <w:rPr>
                <w:rFonts w:ascii="Verdana" w:hAnsi="Verdana"/>
                <w:b/>
                <w:sz w:val="20"/>
              </w:rPr>
            </w:pPr>
            <w:r w:rsidRPr="00935609">
              <w:rPr>
                <w:rFonts w:ascii="Verdana" w:hAnsi="Verdana"/>
                <w:b/>
                <w:sz w:val="20"/>
              </w:rPr>
              <w:t>Over 30 years</w:t>
            </w:r>
          </w:p>
        </w:tc>
      </w:tr>
      <w:tr w:rsidR="00BD1ADC" w:rsidRPr="00935609" w:rsidTr="008879B5">
        <w:tc>
          <w:tcPr>
            <w:tcW w:w="2660" w:type="dxa"/>
            <w:vMerge/>
          </w:tcPr>
          <w:p w:rsidR="00BD1ADC" w:rsidRPr="00935609" w:rsidRDefault="00BD1ADC" w:rsidP="00321564">
            <w:pPr>
              <w:spacing w:line="240" w:lineRule="auto"/>
              <w:rPr>
                <w:rFonts w:ascii="Verdana" w:hAnsi="Verdana"/>
                <w:sz w:val="20"/>
              </w:rPr>
            </w:pPr>
          </w:p>
        </w:tc>
        <w:tc>
          <w:tcPr>
            <w:tcW w:w="1559" w:type="dxa"/>
          </w:tcPr>
          <w:p w:rsidR="00BD1ADC" w:rsidRPr="00935609" w:rsidRDefault="00BD1ADC" w:rsidP="00321564">
            <w:pPr>
              <w:spacing w:line="240" w:lineRule="auto"/>
              <w:jc w:val="right"/>
              <w:rPr>
                <w:rFonts w:ascii="Verdana" w:hAnsi="Verdana"/>
                <w:b/>
                <w:sz w:val="20"/>
              </w:rPr>
            </w:pPr>
            <w:r w:rsidRPr="00935609">
              <w:rPr>
                <w:rFonts w:ascii="Verdana" w:hAnsi="Verdana"/>
                <w:b/>
                <w:sz w:val="20"/>
              </w:rPr>
              <w:t>Male</w:t>
            </w:r>
          </w:p>
        </w:tc>
        <w:tc>
          <w:tcPr>
            <w:tcW w:w="1418" w:type="dxa"/>
          </w:tcPr>
          <w:p w:rsidR="00BD1ADC" w:rsidRPr="00935609" w:rsidRDefault="00BD1ADC" w:rsidP="00321564">
            <w:pPr>
              <w:spacing w:line="240" w:lineRule="auto"/>
              <w:jc w:val="right"/>
              <w:rPr>
                <w:rFonts w:ascii="Verdana" w:hAnsi="Verdana"/>
                <w:b/>
                <w:sz w:val="20"/>
              </w:rPr>
            </w:pPr>
            <w:r w:rsidRPr="00935609">
              <w:rPr>
                <w:rFonts w:ascii="Verdana" w:hAnsi="Verdana"/>
                <w:b/>
                <w:sz w:val="20"/>
              </w:rPr>
              <w:t>Female</w:t>
            </w:r>
          </w:p>
        </w:tc>
        <w:tc>
          <w:tcPr>
            <w:tcW w:w="1559" w:type="dxa"/>
          </w:tcPr>
          <w:p w:rsidR="00BD1ADC" w:rsidRPr="00935609" w:rsidRDefault="00BD1ADC" w:rsidP="00321564">
            <w:pPr>
              <w:spacing w:line="240" w:lineRule="auto"/>
              <w:jc w:val="right"/>
              <w:rPr>
                <w:rFonts w:ascii="Verdana" w:hAnsi="Verdana"/>
                <w:b/>
                <w:sz w:val="20"/>
              </w:rPr>
            </w:pPr>
            <w:r w:rsidRPr="00935609">
              <w:rPr>
                <w:rFonts w:ascii="Verdana" w:hAnsi="Verdana"/>
                <w:b/>
                <w:sz w:val="20"/>
              </w:rPr>
              <w:t>Male</w:t>
            </w:r>
          </w:p>
        </w:tc>
        <w:tc>
          <w:tcPr>
            <w:tcW w:w="1326" w:type="dxa"/>
          </w:tcPr>
          <w:p w:rsidR="00BD1ADC" w:rsidRPr="00935609" w:rsidRDefault="00BD1ADC" w:rsidP="00321564">
            <w:pPr>
              <w:spacing w:line="240" w:lineRule="auto"/>
              <w:jc w:val="right"/>
              <w:rPr>
                <w:rFonts w:ascii="Verdana" w:hAnsi="Verdana"/>
                <w:b/>
                <w:sz w:val="20"/>
              </w:rPr>
            </w:pPr>
            <w:r w:rsidRPr="00935609">
              <w:rPr>
                <w:rFonts w:ascii="Verdana" w:hAnsi="Verdana"/>
                <w:b/>
                <w:sz w:val="20"/>
              </w:rPr>
              <w:t>Female</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 xml:space="preserve">£0 </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0.5%</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0.5%</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0.4%</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0.3%</w:t>
            </w:r>
          </w:p>
        </w:tc>
      </w:tr>
      <w:tr w:rsidR="00BD1ADC" w:rsidRPr="00935609" w:rsidTr="00034FB5">
        <w:tc>
          <w:tcPr>
            <w:tcW w:w="2660" w:type="dxa"/>
          </w:tcPr>
          <w:p w:rsidR="00BD1ADC" w:rsidRPr="00935609" w:rsidRDefault="004C0831" w:rsidP="00321564">
            <w:pPr>
              <w:spacing w:line="240" w:lineRule="auto"/>
              <w:rPr>
                <w:rFonts w:ascii="Verdana" w:hAnsi="Verdana"/>
                <w:sz w:val="20"/>
              </w:rPr>
            </w:pPr>
            <w:r w:rsidRPr="00935609">
              <w:rPr>
                <w:rFonts w:ascii="Verdana" w:hAnsi="Verdana"/>
                <w:sz w:val="20"/>
              </w:rPr>
              <w:t>&lt;10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0.5%</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0.8%</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0.4%</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0.3%</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&lt; 20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0.7%</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3.8%</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0.6%</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1.0%</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&lt; 30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1.5%</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13.7%</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1.2%</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3.2%</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&lt; 40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5.2%</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33.1%</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2.0%</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6.7%</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&lt; 50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53.4%</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89.4%</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3.5%</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17.8%</w:t>
            </w:r>
          </w:p>
        </w:tc>
      </w:tr>
      <w:tr w:rsidR="00BD1ADC" w:rsidRPr="00935609" w:rsidTr="00034FB5">
        <w:tc>
          <w:tcPr>
            <w:tcW w:w="2660" w:type="dxa"/>
          </w:tcPr>
          <w:p w:rsidR="00BD1ADC" w:rsidRPr="00935609" w:rsidRDefault="00BD1ADC" w:rsidP="00321564">
            <w:pPr>
              <w:spacing w:line="240" w:lineRule="auto"/>
              <w:rPr>
                <w:rFonts w:ascii="Verdana" w:hAnsi="Verdana"/>
                <w:sz w:val="20"/>
              </w:rPr>
            </w:pPr>
            <w:r w:rsidRPr="00935609">
              <w:rPr>
                <w:rFonts w:ascii="Verdana" w:hAnsi="Verdana"/>
                <w:sz w:val="20"/>
              </w:rPr>
              <w:t>&lt; 60</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79.3%</w:t>
            </w:r>
          </w:p>
        </w:tc>
        <w:tc>
          <w:tcPr>
            <w:tcW w:w="1418"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97.5%</w:t>
            </w:r>
          </w:p>
        </w:tc>
        <w:tc>
          <w:tcPr>
            <w:tcW w:w="1559"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6.9%</w:t>
            </w:r>
          </w:p>
        </w:tc>
        <w:tc>
          <w:tcPr>
            <w:tcW w:w="1326" w:type="dxa"/>
            <w:vAlign w:val="bottom"/>
          </w:tcPr>
          <w:p w:rsidR="00BD1ADC" w:rsidRPr="00935609" w:rsidRDefault="00BD1ADC" w:rsidP="00321564">
            <w:pPr>
              <w:spacing w:line="240" w:lineRule="auto"/>
              <w:jc w:val="right"/>
              <w:rPr>
                <w:rFonts w:ascii="Verdana" w:hAnsi="Verdana" w:cs="Arial"/>
                <w:sz w:val="20"/>
              </w:rPr>
            </w:pPr>
            <w:r w:rsidRPr="00935609">
              <w:rPr>
                <w:rFonts w:ascii="Verdana" w:hAnsi="Verdana" w:cs="Arial"/>
                <w:sz w:val="20"/>
              </w:rPr>
              <w:t>41.2%</w:t>
            </w:r>
          </w:p>
        </w:tc>
      </w:tr>
    </w:tbl>
    <w:p w:rsidR="00BC15B2" w:rsidRPr="00BD1ADC" w:rsidRDefault="00BD1ADC" w:rsidP="00BC15B2">
      <w:pPr>
        <w:spacing w:after="240"/>
        <w:rPr>
          <w:rFonts w:ascii="Verdana" w:hAnsi="Verdana"/>
          <w:sz w:val="18"/>
          <w:szCs w:val="18"/>
        </w:rPr>
      </w:pPr>
      <w:r w:rsidRPr="00BD1ADC">
        <w:rPr>
          <w:rFonts w:ascii="Verdana" w:hAnsi="Verdana"/>
          <w:sz w:val="18"/>
          <w:szCs w:val="18"/>
        </w:rPr>
        <w:t xml:space="preserve">Source: BIS Ready </w:t>
      </w:r>
      <w:proofErr w:type="spellStart"/>
      <w:r w:rsidRPr="00BD1ADC">
        <w:rPr>
          <w:rFonts w:ascii="Verdana" w:hAnsi="Verdana"/>
          <w:sz w:val="18"/>
          <w:szCs w:val="18"/>
        </w:rPr>
        <w:t>Reckoner</w:t>
      </w:r>
      <w:proofErr w:type="spellEnd"/>
      <w:r w:rsidRPr="00BD1ADC">
        <w:rPr>
          <w:rFonts w:ascii="Verdana" w:hAnsi="Verdana"/>
          <w:sz w:val="18"/>
          <w:szCs w:val="18"/>
        </w:rPr>
        <w:t xml:space="preserve"> – cash figures deflated by 2.75 per cent pa.</w:t>
      </w:r>
    </w:p>
    <w:p w:rsidR="00517D6A" w:rsidRPr="003E1C24" w:rsidRDefault="00517D6A" w:rsidP="0072051E">
      <w:pPr>
        <w:keepNext/>
        <w:spacing w:after="240"/>
        <w:rPr>
          <w:rFonts w:ascii="Verdana" w:hAnsi="Verdana"/>
          <w:i/>
          <w:sz w:val="22"/>
          <w:szCs w:val="22"/>
        </w:rPr>
      </w:pPr>
      <w:r w:rsidRPr="003E1C24">
        <w:rPr>
          <w:rFonts w:ascii="Verdana" w:hAnsi="Verdana"/>
          <w:i/>
          <w:sz w:val="22"/>
          <w:szCs w:val="22"/>
        </w:rPr>
        <w:t>Combining age cohorts in estimating income growth</w:t>
      </w:r>
    </w:p>
    <w:p w:rsidR="00517D6A" w:rsidRPr="00E25FCD" w:rsidRDefault="00517D6A" w:rsidP="00E25FCD">
      <w:pPr>
        <w:numPr>
          <w:ilvl w:val="0"/>
          <w:numId w:val="1"/>
        </w:numPr>
        <w:autoSpaceDE w:val="0"/>
        <w:autoSpaceDN w:val="0"/>
        <w:adjustRightInd w:val="0"/>
        <w:spacing w:after="240"/>
        <w:rPr>
          <w:rFonts w:ascii="Verdana" w:hAnsi="Verdana"/>
          <w:sz w:val="22"/>
          <w:szCs w:val="22"/>
        </w:rPr>
      </w:pPr>
      <w:r w:rsidRPr="00E25FCD">
        <w:rPr>
          <w:rFonts w:ascii="Verdana" w:hAnsi="Verdana"/>
          <w:sz w:val="22"/>
          <w:szCs w:val="22"/>
        </w:rPr>
        <w:t xml:space="preserve">By taking </w:t>
      </w:r>
      <w:r w:rsidR="00034FB5">
        <w:rPr>
          <w:rFonts w:ascii="Verdana" w:hAnsi="Verdana"/>
          <w:sz w:val="22"/>
          <w:szCs w:val="22"/>
        </w:rPr>
        <w:t>former student</w:t>
      </w:r>
      <w:r w:rsidRPr="00E25FCD">
        <w:rPr>
          <w:rFonts w:ascii="Verdana" w:hAnsi="Verdana"/>
          <w:sz w:val="22"/>
          <w:szCs w:val="22"/>
        </w:rPr>
        <w:t>s from different age cohorts the data will include those graduating over a long period of time. Given that only about ten</w:t>
      </w:r>
      <w:r w:rsidR="00E25FCD">
        <w:rPr>
          <w:rFonts w:ascii="Verdana" w:hAnsi="Verdana"/>
          <w:sz w:val="22"/>
          <w:szCs w:val="22"/>
        </w:rPr>
        <w:t xml:space="preserve"> </w:t>
      </w:r>
      <w:r w:rsidRPr="00E25FCD">
        <w:rPr>
          <w:rFonts w:ascii="Verdana" w:hAnsi="Verdana"/>
          <w:sz w:val="22"/>
          <w:szCs w:val="22"/>
        </w:rPr>
        <w:t>years</w:t>
      </w:r>
      <w:r w:rsidR="002805D7">
        <w:rPr>
          <w:rFonts w:ascii="Verdana" w:hAnsi="Verdana"/>
          <w:sz w:val="22"/>
          <w:szCs w:val="22"/>
        </w:rPr>
        <w:t>’</w:t>
      </w:r>
      <w:r w:rsidRPr="00E25FCD">
        <w:rPr>
          <w:rFonts w:ascii="Verdana" w:hAnsi="Verdana"/>
          <w:sz w:val="22"/>
          <w:szCs w:val="22"/>
        </w:rPr>
        <w:t xml:space="preserve"> worth of data was available, for a given age of graduation this will be at least twenty years. Over this period the proportion of </w:t>
      </w:r>
      <w:r w:rsidR="00034FB5">
        <w:rPr>
          <w:rFonts w:ascii="Verdana" w:hAnsi="Verdana"/>
          <w:sz w:val="22"/>
          <w:szCs w:val="22"/>
        </w:rPr>
        <w:t>former student</w:t>
      </w:r>
      <w:r w:rsidRPr="00E25FCD">
        <w:rPr>
          <w:rFonts w:ascii="Verdana" w:hAnsi="Verdana"/>
          <w:sz w:val="22"/>
          <w:szCs w:val="22"/>
        </w:rPr>
        <w:t>s in the population has greatly increased. By using these data without making any allowance for this, the estimated rise in income with age, the ‘career’ growth in income, with be confounded with these generational effects.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Even if the career progression in the past had been accurately characterised, it is a very big assumption to expect the career progression of those graduating in 2016 to follow the same profile. Recent evidence shows that though the average returns to </w:t>
      </w:r>
      <w:r w:rsidR="00034FB5">
        <w:rPr>
          <w:rFonts w:ascii="Verdana" w:hAnsi="Verdana"/>
          <w:sz w:val="22"/>
          <w:szCs w:val="22"/>
        </w:rPr>
        <w:t>former student</w:t>
      </w:r>
      <w:r w:rsidRPr="003E1C24">
        <w:rPr>
          <w:rFonts w:ascii="Verdana" w:hAnsi="Verdana"/>
          <w:sz w:val="22"/>
          <w:szCs w:val="22"/>
        </w:rPr>
        <w:t xml:space="preserve"> education have been stable, the dispersion of these returns has substantially increased, with those for the lower income </w:t>
      </w:r>
      <w:r w:rsidR="00034FB5">
        <w:rPr>
          <w:rFonts w:ascii="Verdana" w:hAnsi="Verdana"/>
          <w:sz w:val="22"/>
          <w:szCs w:val="22"/>
        </w:rPr>
        <w:t>former student</w:t>
      </w:r>
      <w:r w:rsidRPr="003E1C24">
        <w:rPr>
          <w:rFonts w:ascii="Verdana" w:hAnsi="Verdana"/>
          <w:sz w:val="22"/>
          <w:szCs w:val="22"/>
        </w:rPr>
        <w:t xml:space="preserve">s falling (Green, 2010).  It is not clear without more details to know to what extent this change has been captured in the modelling, but even if it were, we need to ask whether the trend is likely to continue, because only those </w:t>
      </w:r>
      <w:r w:rsidR="00034FB5">
        <w:rPr>
          <w:rFonts w:ascii="Verdana" w:hAnsi="Verdana"/>
          <w:sz w:val="22"/>
          <w:szCs w:val="22"/>
        </w:rPr>
        <w:t>former student</w:t>
      </w:r>
      <w:r w:rsidRPr="003E1C24">
        <w:rPr>
          <w:rFonts w:ascii="Verdana" w:hAnsi="Verdana"/>
          <w:sz w:val="22"/>
          <w:szCs w:val="22"/>
        </w:rPr>
        <w:t xml:space="preserve">s earning over average earnings make repayments. </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Figure A1 shows the average incomes for men and women in employment th</w:t>
      </w:r>
      <w:r w:rsidR="002805D7">
        <w:rPr>
          <w:rFonts w:ascii="Verdana" w:hAnsi="Verdana"/>
          <w:sz w:val="22"/>
          <w:szCs w:val="22"/>
        </w:rPr>
        <w:t>r</w:t>
      </w:r>
      <w:r w:rsidRPr="003E1C24">
        <w:rPr>
          <w:rFonts w:ascii="Verdana" w:hAnsi="Verdana"/>
          <w:sz w:val="22"/>
          <w:szCs w:val="22"/>
        </w:rPr>
        <w:t xml:space="preserve">ough the thirty year repayment period. Note these are actual income (2016 prices), so those in part-time work have incomes they actually receive, rather than a full-time equivalent. Two sets of lines are shown. The dotted lines reflect the career progressions, based on the models of incomes described above. The full lines show the combination of </w:t>
      </w:r>
      <w:r w:rsidRPr="003E1C24">
        <w:rPr>
          <w:rFonts w:ascii="Verdana" w:hAnsi="Verdana"/>
          <w:sz w:val="22"/>
          <w:szCs w:val="22"/>
        </w:rPr>
        <w:lastRenderedPageBreak/>
        <w:t xml:space="preserve">this career progression with the adjustment for a general growth in income. </w:t>
      </w:r>
    </w:p>
    <w:p w:rsidR="00FC0EAE" w:rsidRDefault="00517D6A" w:rsidP="00FC0EAE">
      <w:pPr>
        <w:keepNext/>
        <w:spacing w:after="240"/>
        <w:rPr>
          <w:rFonts w:ascii="Verdana" w:hAnsi="Verdana"/>
          <w:sz w:val="18"/>
          <w:szCs w:val="18"/>
        </w:rPr>
      </w:pPr>
      <w:r w:rsidRPr="003E1C24">
        <w:rPr>
          <w:rFonts w:ascii="Verdana" w:hAnsi="Verdana"/>
          <w:sz w:val="22"/>
          <w:szCs w:val="22"/>
          <w:u w:val="single"/>
        </w:rPr>
        <w:t xml:space="preserve">Figure A1: Average Incomes over repayment period (year 1, 2016 prices) </w:t>
      </w:r>
    </w:p>
    <w:p w:rsidR="00CC3610" w:rsidRDefault="00FC0EAE" w:rsidP="00FC0EAE">
      <w:pPr>
        <w:spacing w:after="200" w:line="276" w:lineRule="auto"/>
        <w:rPr>
          <w:rFonts w:ascii="Verdana" w:hAnsi="Verdana"/>
          <w:sz w:val="18"/>
          <w:szCs w:val="18"/>
        </w:rPr>
      </w:pPr>
      <w:r w:rsidRPr="00FC0EAE">
        <w:rPr>
          <w:rFonts w:ascii="Verdana" w:hAnsi="Verdana"/>
          <w:noProof/>
          <w:sz w:val="18"/>
          <w:szCs w:val="18"/>
          <w:lang w:val="en-US" w:eastAsia="en-US"/>
        </w:rPr>
        <w:drawing>
          <wp:inline distT="0" distB="0" distL="0" distR="0">
            <wp:extent cx="5943600" cy="49815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7D6A" w:rsidRDefault="00CC3610" w:rsidP="00517D6A">
      <w:pPr>
        <w:spacing w:after="240" w:line="240" w:lineRule="auto"/>
        <w:rPr>
          <w:rFonts w:ascii="Verdana" w:hAnsi="Verdana"/>
          <w:sz w:val="18"/>
          <w:szCs w:val="18"/>
        </w:rPr>
      </w:pPr>
      <w:r>
        <w:rPr>
          <w:rFonts w:ascii="Verdana" w:hAnsi="Verdana"/>
          <w:sz w:val="18"/>
          <w:szCs w:val="18"/>
        </w:rPr>
        <w:t xml:space="preserve">Data taken from original BIS Ready </w:t>
      </w:r>
      <w:proofErr w:type="spellStart"/>
      <w:r>
        <w:rPr>
          <w:rFonts w:ascii="Verdana" w:hAnsi="Verdana"/>
          <w:sz w:val="18"/>
          <w:szCs w:val="18"/>
        </w:rPr>
        <w:t>Reckoner</w:t>
      </w:r>
      <w:proofErr w:type="spellEnd"/>
      <w:r>
        <w:rPr>
          <w:rFonts w:ascii="Verdana" w:hAnsi="Verdana"/>
          <w:sz w:val="18"/>
          <w:szCs w:val="18"/>
        </w:rPr>
        <w:t xml:space="preserve">, adjusted to year 1 prices assuming inflation at 2.75 per cent. </w:t>
      </w:r>
      <w:r w:rsidR="00034FB5">
        <w:rPr>
          <w:rFonts w:ascii="Verdana" w:hAnsi="Verdana"/>
          <w:sz w:val="18"/>
          <w:szCs w:val="18"/>
        </w:rPr>
        <w:t>Former student</w:t>
      </w:r>
      <w:r>
        <w:rPr>
          <w:rFonts w:ascii="Verdana" w:hAnsi="Verdana"/>
          <w:sz w:val="18"/>
          <w:szCs w:val="18"/>
        </w:rPr>
        <w:t>s with zero incomes excluded</w:t>
      </w:r>
      <w:r w:rsidR="00517D6A" w:rsidRPr="003E1C24">
        <w:rPr>
          <w:rFonts w:ascii="Verdana" w:hAnsi="Verdana"/>
          <w:sz w:val="18"/>
          <w:szCs w:val="18"/>
        </w:rPr>
        <w:t>.</w:t>
      </w:r>
    </w:p>
    <w:p w:rsidR="002243C7" w:rsidRPr="00CC3610" w:rsidRDefault="00517D6A" w:rsidP="007C2D5A">
      <w:pPr>
        <w:numPr>
          <w:ilvl w:val="0"/>
          <w:numId w:val="1"/>
        </w:numPr>
        <w:spacing w:after="240"/>
        <w:rPr>
          <w:rFonts w:ascii="Verdana" w:hAnsi="Verdana"/>
          <w:sz w:val="22"/>
          <w:szCs w:val="22"/>
        </w:rPr>
      </w:pPr>
      <w:r w:rsidRPr="00CC3610">
        <w:rPr>
          <w:rFonts w:ascii="Verdana" w:hAnsi="Verdana"/>
          <w:sz w:val="22"/>
          <w:szCs w:val="22"/>
        </w:rPr>
        <w:t xml:space="preserve">What is striking about these plots, apart from the very high average salaries at the end of the period (£99,500 for men, 2016 prices), is the acceleration of ‘career’ increases for men over the last ten years of the repayment period. To assume this will take place towards the middle of the </w:t>
      </w:r>
      <w:r w:rsidR="007C2D5A" w:rsidRPr="00CC3610">
        <w:rPr>
          <w:rFonts w:ascii="Verdana" w:hAnsi="Verdana"/>
          <w:sz w:val="22"/>
          <w:szCs w:val="22"/>
        </w:rPr>
        <w:t>21</w:t>
      </w:r>
      <w:r w:rsidR="007C2D5A" w:rsidRPr="00CC3610">
        <w:rPr>
          <w:rFonts w:ascii="Verdana" w:hAnsi="Verdana"/>
          <w:sz w:val="22"/>
          <w:szCs w:val="22"/>
          <w:vertAlign w:val="superscript"/>
        </w:rPr>
        <w:t>st</w:t>
      </w:r>
      <w:r w:rsidR="007C2D5A" w:rsidRPr="00CC3610">
        <w:rPr>
          <w:rFonts w:ascii="Verdana" w:hAnsi="Verdana"/>
          <w:sz w:val="22"/>
          <w:szCs w:val="22"/>
        </w:rPr>
        <w:t xml:space="preserve"> century seems highly optimistic</w:t>
      </w:r>
      <w:r w:rsidR="0062026F">
        <w:rPr>
          <w:rFonts w:ascii="Verdana" w:hAnsi="Verdana"/>
          <w:sz w:val="22"/>
          <w:szCs w:val="22"/>
        </w:rPr>
        <w:t>.</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In order to reflect these concerns we have adapted the BIS Ready </w:t>
      </w:r>
      <w:proofErr w:type="spellStart"/>
      <w:r w:rsidRPr="003E1C24">
        <w:rPr>
          <w:rFonts w:ascii="Verdana" w:hAnsi="Verdana"/>
          <w:sz w:val="22"/>
          <w:szCs w:val="22"/>
        </w:rPr>
        <w:t>Reckoner</w:t>
      </w:r>
      <w:proofErr w:type="spellEnd"/>
      <w:r w:rsidRPr="003E1C24">
        <w:rPr>
          <w:rFonts w:ascii="Verdana" w:hAnsi="Verdana"/>
          <w:sz w:val="22"/>
          <w:szCs w:val="22"/>
        </w:rPr>
        <w:t xml:space="preserve"> to allow the income assumptions to be modified. We have done this by changing the real growth in </w:t>
      </w:r>
      <w:r w:rsidR="00034FB5">
        <w:rPr>
          <w:rFonts w:ascii="Verdana" w:hAnsi="Verdana"/>
          <w:sz w:val="22"/>
          <w:szCs w:val="22"/>
        </w:rPr>
        <w:t>former student</w:t>
      </w:r>
      <w:r w:rsidRPr="003E1C24">
        <w:rPr>
          <w:rFonts w:ascii="Verdana" w:hAnsi="Verdana"/>
          <w:sz w:val="22"/>
          <w:szCs w:val="22"/>
        </w:rPr>
        <w:t xml:space="preserve"> incomes. </w:t>
      </w:r>
      <w:r w:rsidR="00854257">
        <w:rPr>
          <w:rFonts w:ascii="Verdana" w:hAnsi="Verdana"/>
          <w:sz w:val="22"/>
          <w:szCs w:val="22"/>
        </w:rPr>
        <w:t xml:space="preserve">Further details are given under the ‘Modified Ready </w:t>
      </w:r>
      <w:proofErr w:type="spellStart"/>
      <w:r w:rsidR="00854257">
        <w:rPr>
          <w:rFonts w:ascii="Verdana" w:hAnsi="Verdana"/>
          <w:sz w:val="22"/>
          <w:szCs w:val="22"/>
        </w:rPr>
        <w:t>Reckoner</w:t>
      </w:r>
      <w:proofErr w:type="spellEnd"/>
      <w:r w:rsidR="00854257">
        <w:rPr>
          <w:rFonts w:ascii="Verdana" w:hAnsi="Verdana"/>
          <w:sz w:val="22"/>
          <w:szCs w:val="22"/>
        </w:rPr>
        <w:t xml:space="preserve">’ section below. The method employed </w:t>
      </w:r>
      <w:r w:rsidRPr="003E1C24">
        <w:rPr>
          <w:rFonts w:ascii="Verdana" w:hAnsi="Verdana"/>
          <w:sz w:val="22"/>
          <w:szCs w:val="22"/>
        </w:rPr>
        <w:t xml:space="preserve">is </w:t>
      </w:r>
      <w:r w:rsidR="00854257">
        <w:rPr>
          <w:rFonts w:ascii="Verdana" w:hAnsi="Verdana"/>
          <w:sz w:val="22"/>
          <w:szCs w:val="22"/>
        </w:rPr>
        <w:t xml:space="preserve">a </w:t>
      </w:r>
      <w:r w:rsidRPr="003E1C24">
        <w:rPr>
          <w:rFonts w:ascii="Verdana" w:hAnsi="Verdana"/>
          <w:sz w:val="22"/>
          <w:szCs w:val="22"/>
        </w:rPr>
        <w:t xml:space="preserve">simple and crude way of dampening the career </w:t>
      </w:r>
      <w:r w:rsidRPr="003E1C24">
        <w:rPr>
          <w:rFonts w:ascii="Verdana" w:hAnsi="Verdana"/>
          <w:sz w:val="22"/>
          <w:szCs w:val="22"/>
        </w:rPr>
        <w:lastRenderedPageBreak/>
        <w:t>growth in income</w:t>
      </w:r>
      <w:r w:rsidR="00854257">
        <w:rPr>
          <w:rFonts w:ascii="Verdana" w:hAnsi="Verdana"/>
          <w:sz w:val="22"/>
          <w:szCs w:val="22"/>
        </w:rPr>
        <w:t>, but this does enable us to ask whether given RAB values are plausible.</w:t>
      </w:r>
      <w:r w:rsidRPr="003E1C24">
        <w:rPr>
          <w:rFonts w:ascii="Verdana" w:hAnsi="Verdana"/>
          <w:sz w:val="22"/>
          <w:szCs w:val="22"/>
        </w:rPr>
        <w:t xml:space="preserve"> </w:t>
      </w:r>
    </w:p>
    <w:p w:rsidR="00517D6A" w:rsidRPr="003E1C24" w:rsidRDefault="00517D6A" w:rsidP="00517D6A">
      <w:pPr>
        <w:numPr>
          <w:ilvl w:val="0"/>
          <w:numId w:val="1"/>
        </w:numPr>
        <w:spacing w:after="240"/>
        <w:rPr>
          <w:rFonts w:ascii="Verdana" w:hAnsi="Verdana"/>
          <w:sz w:val="22"/>
          <w:szCs w:val="22"/>
          <w:u w:val="single"/>
        </w:rPr>
      </w:pPr>
      <w:r w:rsidRPr="003E1C24">
        <w:rPr>
          <w:rFonts w:ascii="Verdana" w:hAnsi="Verdana"/>
          <w:sz w:val="22"/>
          <w:szCs w:val="22"/>
        </w:rPr>
        <w:t xml:space="preserve">What is really needed </w:t>
      </w:r>
      <w:r w:rsidR="002805D7">
        <w:rPr>
          <w:rFonts w:ascii="Verdana" w:hAnsi="Verdana"/>
          <w:sz w:val="22"/>
          <w:szCs w:val="22"/>
        </w:rPr>
        <w:t xml:space="preserve">is </w:t>
      </w:r>
      <w:r w:rsidRPr="003E1C24">
        <w:rPr>
          <w:rFonts w:ascii="Verdana" w:hAnsi="Verdana"/>
          <w:sz w:val="22"/>
          <w:szCs w:val="22"/>
        </w:rPr>
        <w:t>an estimate of the trend in the longitudinal changes of incomes, looking at the distributions as well as the averages</w:t>
      </w:r>
      <w:r w:rsidR="002805D7">
        <w:rPr>
          <w:rFonts w:ascii="Verdana" w:hAnsi="Verdana"/>
          <w:sz w:val="22"/>
          <w:szCs w:val="22"/>
        </w:rPr>
        <w:t>,</w:t>
      </w:r>
      <w:r w:rsidRPr="003E1C24">
        <w:rPr>
          <w:rFonts w:ascii="Verdana" w:hAnsi="Verdana"/>
          <w:sz w:val="22"/>
          <w:szCs w:val="22"/>
        </w:rPr>
        <w:t xml:space="preserve"> </w:t>
      </w:r>
      <w:proofErr w:type="gramStart"/>
      <w:r w:rsidR="002805D7">
        <w:rPr>
          <w:rFonts w:ascii="Verdana" w:hAnsi="Verdana"/>
          <w:sz w:val="22"/>
          <w:szCs w:val="22"/>
        </w:rPr>
        <w:t>t</w:t>
      </w:r>
      <w:r w:rsidRPr="003E1C24">
        <w:rPr>
          <w:rFonts w:ascii="Verdana" w:hAnsi="Verdana"/>
          <w:sz w:val="22"/>
          <w:szCs w:val="22"/>
        </w:rPr>
        <w:t>hen</w:t>
      </w:r>
      <w:proofErr w:type="gramEnd"/>
      <w:r w:rsidRPr="003E1C24">
        <w:rPr>
          <w:rFonts w:ascii="Verdana" w:hAnsi="Verdana"/>
          <w:sz w:val="22"/>
          <w:szCs w:val="22"/>
        </w:rPr>
        <w:t xml:space="preserve"> it would be possible to come to a view as to how those trends should be extrapolated. This would be a nontrivial exercise and is certainly well beyond the scope of this assessment, but something along these lines is needed to improve the long term forecast of incomes and repayments. </w:t>
      </w:r>
    </w:p>
    <w:p w:rsidR="00517D6A" w:rsidRPr="003E1C24" w:rsidRDefault="00517D6A" w:rsidP="00517D6A">
      <w:pPr>
        <w:spacing w:after="240"/>
        <w:rPr>
          <w:rFonts w:ascii="Verdana" w:hAnsi="Verdana"/>
          <w:i/>
          <w:sz w:val="22"/>
          <w:szCs w:val="22"/>
        </w:rPr>
      </w:pPr>
      <w:r w:rsidRPr="003E1C24">
        <w:rPr>
          <w:rFonts w:ascii="Verdana" w:hAnsi="Verdana"/>
          <w:i/>
          <w:sz w:val="22"/>
          <w:szCs w:val="22"/>
        </w:rPr>
        <w:t xml:space="preserve">Proportions of male and female </w:t>
      </w:r>
      <w:r w:rsidR="00034FB5">
        <w:rPr>
          <w:rFonts w:ascii="Verdana" w:hAnsi="Verdana"/>
          <w:i/>
          <w:sz w:val="22"/>
          <w:szCs w:val="22"/>
        </w:rPr>
        <w:t>former student</w:t>
      </w:r>
      <w:r w:rsidRPr="003E1C24">
        <w:rPr>
          <w:rFonts w:ascii="Verdana" w:hAnsi="Verdana"/>
          <w:i/>
          <w:sz w:val="22"/>
          <w:szCs w:val="22"/>
        </w:rPr>
        <w:t>s</w:t>
      </w:r>
    </w:p>
    <w:p w:rsidR="00517D6A" w:rsidRPr="004C0831"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Figure A1 shows a marked difference between male and female income profiles. This is reflected in the very different RAB values for men and women. Using the Ready </w:t>
      </w:r>
      <w:proofErr w:type="spellStart"/>
      <w:r w:rsidRPr="003E1C24">
        <w:rPr>
          <w:rFonts w:ascii="Verdana" w:hAnsi="Verdana"/>
          <w:sz w:val="22"/>
          <w:szCs w:val="22"/>
        </w:rPr>
        <w:t>Reckoner</w:t>
      </w:r>
      <w:proofErr w:type="spellEnd"/>
      <w:r w:rsidRPr="003E1C24">
        <w:rPr>
          <w:rFonts w:ascii="Verdana" w:hAnsi="Verdana"/>
          <w:sz w:val="22"/>
          <w:szCs w:val="22"/>
        </w:rPr>
        <w:t xml:space="preserve"> parameters set out in table A</w:t>
      </w:r>
      <w:r w:rsidR="00EE378A">
        <w:rPr>
          <w:rFonts w:ascii="Verdana" w:hAnsi="Verdana"/>
          <w:sz w:val="22"/>
          <w:szCs w:val="22"/>
        </w:rPr>
        <w:t>2</w:t>
      </w:r>
      <w:r w:rsidRPr="003E1C24">
        <w:rPr>
          <w:rFonts w:ascii="Verdana" w:hAnsi="Verdana"/>
          <w:sz w:val="22"/>
          <w:szCs w:val="22"/>
        </w:rPr>
        <w:t xml:space="preserve"> and the Modified Ready </w:t>
      </w:r>
      <w:proofErr w:type="spellStart"/>
      <w:r w:rsidRPr="003E1C24">
        <w:rPr>
          <w:rFonts w:ascii="Verdana" w:hAnsi="Verdana"/>
          <w:sz w:val="22"/>
          <w:szCs w:val="22"/>
        </w:rPr>
        <w:t>Reckoner</w:t>
      </w:r>
      <w:proofErr w:type="spellEnd"/>
      <w:r w:rsidRPr="003E1C24">
        <w:rPr>
          <w:rFonts w:ascii="Verdana" w:hAnsi="Verdana"/>
          <w:sz w:val="22"/>
          <w:szCs w:val="22"/>
        </w:rPr>
        <w:t xml:space="preserve"> described below with </w:t>
      </w:r>
      <w:r w:rsidR="004E2151">
        <w:rPr>
          <w:rFonts w:ascii="Verdana" w:hAnsi="Verdana"/>
          <w:sz w:val="22"/>
          <w:szCs w:val="22"/>
        </w:rPr>
        <w:t>BIS estimated inc</w:t>
      </w:r>
      <w:r w:rsidRPr="003E1C24">
        <w:rPr>
          <w:rFonts w:ascii="Verdana" w:hAnsi="Verdana"/>
          <w:sz w:val="22"/>
          <w:szCs w:val="22"/>
        </w:rPr>
        <w:t xml:space="preserve">omes, the male RAB is </w:t>
      </w:r>
      <w:r w:rsidR="001A20AB">
        <w:rPr>
          <w:rFonts w:ascii="Verdana" w:hAnsi="Verdana"/>
          <w:sz w:val="22"/>
          <w:szCs w:val="22"/>
        </w:rPr>
        <w:t>5.5</w:t>
      </w:r>
      <w:r w:rsidRPr="003E1C24">
        <w:rPr>
          <w:rFonts w:ascii="Verdana" w:hAnsi="Verdana"/>
          <w:sz w:val="22"/>
          <w:szCs w:val="22"/>
        </w:rPr>
        <w:t xml:space="preserve"> per cent and the female 55.4 per cent. This makes it especially important to ensure that the proportions of males and females in the model reflect the proportions </w:t>
      </w:r>
      <w:r w:rsidR="002805D7">
        <w:rPr>
          <w:rFonts w:ascii="Verdana" w:hAnsi="Verdana"/>
          <w:sz w:val="22"/>
          <w:szCs w:val="22"/>
        </w:rPr>
        <w:t>of former students</w:t>
      </w:r>
      <w:r w:rsidRPr="004C0831">
        <w:rPr>
          <w:rFonts w:ascii="Verdana" w:hAnsi="Verdana"/>
          <w:sz w:val="22"/>
          <w:szCs w:val="22"/>
        </w:rPr>
        <w:t xml:space="preserve">. Fortunately this is a problem that is easy to fix. For the case described above the overall RAB increases from 30.8 per cent to 34.2 per cent when on adjusting the proportions of men and women to reflect those in the population. </w:t>
      </w:r>
    </w:p>
    <w:p w:rsidR="004C0831" w:rsidRPr="004C0831" w:rsidRDefault="00517D6A" w:rsidP="00517D6A">
      <w:pPr>
        <w:numPr>
          <w:ilvl w:val="0"/>
          <w:numId w:val="1"/>
        </w:numPr>
        <w:spacing w:after="240"/>
        <w:rPr>
          <w:rFonts w:ascii="Verdana" w:hAnsi="Verdana"/>
          <w:sz w:val="24"/>
          <w:szCs w:val="24"/>
        </w:rPr>
      </w:pPr>
      <w:r w:rsidRPr="004C0831">
        <w:rPr>
          <w:rFonts w:ascii="Verdana" w:hAnsi="Verdana"/>
          <w:sz w:val="22"/>
          <w:szCs w:val="22"/>
        </w:rPr>
        <w:t xml:space="preserve">The numbers for English Domicile, English Institutions, </w:t>
      </w:r>
      <w:proofErr w:type="gramStart"/>
      <w:r w:rsidRPr="004C0831">
        <w:rPr>
          <w:rFonts w:ascii="Verdana" w:hAnsi="Verdana"/>
          <w:sz w:val="22"/>
          <w:szCs w:val="22"/>
        </w:rPr>
        <w:t>first</w:t>
      </w:r>
      <w:proofErr w:type="gramEnd"/>
      <w:r w:rsidRPr="004C0831">
        <w:rPr>
          <w:rFonts w:ascii="Verdana" w:hAnsi="Verdana"/>
          <w:sz w:val="22"/>
          <w:szCs w:val="22"/>
        </w:rPr>
        <w:t xml:space="preserve"> degree qualifiers from three year full-time courses </w:t>
      </w:r>
      <w:r w:rsidR="0094335A">
        <w:rPr>
          <w:rFonts w:ascii="Verdana" w:hAnsi="Verdana"/>
          <w:sz w:val="22"/>
          <w:szCs w:val="22"/>
        </w:rPr>
        <w:t>in 2008-09 were</w:t>
      </w:r>
      <w:r w:rsidRPr="004C0831">
        <w:rPr>
          <w:rFonts w:ascii="Verdana" w:hAnsi="Verdana"/>
          <w:sz w:val="22"/>
          <w:szCs w:val="22"/>
        </w:rPr>
        <w:t xml:space="preserve"> 85,935 </w:t>
      </w:r>
      <w:r w:rsidR="004C0831" w:rsidRPr="004C0831">
        <w:rPr>
          <w:rFonts w:ascii="Verdana" w:hAnsi="Verdana"/>
          <w:sz w:val="22"/>
          <w:szCs w:val="22"/>
        </w:rPr>
        <w:t xml:space="preserve">male </w:t>
      </w:r>
      <w:r w:rsidRPr="004C0831">
        <w:rPr>
          <w:rFonts w:ascii="Verdana" w:hAnsi="Verdana"/>
          <w:sz w:val="22"/>
          <w:szCs w:val="22"/>
        </w:rPr>
        <w:t>and 61,345</w:t>
      </w:r>
      <w:r w:rsidR="004C0831" w:rsidRPr="004C0831">
        <w:rPr>
          <w:rFonts w:ascii="Verdana" w:hAnsi="Verdana"/>
          <w:sz w:val="22"/>
          <w:szCs w:val="22"/>
        </w:rPr>
        <w:t xml:space="preserve"> female</w:t>
      </w:r>
      <w:r w:rsidRPr="004C0831">
        <w:rPr>
          <w:rFonts w:ascii="Verdana" w:hAnsi="Verdana"/>
          <w:sz w:val="22"/>
          <w:szCs w:val="22"/>
        </w:rPr>
        <w:t xml:space="preserve">, 58.3 per cent female. </w:t>
      </w:r>
      <w:r w:rsidR="004C0831" w:rsidRPr="004C0831">
        <w:rPr>
          <w:rFonts w:ascii="Verdana" w:hAnsi="Verdana"/>
          <w:sz w:val="22"/>
          <w:szCs w:val="22"/>
        </w:rPr>
        <w:t>This is the value used in this revised version of the analysis</w:t>
      </w:r>
      <w:r w:rsidR="00E37579">
        <w:rPr>
          <w:rFonts w:ascii="Verdana" w:hAnsi="Verdana"/>
          <w:sz w:val="22"/>
          <w:szCs w:val="22"/>
        </w:rPr>
        <w:t xml:space="preserve"> to correct the RAB and various income estimates given in this annex. </w:t>
      </w:r>
      <w:r w:rsidR="004C162D">
        <w:rPr>
          <w:rFonts w:ascii="Verdana" w:hAnsi="Verdana"/>
          <w:sz w:val="22"/>
          <w:szCs w:val="22"/>
        </w:rPr>
        <w:t xml:space="preserve">Note that this figure will over-estimate the proportion of former students who are female, because more men than women fail to complete. </w:t>
      </w:r>
      <w:r w:rsidR="00CF084E">
        <w:rPr>
          <w:rFonts w:ascii="Verdana" w:hAnsi="Verdana"/>
          <w:sz w:val="22"/>
          <w:szCs w:val="22"/>
        </w:rPr>
        <w:t>Without any identification of the non-completers, or information about their loans and incomes, it is difficult to take this into account. The trends in participation</w:t>
      </w:r>
      <w:r w:rsidR="00CF084E">
        <w:rPr>
          <w:rStyle w:val="FootnoteReference"/>
          <w:rFonts w:ascii="Verdana" w:hAnsi="Verdana"/>
          <w:sz w:val="22"/>
          <w:szCs w:val="22"/>
        </w:rPr>
        <w:footnoteReference w:id="2"/>
      </w:r>
      <w:r w:rsidR="00CF084E">
        <w:rPr>
          <w:rFonts w:ascii="Verdana" w:hAnsi="Verdana"/>
          <w:sz w:val="22"/>
          <w:szCs w:val="22"/>
        </w:rPr>
        <w:t xml:space="preserve"> between </w:t>
      </w:r>
      <w:r w:rsidR="004C162D">
        <w:rPr>
          <w:rFonts w:ascii="Verdana" w:hAnsi="Verdana"/>
          <w:sz w:val="22"/>
          <w:szCs w:val="22"/>
        </w:rPr>
        <w:t>2005-06 (when most of the 2008-0</w:t>
      </w:r>
      <w:r w:rsidR="00CF084E">
        <w:rPr>
          <w:rFonts w:ascii="Verdana" w:hAnsi="Verdana"/>
          <w:sz w:val="22"/>
          <w:szCs w:val="22"/>
        </w:rPr>
        <w:t>9</w:t>
      </w:r>
      <w:r w:rsidR="004C162D">
        <w:rPr>
          <w:rFonts w:ascii="Verdana" w:hAnsi="Verdana"/>
          <w:sz w:val="22"/>
          <w:szCs w:val="22"/>
        </w:rPr>
        <w:t xml:space="preserve"> qualifiers entered) </w:t>
      </w:r>
      <w:r w:rsidR="00CF084E">
        <w:rPr>
          <w:rFonts w:ascii="Verdana" w:hAnsi="Verdana"/>
          <w:sz w:val="22"/>
          <w:szCs w:val="22"/>
        </w:rPr>
        <w:t>and 2009-10 suggest that the proportions of females will remain about the same up to the 2012-13 qualifiers. So it is reasonable to assume there will be no change up to 2015-16.</w:t>
      </w:r>
      <w:r w:rsidR="004C162D">
        <w:rPr>
          <w:rFonts w:ascii="Verdana" w:hAnsi="Verdana"/>
          <w:sz w:val="22"/>
          <w:szCs w:val="22"/>
        </w:rPr>
        <w:t xml:space="preserve"> </w:t>
      </w:r>
    </w:p>
    <w:p w:rsidR="00DD0A63" w:rsidRDefault="00DD0A63">
      <w:pPr>
        <w:spacing w:after="200" w:line="276" w:lineRule="auto"/>
        <w:rPr>
          <w:rFonts w:ascii="Verdana" w:hAnsi="Verdana"/>
          <w:b/>
          <w:sz w:val="24"/>
          <w:szCs w:val="24"/>
        </w:rPr>
      </w:pPr>
      <w:r>
        <w:rPr>
          <w:rFonts w:ascii="Verdana" w:hAnsi="Verdana"/>
          <w:b/>
          <w:sz w:val="24"/>
          <w:szCs w:val="24"/>
        </w:rPr>
        <w:br w:type="page"/>
      </w:r>
    </w:p>
    <w:p w:rsidR="00517D6A" w:rsidRPr="004C0831" w:rsidRDefault="00517D6A" w:rsidP="004C0831">
      <w:pPr>
        <w:spacing w:after="240"/>
        <w:rPr>
          <w:rFonts w:ascii="Verdana" w:hAnsi="Verdana"/>
          <w:b/>
          <w:sz w:val="24"/>
          <w:szCs w:val="24"/>
        </w:rPr>
      </w:pPr>
      <w:r w:rsidRPr="004C0831">
        <w:rPr>
          <w:rFonts w:ascii="Verdana" w:hAnsi="Verdana"/>
          <w:b/>
          <w:sz w:val="24"/>
          <w:szCs w:val="24"/>
        </w:rPr>
        <w:lastRenderedPageBreak/>
        <w:t>Calculating the RAB</w:t>
      </w:r>
    </w:p>
    <w:p w:rsidR="00517D6A" w:rsidRPr="004C0831" w:rsidRDefault="00517D6A" w:rsidP="00517D6A">
      <w:pPr>
        <w:numPr>
          <w:ilvl w:val="0"/>
          <w:numId w:val="1"/>
        </w:numPr>
        <w:spacing w:after="240"/>
        <w:rPr>
          <w:rFonts w:ascii="Verdana" w:hAnsi="Verdana"/>
          <w:sz w:val="22"/>
          <w:szCs w:val="22"/>
        </w:rPr>
      </w:pPr>
      <w:r w:rsidRPr="004C0831">
        <w:rPr>
          <w:rFonts w:ascii="Verdana" w:hAnsi="Verdana"/>
          <w:sz w:val="22"/>
          <w:szCs w:val="22"/>
        </w:rPr>
        <w:t xml:space="preserve">The BIS Ready </w:t>
      </w:r>
      <w:proofErr w:type="spellStart"/>
      <w:r w:rsidRPr="004C0831">
        <w:rPr>
          <w:rFonts w:ascii="Verdana" w:hAnsi="Verdana"/>
          <w:sz w:val="22"/>
          <w:szCs w:val="22"/>
        </w:rPr>
        <w:t>Reckoner</w:t>
      </w:r>
      <w:proofErr w:type="spellEnd"/>
      <w:r w:rsidRPr="004C0831">
        <w:rPr>
          <w:rFonts w:ascii="Verdana" w:hAnsi="Verdana"/>
          <w:sz w:val="22"/>
          <w:szCs w:val="22"/>
        </w:rPr>
        <w:t xml:space="preserve"> can allow for most of the various features of both the Browne and Government proposals. One exception is the charges that are planned to be introduced for former students paying off their loan more quickly than required. No such charges are included in the Ready </w:t>
      </w:r>
      <w:proofErr w:type="spellStart"/>
      <w:r w:rsidRPr="004C0831">
        <w:rPr>
          <w:rFonts w:ascii="Verdana" w:hAnsi="Verdana"/>
          <w:sz w:val="22"/>
          <w:szCs w:val="22"/>
        </w:rPr>
        <w:t>Reckoner</w:t>
      </w:r>
      <w:proofErr w:type="spellEnd"/>
      <w:r w:rsidRPr="004C0831">
        <w:rPr>
          <w:rFonts w:ascii="Verdana" w:hAnsi="Verdana"/>
          <w:sz w:val="22"/>
          <w:szCs w:val="22"/>
        </w:rPr>
        <w:t xml:space="preserve">. </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In the BIS documentation inflation, incomes growth</w:t>
      </w:r>
      <w:r w:rsidR="004C0831">
        <w:rPr>
          <w:rFonts w:ascii="Verdana" w:hAnsi="Verdana"/>
          <w:sz w:val="22"/>
          <w:szCs w:val="22"/>
        </w:rPr>
        <w:t>,</w:t>
      </w:r>
      <w:r w:rsidRPr="003E1C24">
        <w:rPr>
          <w:rFonts w:ascii="Verdana" w:hAnsi="Verdana"/>
          <w:sz w:val="22"/>
          <w:szCs w:val="22"/>
        </w:rPr>
        <w:t xml:space="preserve"> the government cost of borrowing</w:t>
      </w:r>
      <w:r w:rsidR="004C0831">
        <w:rPr>
          <w:rFonts w:ascii="Verdana" w:hAnsi="Verdana"/>
          <w:sz w:val="22"/>
          <w:szCs w:val="22"/>
        </w:rPr>
        <w:t>, and interest</w:t>
      </w:r>
      <w:r w:rsidRPr="003E1C24">
        <w:rPr>
          <w:rFonts w:ascii="Verdana" w:hAnsi="Verdana"/>
          <w:sz w:val="22"/>
          <w:szCs w:val="22"/>
        </w:rPr>
        <w:t xml:space="preserve"> </w:t>
      </w:r>
      <w:r w:rsidR="004C0831">
        <w:rPr>
          <w:rFonts w:ascii="Verdana" w:hAnsi="Verdana"/>
          <w:sz w:val="22"/>
          <w:szCs w:val="22"/>
        </w:rPr>
        <w:t xml:space="preserve">charged </w:t>
      </w:r>
      <w:r w:rsidRPr="003E1C24">
        <w:rPr>
          <w:rFonts w:ascii="Verdana" w:hAnsi="Verdana"/>
          <w:sz w:val="22"/>
          <w:szCs w:val="22"/>
        </w:rPr>
        <w:t>are said to be 2.75, 2.00</w:t>
      </w:r>
      <w:r w:rsidR="004C0831">
        <w:rPr>
          <w:rFonts w:ascii="Verdana" w:hAnsi="Verdana"/>
          <w:sz w:val="22"/>
          <w:szCs w:val="22"/>
        </w:rPr>
        <w:t>,</w:t>
      </w:r>
      <w:r w:rsidRPr="003E1C24">
        <w:rPr>
          <w:rFonts w:ascii="Verdana" w:hAnsi="Verdana"/>
          <w:sz w:val="22"/>
          <w:szCs w:val="22"/>
        </w:rPr>
        <w:t xml:space="preserve"> 2.20 </w:t>
      </w:r>
      <w:r w:rsidR="004C0831">
        <w:rPr>
          <w:rFonts w:ascii="Verdana" w:hAnsi="Verdana"/>
          <w:sz w:val="22"/>
          <w:szCs w:val="22"/>
        </w:rPr>
        <w:t xml:space="preserve">and 3.00 </w:t>
      </w:r>
      <w:r w:rsidRPr="003E1C24">
        <w:rPr>
          <w:rFonts w:ascii="Verdana" w:hAnsi="Verdana"/>
          <w:sz w:val="22"/>
          <w:szCs w:val="22"/>
        </w:rPr>
        <w:t>per cent, but in the actual calculations are consistent with values of 2.75, 1.95</w:t>
      </w:r>
      <w:r w:rsidR="004C0831">
        <w:rPr>
          <w:rFonts w:ascii="Verdana" w:hAnsi="Verdana"/>
          <w:sz w:val="22"/>
          <w:szCs w:val="22"/>
        </w:rPr>
        <w:t>,</w:t>
      </w:r>
      <w:r w:rsidRPr="003E1C24">
        <w:rPr>
          <w:rFonts w:ascii="Verdana" w:hAnsi="Verdana"/>
          <w:sz w:val="22"/>
          <w:szCs w:val="22"/>
        </w:rPr>
        <w:t xml:space="preserve"> 2.14 </w:t>
      </w:r>
      <w:r w:rsidR="004C0831">
        <w:rPr>
          <w:rFonts w:ascii="Verdana" w:hAnsi="Verdana"/>
          <w:sz w:val="22"/>
          <w:szCs w:val="22"/>
        </w:rPr>
        <w:t xml:space="preserve">and 2.92 </w:t>
      </w:r>
      <w:r w:rsidRPr="003E1C24">
        <w:rPr>
          <w:rFonts w:ascii="Verdana" w:hAnsi="Verdana"/>
          <w:sz w:val="22"/>
          <w:szCs w:val="22"/>
        </w:rPr>
        <w:t xml:space="preserve">per cent. We have modified the spreadsheet to </w:t>
      </w:r>
      <w:r w:rsidR="004C0831">
        <w:rPr>
          <w:rFonts w:ascii="Verdana" w:hAnsi="Verdana"/>
          <w:sz w:val="22"/>
          <w:szCs w:val="22"/>
        </w:rPr>
        <w:t xml:space="preserve">facilitate using the </w:t>
      </w:r>
      <w:r w:rsidRPr="003E1C24">
        <w:rPr>
          <w:rFonts w:ascii="Verdana" w:hAnsi="Verdana"/>
          <w:sz w:val="22"/>
          <w:szCs w:val="22"/>
        </w:rPr>
        <w:t>stated percentages. Th</w:t>
      </w:r>
      <w:r w:rsidR="004C0831">
        <w:rPr>
          <w:rFonts w:ascii="Verdana" w:hAnsi="Verdana"/>
          <w:sz w:val="22"/>
          <w:szCs w:val="22"/>
        </w:rPr>
        <w:t xml:space="preserve">e effects of each of these changes cancel each other out and the net effect is a very </w:t>
      </w:r>
      <w:r w:rsidRPr="003E1C24">
        <w:rPr>
          <w:rFonts w:ascii="Verdana" w:hAnsi="Verdana"/>
          <w:sz w:val="22"/>
          <w:szCs w:val="22"/>
        </w:rPr>
        <w:t>small increase in the RAB</w:t>
      </w:r>
      <w:r w:rsidR="004C0831">
        <w:rPr>
          <w:rFonts w:ascii="Verdana" w:hAnsi="Verdana"/>
          <w:sz w:val="22"/>
          <w:szCs w:val="22"/>
        </w:rPr>
        <w:t>.</w:t>
      </w:r>
      <w:r w:rsidRPr="003E1C24">
        <w:rPr>
          <w:rFonts w:ascii="Verdana" w:hAnsi="Verdana"/>
          <w:sz w:val="22"/>
          <w:szCs w:val="22"/>
        </w:rPr>
        <w:t xml:space="preserve"> </w:t>
      </w:r>
      <w:r w:rsidR="006711AF">
        <w:rPr>
          <w:rFonts w:ascii="Verdana" w:hAnsi="Verdana"/>
          <w:sz w:val="22"/>
          <w:szCs w:val="22"/>
        </w:rPr>
        <w:t>Table A1 and f</w:t>
      </w:r>
      <w:r w:rsidRPr="003E1C24">
        <w:rPr>
          <w:rFonts w:ascii="Verdana" w:hAnsi="Verdana"/>
          <w:sz w:val="22"/>
          <w:szCs w:val="22"/>
        </w:rPr>
        <w:t xml:space="preserve">igure A1 show the </w:t>
      </w:r>
      <w:r w:rsidR="00DD0A63">
        <w:rPr>
          <w:rFonts w:ascii="Verdana" w:hAnsi="Verdana"/>
          <w:sz w:val="22"/>
          <w:szCs w:val="22"/>
        </w:rPr>
        <w:t>incomes</w:t>
      </w:r>
      <w:r w:rsidRPr="003E1C24">
        <w:rPr>
          <w:rFonts w:ascii="Verdana" w:hAnsi="Verdana"/>
          <w:sz w:val="22"/>
          <w:szCs w:val="22"/>
        </w:rPr>
        <w:t xml:space="preserve"> from the original Ready </w:t>
      </w:r>
      <w:proofErr w:type="spellStart"/>
      <w:r w:rsidRPr="003E1C24">
        <w:rPr>
          <w:rFonts w:ascii="Verdana" w:hAnsi="Verdana"/>
          <w:sz w:val="22"/>
          <w:szCs w:val="22"/>
        </w:rPr>
        <w:t>Reckoner</w:t>
      </w:r>
      <w:proofErr w:type="spellEnd"/>
      <w:r w:rsidRPr="003E1C24">
        <w:rPr>
          <w:rFonts w:ascii="Verdana" w:hAnsi="Verdana"/>
          <w:sz w:val="22"/>
          <w:szCs w:val="22"/>
        </w:rPr>
        <w:t xml:space="preserve"> </w:t>
      </w:r>
      <w:r w:rsidR="00DD0A63">
        <w:rPr>
          <w:rFonts w:ascii="Verdana" w:hAnsi="Verdana"/>
          <w:sz w:val="22"/>
          <w:szCs w:val="22"/>
        </w:rPr>
        <w:t>adjusted to year 1 (2016) prices</w:t>
      </w:r>
      <w:r w:rsidR="004776C3">
        <w:rPr>
          <w:rFonts w:ascii="Verdana" w:hAnsi="Verdana"/>
          <w:sz w:val="22"/>
          <w:szCs w:val="22"/>
        </w:rPr>
        <w:t>,</w:t>
      </w:r>
      <w:r w:rsidR="00DD0A63">
        <w:rPr>
          <w:rFonts w:ascii="Verdana" w:hAnsi="Verdana"/>
          <w:sz w:val="22"/>
          <w:szCs w:val="22"/>
        </w:rPr>
        <w:t xml:space="preserve"> </w:t>
      </w:r>
      <w:r w:rsidRPr="003E1C24">
        <w:rPr>
          <w:rFonts w:ascii="Verdana" w:hAnsi="Verdana"/>
          <w:sz w:val="22"/>
          <w:szCs w:val="22"/>
        </w:rPr>
        <w:t xml:space="preserve">and table 1 in the main part of the report is also based on the original unmodified BIS Ready </w:t>
      </w:r>
      <w:proofErr w:type="spellStart"/>
      <w:r w:rsidRPr="003E1C24">
        <w:rPr>
          <w:rFonts w:ascii="Verdana" w:hAnsi="Verdana"/>
          <w:sz w:val="22"/>
          <w:szCs w:val="22"/>
        </w:rPr>
        <w:t>Reckoner</w:t>
      </w:r>
      <w:proofErr w:type="spellEnd"/>
      <w:r w:rsidRPr="003E1C24">
        <w:rPr>
          <w:rFonts w:ascii="Verdana" w:hAnsi="Verdana"/>
          <w:sz w:val="22"/>
          <w:szCs w:val="22"/>
        </w:rPr>
        <w:t xml:space="preserve">, but all the </w:t>
      </w:r>
      <w:r w:rsidR="00DD0A63">
        <w:rPr>
          <w:rFonts w:ascii="Verdana" w:hAnsi="Verdana"/>
          <w:sz w:val="22"/>
          <w:szCs w:val="22"/>
        </w:rPr>
        <w:t xml:space="preserve">other </w:t>
      </w:r>
      <w:r w:rsidRPr="003E1C24">
        <w:rPr>
          <w:rFonts w:ascii="Verdana" w:hAnsi="Verdana"/>
          <w:sz w:val="22"/>
          <w:szCs w:val="22"/>
        </w:rPr>
        <w:t xml:space="preserve">RAB </w:t>
      </w:r>
      <w:r w:rsidR="00DD0A63">
        <w:rPr>
          <w:rFonts w:ascii="Verdana" w:hAnsi="Verdana"/>
          <w:sz w:val="22"/>
          <w:szCs w:val="22"/>
        </w:rPr>
        <w:t xml:space="preserve">and income </w:t>
      </w:r>
      <w:r w:rsidRPr="003E1C24">
        <w:rPr>
          <w:rFonts w:ascii="Verdana" w:hAnsi="Verdana"/>
          <w:sz w:val="22"/>
          <w:szCs w:val="22"/>
        </w:rPr>
        <w:t xml:space="preserve">figures in this Annex and in the </w:t>
      </w:r>
      <w:r w:rsidR="00DD0A63">
        <w:rPr>
          <w:rFonts w:ascii="Verdana" w:hAnsi="Verdana"/>
          <w:sz w:val="22"/>
          <w:szCs w:val="22"/>
        </w:rPr>
        <w:t>M</w:t>
      </w:r>
      <w:r w:rsidRPr="003E1C24">
        <w:rPr>
          <w:rFonts w:ascii="Verdana" w:hAnsi="Verdana"/>
          <w:sz w:val="22"/>
          <w:szCs w:val="22"/>
        </w:rPr>
        <w:t xml:space="preserve">ain </w:t>
      </w:r>
      <w:r w:rsidR="00DD0A63">
        <w:rPr>
          <w:rFonts w:ascii="Verdana" w:hAnsi="Verdana"/>
          <w:sz w:val="22"/>
          <w:szCs w:val="22"/>
        </w:rPr>
        <w:t>R</w:t>
      </w:r>
      <w:r w:rsidRPr="003E1C24">
        <w:rPr>
          <w:rFonts w:ascii="Verdana" w:hAnsi="Verdana"/>
          <w:sz w:val="22"/>
          <w:szCs w:val="22"/>
        </w:rPr>
        <w:t xml:space="preserve">eport use this modified calculation with corrected proportions of male and female </w:t>
      </w:r>
      <w:r w:rsidR="00034FB5">
        <w:rPr>
          <w:rFonts w:ascii="Verdana" w:hAnsi="Verdana"/>
          <w:sz w:val="22"/>
          <w:szCs w:val="22"/>
        </w:rPr>
        <w:t>former student</w:t>
      </w:r>
      <w:r w:rsidRPr="003E1C24">
        <w:rPr>
          <w:rFonts w:ascii="Verdana" w:hAnsi="Verdana"/>
          <w:sz w:val="22"/>
          <w:szCs w:val="22"/>
        </w:rPr>
        <w:t>s in the population.</w:t>
      </w:r>
      <w:r w:rsidRPr="003E1C24">
        <w:rPr>
          <w:rFonts w:ascii="Verdana" w:hAnsi="Verdana"/>
          <w:b/>
          <w:sz w:val="22"/>
          <w:szCs w:val="22"/>
        </w:rPr>
        <w:t xml:space="preserve"> </w:t>
      </w:r>
      <w:r w:rsidRPr="003E1C24">
        <w:rPr>
          <w:rFonts w:ascii="Verdana" w:hAnsi="Verdana"/>
          <w:sz w:val="22"/>
          <w:szCs w:val="22"/>
        </w:rPr>
        <w:t>In all the calculations, unless otherwise stated, the parameters and assumptions are as shown in table A</w:t>
      </w:r>
      <w:r w:rsidR="003D371A">
        <w:rPr>
          <w:rFonts w:ascii="Verdana" w:hAnsi="Verdana"/>
          <w:sz w:val="22"/>
          <w:szCs w:val="22"/>
        </w:rPr>
        <w:t>2</w:t>
      </w:r>
      <w:r w:rsidRPr="003E1C24">
        <w:rPr>
          <w:rFonts w:ascii="Verdana" w:hAnsi="Verdana"/>
          <w:sz w:val="22"/>
          <w:szCs w:val="22"/>
        </w:rPr>
        <w:t>.</w:t>
      </w:r>
    </w:p>
    <w:p w:rsidR="00517D6A" w:rsidRPr="003E1C24" w:rsidRDefault="00517D6A" w:rsidP="00517D6A">
      <w:pPr>
        <w:spacing w:after="120" w:line="240" w:lineRule="auto"/>
        <w:rPr>
          <w:rFonts w:ascii="Verdana" w:hAnsi="Verdana"/>
          <w:sz w:val="22"/>
          <w:szCs w:val="22"/>
          <w:u w:val="single"/>
        </w:rPr>
      </w:pPr>
      <w:r w:rsidRPr="003E1C24">
        <w:rPr>
          <w:rFonts w:ascii="Verdana" w:hAnsi="Verdana"/>
          <w:sz w:val="22"/>
          <w:szCs w:val="22"/>
          <w:u w:val="single"/>
        </w:rPr>
        <w:t>Table A</w:t>
      </w:r>
      <w:r w:rsidR="00EE378A">
        <w:rPr>
          <w:rFonts w:ascii="Verdana" w:hAnsi="Verdana"/>
          <w:sz w:val="22"/>
          <w:szCs w:val="22"/>
          <w:u w:val="single"/>
        </w:rPr>
        <w:t>2</w:t>
      </w:r>
      <w:r w:rsidRPr="003E1C24">
        <w:rPr>
          <w:rFonts w:ascii="Verdana" w:hAnsi="Verdana"/>
          <w:sz w:val="22"/>
          <w:szCs w:val="22"/>
          <w:u w:val="single"/>
        </w:rPr>
        <w:t>: Standard parameters for RAB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34"/>
        <w:gridCol w:w="4445"/>
      </w:tblGrid>
      <w:tr w:rsidR="00517D6A" w:rsidRPr="003E1C24" w:rsidTr="008879B5">
        <w:tc>
          <w:tcPr>
            <w:tcW w:w="2943" w:type="dxa"/>
          </w:tcPr>
          <w:p w:rsidR="00517D6A" w:rsidRPr="003E1C24" w:rsidRDefault="00517D6A" w:rsidP="008879B5">
            <w:pPr>
              <w:spacing w:line="240" w:lineRule="auto"/>
              <w:rPr>
                <w:rFonts w:ascii="Verdana" w:hAnsi="Verdana"/>
                <w:b/>
                <w:sz w:val="20"/>
              </w:rPr>
            </w:pPr>
            <w:r w:rsidRPr="003E1C24">
              <w:rPr>
                <w:rFonts w:ascii="Verdana" w:hAnsi="Verdana"/>
                <w:b/>
                <w:sz w:val="20"/>
              </w:rPr>
              <w:t>Parameter/assumption</w:t>
            </w:r>
          </w:p>
        </w:tc>
        <w:tc>
          <w:tcPr>
            <w:tcW w:w="1134" w:type="dxa"/>
          </w:tcPr>
          <w:p w:rsidR="00517D6A" w:rsidRPr="003E1C24" w:rsidRDefault="00517D6A" w:rsidP="008879B5">
            <w:pPr>
              <w:spacing w:line="240" w:lineRule="auto"/>
              <w:rPr>
                <w:rFonts w:ascii="Verdana" w:hAnsi="Verdana"/>
                <w:b/>
                <w:sz w:val="20"/>
              </w:rPr>
            </w:pPr>
            <w:r w:rsidRPr="003E1C24">
              <w:rPr>
                <w:rFonts w:ascii="Verdana" w:hAnsi="Verdana"/>
                <w:b/>
                <w:sz w:val="20"/>
              </w:rPr>
              <w:t>Value</w:t>
            </w:r>
          </w:p>
        </w:tc>
        <w:tc>
          <w:tcPr>
            <w:tcW w:w="4445" w:type="dxa"/>
          </w:tcPr>
          <w:p w:rsidR="00517D6A" w:rsidRPr="003E1C24" w:rsidRDefault="00517D6A" w:rsidP="008879B5">
            <w:pPr>
              <w:spacing w:line="240" w:lineRule="auto"/>
              <w:rPr>
                <w:rFonts w:ascii="Verdana" w:hAnsi="Verdana"/>
                <w:b/>
                <w:sz w:val="20"/>
              </w:rPr>
            </w:pPr>
            <w:r w:rsidRPr="003E1C24">
              <w:rPr>
                <w:rFonts w:ascii="Verdana" w:hAnsi="Verdana"/>
                <w:b/>
                <w:sz w:val="20"/>
              </w:rPr>
              <w:t>Comment</w:t>
            </w: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Course length</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3 years</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Loan amount per year</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£12,850</w:t>
            </w:r>
          </w:p>
        </w:tc>
        <w:tc>
          <w:tcPr>
            <w:tcW w:w="4445" w:type="dxa"/>
          </w:tcPr>
          <w:p w:rsidR="00517D6A" w:rsidRPr="003E1C24" w:rsidRDefault="00517D6A" w:rsidP="008879B5">
            <w:pPr>
              <w:spacing w:line="240" w:lineRule="auto"/>
              <w:rPr>
                <w:rFonts w:ascii="Verdana" w:hAnsi="Verdana"/>
                <w:sz w:val="20"/>
              </w:rPr>
            </w:pPr>
            <w:r w:rsidRPr="003E1C24">
              <w:rPr>
                <w:rFonts w:ascii="Verdana" w:hAnsi="Verdana"/>
                <w:sz w:val="20"/>
              </w:rPr>
              <w:t>£4,000 maintenance + 95% £9,000 + 5% £6,000</w:t>
            </w: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Repayment term</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30 years</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Repay rate</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9%</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Discount Rate</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2.20%</w:t>
            </w:r>
          </w:p>
        </w:tc>
        <w:tc>
          <w:tcPr>
            <w:tcW w:w="4445" w:type="dxa"/>
          </w:tcPr>
          <w:p w:rsidR="00517D6A" w:rsidRPr="003E1C24" w:rsidRDefault="00517D6A" w:rsidP="008879B5">
            <w:pPr>
              <w:spacing w:line="240" w:lineRule="auto"/>
              <w:rPr>
                <w:rFonts w:ascii="Verdana" w:hAnsi="Verdana"/>
                <w:sz w:val="20"/>
              </w:rPr>
            </w:pPr>
            <w:r w:rsidRPr="003E1C24">
              <w:rPr>
                <w:rFonts w:ascii="Verdana" w:hAnsi="Verdana"/>
                <w:sz w:val="20"/>
              </w:rPr>
              <w:t>Cost of government borrowing</w:t>
            </w: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Real Interest</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3.00%</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Inflation</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2.75%</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Low Income Protection Pre-SRDD (Y/N)</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N</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Low Income Protection Post-SRDD (Y/N)</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Y</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Type of Low Income Protection</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Phased</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Repayment threshold</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£21,000</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Full-interest threshold</w:t>
            </w:r>
          </w:p>
        </w:tc>
        <w:tc>
          <w:tcPr>
            <w:tcW w:w="1134" w:type="dxa"/>
          </w:tcPr>
          <w:p w:rsidR="00517D6A" w:rsidRPr="003E1C24" w:rsidRDefault="00517D6A" w:rsidP="008879B5">
            <w:pPr>
              <w:spacing w:line="240" w:lineRule="auto"/>
              <w:rPr>
                <w:rFonts w:ascii="Verdana" w:hAnsi="Verdana"/>
                <w:sz w:val="20"/>
              </w:rPr>
            </w:pPr>
            <w:r w:rsidRPr="003E1C24">
              <w:rPr>
                <w:rFonts w:ascii="Verdana" w:hAnsi="Verdana"/>
                <w:sz w:val="20"/>
              </w:rPr>
              <w:t>£41,000</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Type of Low Income Protection</w:t>
            </w:r>
          </w:p>
        </w:tc>
        <w:tc>
          <w:tcPr>
            <w:tcW w:w="1134" w:type="dxa"/>
            <w:vAlign w:val="bottom"/>
          </w:tcPr>
          <w:p w:rsidR="00517D6A" w:rsidRPr="003E1C24" w:rsidRDefault="00517D6A" w:rsidP="008879B5">
            <w:pPr>
              <w:spacing w:line="240" w:lineRule="auto"/>
              <w:rPr>
                <w:rFonts w:ascii="Verdana" w:hAnsi="Verdana" w:cs="Arial"/>
                <w:sz w:val="20"/>
              </w:rPr>
            </w:pPr>
            <w:r w:rsidRPr="003E1C24">
              <w:rPr>
                <w:rFonts w:ascii="Verdana" w:hAnsi="Verdana" w:cs="Arial"/>
                <w:sz w:val="20"/>
              </w:rPr>
              <w:t>Phased</w:t>
            </w:r>
          </w:p>
        </w:tc>
        <w:tc>
          <w:tcPr>
            <w:tcW w:w="4445"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vAlign w:val="bottom"/>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Repayment Threshold Growth</w:t>
            </w:r>
          </w:p>
        </w:tc>
        <w:tc>
          <w:tcPr>
            <w:tcW w:w="1134" w:type="dxa"/>
            <w:vAlign w:val="bottom"/>
          </w:tcPr>
          <w:p w:rsidR="00517D6A" w:rsidRPr="003E1C24" w:rsidRDefault="00517D6A" w:rsidP="008879B5">
            <w:pPr>
              <w:spacing w:line="240" w:lineRule="auto"/>
              <w:rPr>
                <w:rFonts w:ascii="Verdana" w:hAnsi="Verdana" w:cs="Arial"/>
                <w:sz w:val="20"/>
              </w:rPr>
            </w:pPr>
            <w:r w:rsidRPr="003E1C24">
              <w:rPr>
                <w:rFonts w:ascii="Verdana" w:hAnsi="Verdana" w:cs="Arial"/>
                <w:sz w:val="20"/>
              </w:rPr>
              <w:t>4.81%</w:t>
            </w:r>
          </w:p>
        </w:tc>
        <w:tc>
          <w:tcPr>
            <w:tcW w:w="4445" w:type="dxa"/>
          </w:tcPr>
          <w:p w:rsidR="00517D6A" w:rsidRPr="003E1C24" w:rsidRDefault="00517D6A" w:rsidP="008879B5">
            <w:pPr>
              <w:spacing w:line="240" w:lineRule="auto"/>
              <w:rPr>
                <w:rFonts w:ascii="Verdana" w:hAnsi="Verdana"/>
                <w:sz w:val="20"/>
              </w:rPr>
            </w:pPr>
            <w:r w:rsidRPr="003E1C24">
              <w:rPr>
                <w:rFonts w:ascii="Verdana" w:hAnsi="Verdana"/>
                <w:sz w:val="20"/>
              </w:rPr>
              <w:t>2.00% real growth and 2.75% inflation</w:t>
            </w:r>
          </w:p>
        </w:tc>
      </w:tr>
    </w:tbl>
    <w:p w:rsidR="008879B5" w:rsidRDefault="008879B5">
      <w:pPr>
        <w:spacing w:after="240"/>
        <w:rPr>
          <w:rFonts w:ascii="Verdana" w:hAnsi="Verdana"/>
          <w:sz w:val="22"/>
          <w:szCs w:val="22"/>
        </w:rPr>
      </w:pPr>
    </w:p>
    <w:p w:rsidR="008879B5" w:rsidRDefault="00B9095E">
      <w:pPr>
        <w:numPr>
          <w:ilvl w:val="0"/>
          <w:numId w:val="1"/>
        </w:numPr>
        <w:spacing w:after="240"/>
        <w:rPr>
          <w:rFonts w:ascii="Verdana" w:hAnsi="Verdana"/>
          <w:sz w:val="22"/>
          <w:szCs w:val="22"/>
        </w:rPr>
      </w:pPr>
      <w:r>
        <w:rPr>
          <w:rFonts w:ascii="Verdana" w:hAnsi="Verdana"/>
          <w:sz w:val="22"/>
          <w:szCs w:val="22"/>
        </w:rPr>
        <w:t xml:space="preserve">Note that calculating the average RAB for a mixture of fees, in this case £9000 and £6000, is not the same as calculating for the average of those fees, because the RAB is not a linear function of the size of the loan </w:t>
      </w:r>
      <w:r>
        <w:rPr>
          <w:rFonts w:ascii="Verdana" w:hAnsi="Verdana"/>
          <w:sz w:val="22"/>
          <w:szCs w:val="22"/>
        </w:rPr>
        <w:lastRenderedPageBreak/>
        <w:t>or the increase in incomes.  However for this particular combination, with 95 per cent of the fees set at £9000, using an average fee was shown to be a very good approximation to treating each fee level separately</w:t>
      </w:r>
      <w:r w:rsidR="00E37579">
        <w:rPr>
          <w:rFonts w:ascii="Verdana" w:hAnsi="Verdana"/>
          <w:sz w:val="22"/>
          <w:szCs w:val="22"/>
        </w:rPr>
        <w:t xml:space="preserve">. For the income growth giving the break-even RAB the difference was just 0.03 per cent. </w:t>
      </w:r>
      <w:r>
        <w:rPr>
          <w:rFonts w:ascii="Verdana" w:hAnsi="Verdana"/>
          <w:sz w:val="22"/>
          <w:szCs w:val="22"/>
        </w:rPr>
        <w:t xml:space="preserve"> </w:t>
      </w:r>
    </w:p>
    <w:p w:rsidR="00517D6A" w:rsidRDefault="00517D6A" w:rsidP="00517D6A">
      <w:pPr>
        <w:spacing w:after="240"/>
        <w:rPr>
          <w:rFonts w:ascii="Verdana" w:hAnsi="Verdana"/>
          <w:b/>
          <w:sz w:val="22"/>
          <w:szCs w:val="22"/>
        </w:rPr>
      </w:pPr>
      <w:r w:rsidRPr="003E1C24">
        <w:rPr>
          <w:rFonts w:ascii="Verdana" w:hAnsi="Verdana"/>
          <w:b/>
          <w:sz w:val="22"/>
          <w:szCs w:val="22"/>
        </w:rPr>
        <w:t xml:space="preserve">Modified Ready </w:t>
      </w:r>
      <w:proofErr w:type="spellStart"/>
      <w:r w:rsidRPr="003E1C24">
        <w:rPr>
          <w:rFonts w:ascii="Verdana" w:hAnsi="Verdana"/>
          <w:b/>
          <w:sz w:val="22"/>
          <w:szCs w:val="22"/>
        </w:rPr>
        <w:t>Reckoner</w:t>
      </w:r>
      <w:proofErr w:type="spellEnd"/>
    </w:p>
    <w:p w:rsidR="00D254DB" w:rsidRDefault="00D254DB" w:rsidP="00517D6A">
      <w:pPr>
        <w:spacing w:after="240"/>
        <w:rPr>
          <w:rFonts w:ascii="Verdana" w:hAnsi="Verdana"/>
          <w:i/>
          <w:sz w:val="22"/>
          <w:szCs w:val="22"/>
        </w:rPr>
      </w:pPr>
      <w:r w:rsidRPr="00D254DB">
        <w:rPr>
          <w:rFonts w:ascii="Verdana" w:hAnsi="Verdana"/>
          <w:i/>
          <w:sz w:val="22"/>
          <w:szCs w:val="22"/>
        </w:rPr>
        <w:t>Break-even RAB sheet</w:t>
      </w:r>
    </w:p>
    <w:p w:rsidR="00D254DB" w:rsidRDefault="00D254DB" w:rsidP="00D254DB">
      <w:pPr>
        <w:numPr>
          <w:ilvl w:val="0"/>
          <w:numId w:val="1"/>
        </w:numPr>
        <w:spacing w:after="240"/>
        <w:rPr>
          <w:rFonts w:ascii="Verdana" w:hAnsi="Verdana"/>
          <w:sz w:val="22"/>
          <w:szCs w:val="22"/>
        </w:rPr>
      </w:pPr>
      <w:r>
        <w:rPr>
          <w:rFonts w:ascii="Verdana" w:hAnsi="Verdana"/>
          <w:sz w:val="22"/>
          <w:szCs w:val="22"/>
        </w:rPr>
        <w:t>This calculat</w:t>
      </w:r>
      <w:r w:rsidR="000A0127">
        <w:rPr>
          <w:rFonts w:ascii="Verdana" w:hAnsi="Verdana"/>
          <w:sz w:val="22"/>
          <w:szCs w:val="22"/>
        </w:rPr>
        <w:t>es</w:t>
      </w:r>
      <w:r>
        <w:rPr>
          <w:rFonts w:ascii="Verdana" w:hAnsi="Verdana"/>
          <w:sz w:val="22"/>
          <w:szCs w:val="22"/>
        </w:rPr>
        <w:t xml:space="preserve"> the </w:t>
      </w:r>
      <w:r w:rsidR="000A0127">
        <w:rPr>
          <w:rFonts w:ascii="Verdana" w:hAnsi="Verdana"/>
          <w:sz w:val="22"/>
          <w:szCs w:val="22"/>
        </w:rPr>
        <w:t xml:space="preserve">RAB </w:t>
      </w:r>
      <w:r>
        <w:rPr>
          <w:rFonts w:ascii="Verdana" w:hAnsi="Verdana"/>
          <w:sz w:val="22"/>
          <w:szCs w:val="22"/>
        </w:rPr>
        <w:t xml:space="preserve">value which would result in the government costs associated with tuition (not maintenance) </w:t>
      </w:r>
      <w:r w:rsidR="000A0127">
        <w:rPr>
          <w:rFonts w:ascii="Verdana" w:hAnsi="Verdana"/>
          <w:sz w:val="22"/>
          <w:szCs w:val="22"/>
        </w:rPr>
        <w:t>remaining unchanged when moving to the new proposed arrangements. This calculation has no connection with those on other sheets, which calculate the RAB from a set of assumptions about income levels and the terms of the loans.</w:t>
      </w:r>
    </w:p>
    <w:p w:rsidR="00517D6A" w:rsidRPr="003E1C24" w:rsidRDefault="00517D6A" w:rsidP="00517D6A">
      <w:pPr>
        <w:spacing w:after="240"/>
        <w:rPr>
          <w:rFonts w:ascii="Verdana" w:hAnsi="Verdana"/>
          <w:i/>
          <w:sz w:val="22"/>
          <w:szCs w:val="22"/>
        </w:rPr>
      </w:pPr>
      <w:r w:rsidRPr="003E1C24">
        <w:rPr>
          <w:rFonts w:ascii="Verdana" w:hAnsi="Verdana"/>
          <w:i/>
          <w:sz w:val="22"/>
          <w:szCs w:val="22"/>
        </w:rPr>
        <w:t>Parameter sheet</w:t>
      </w:r>
    </w:p>
    <w:p w:rsidR="00517D6A" w:rsidRDefault="00517D6A" w:rsidP="00517D6A">
      <w:pPr>
        <w:numPr>
          <w:ilvl w:val="0"/>
          <w:numId w:val="1"/>
        </w:numPr>
        <w:spacing w:after="240"/>
        <w:rPr>
          <w:rFonts w:ascii="Verdana" w:hAnsi="Verdana"/>
          <w:sz w:val="22"/>
          <w:szCs w:val="22"/>
        </w:rPr>
      </w:pPr>
      <w:r w:rsidRPr="003E1C24">
        <w:rPr>
          <w:rFonts w:ascii="Verdana" w:hAnsi="Verdana"/>
          <w:sz w:val="22"/>
          <w:szCs w:val="22"/>
        </w:rPr>
        <w:t>The parameter sheet has the following parameters:-</w:t>
      </w:r>
    </w:p>
    <w:p w:rsidR="007B77B6" w:rsidRPr="00C65741" w:rsidRDefault="00C65741" w:rsidP="00C65741">
      <w:pPr>
        <w:pStyle w:val="ListParagraph"/>
        <w:spacing w:after="240"/>
        <w:ind w:left="0"/>
        <w:rPr>
          <w:rFonts w:ascii="Verdana" w:hAnsi="Verdana"/>
          <w:sz w:val="22"/>
          <w:szCs w:val="22"/>
          <w:u w:val="single"/>
        </w:rPr>
      </w:pPr>
      <w:r w:rsidRPr="00C65741">
        <w:rPr>
          <w:rFonts w:ascii="Verdana" w:hAnsi="Verdana"/>
          <w:sz w:val="22"/>
          <w:szCs w:val="22"/>
          <w:u w:val="single"/>
        </w:rPr>
        <w:t>Original Parameter</w:t>
      </w:r>
      <w:r>
        <w:rPr>
          <w:rFonts w:ascii="Verdana" w:hAnsi="Verdana"/>
          <w:sz w:val="22"/>
          <w:szCs w:val="22"/>
          <w:u w:val="single"/>
        </w:rPr>
        <w:t>s</w:t>
      </w:r>
    </w:p>
    <w:tbl>
      <w:tblPr>
        <w:tblW w:w="6853" w:type="dxa"/>
        <w:jc w:val="center"/>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0"/>
        <w:gridCol w:w="1083"/>
      </w:tblGrid>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Loan Amount Per Year (3 Year Course)</w:t>
            </w:r>
          </w:p>
        </w:tc>
        <w:tc>
          <w:tcPr>
            <w:tcW w:w="1083" w:type="dxa"/>
            <w:shd w:val="clear" w:color="auto" w:fill="FFFF00"/>
            <w:vAlign w:val="bottom"/>
          </w:tcPr>
          <w:p w:rsidR="007B77B6" w:rsidRDefault="007B77B6">
            <w:pPr>
              <w:jc w:val="center"/>
              <w:rPr>
                <w:rFonts w:cs="Arial"/>
                <w:sz w:val="20"/>
              </w:rPr>
            </w:pPr>
            <w:r>
              <w:rPr>
                <w:rFonts w:cs="Arial"/>
                <w:sz w:val="20"/>
              </w:rPr>
              <w:t>12850</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Repayment Term</w:t>
            </w:r>
          </w:p>
        </w:tc>
        <w:tc>
          <w:tcPr>
            <w:tcW w:w="1083" w:type="dxa"/>
            <w:shd w:val="clear" w:color="auto" w:fill="FFFF00"/>
            <w:vAlign w:val="bottom"/>
          </w:tcPr>
          <w:p w:rsidR="007B77B6" w:rsidRDefault="007B77B6">
            <w:pPr>
              <w:jc w:val="center"/>
              <w:rPr>
                <w:rFonts w:cs="Arial"/>
                <w:sz w:val="20"/>
              </w:rPr>
            </w:pPr>
            <w:r>
              <w:rPr>
                <w:rFonts w:cs="Arial"/>
                <w:sz w:val="20"/>
              </w:rPr>
              <w:t>30</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Repay Rate</w:t>
            </w:r>
          </w:p>
        </w:tc>
        <w:tc>
          <w:tcPr>
            <w:tcW w:w="1083" w:type="dxa"/>
            <w:shd w:val="clear" w:color="auto" w:fill="FFFF00"/>
            <w:vAlign w:val="bottom"/>
          </w:tcPr>
          <w:p w:rsidR="007B77B6" w:rsidRDefault="007B77B6">
            <w:pPr>
              <w:jc w:val="center"/>
              <w:rPr>
                <w:rFonts w:cs="Arial"/>
                <w:sz w:val="20"/>
              </w:rPr>
            </w:pPr>
            <w:r>
              <w:rPr>
                <w:rFonts w:cs="Arial"/>
                <w:sz w:val="20"/>
              </w:rPr>
              <w:t>9%</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Cs/>
                <w:i/>
                <w:sz w:val="20"/>
              </w:rPr>
            </w:pPr>
            <w:r w:rsidRPr="007B77B6">
              <w:rPr>
                <w:rFonts w:ascii="Verdana" w:hAnsi="Verdana" w:cs="Arial"/>
                <w:bCs/>
                <w:i/>
                <w:sz w:val="20"/>
              </w:rPr>
              <w:t>Discount Rate</w:t>
            </w:r>
          </w:p>
        </w:tc>
        <w:tc>
          <w:tcPr>
            <w:tcW w:w="1083" w:type="dxa"/>
            <w:shd w:val="clear" w:color="000000" w:fill="FFFFFF"/>
            <w:vAlign w:val="bottom"/>
          </w:tcPr>
          <w:p w:rsidR="007B77B6" w:rsidRPr="007B77B6" w:rsidRDefault="007B77B6">
            <w:pPr>
              <w:jc w:val="center"/>
              <w:rPr>
                <w:rFonts w:cs="Arial"/>
                <w:i/>
                <w:sz w:val="20"/>
              </w:rPr>
            </w:pPr>
            <w:r w:rsidRPr="007B77B6">
              <w:rPr>
                <w:rFonts w:cs="Arial"/>
                <w:i/>
                <w:sz w:val="20"/>
              </w:rPr>
              <w:t>2.26%</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Cs/>
                <w:i/>
                <w:sz w:val="20"/>
              </w:rPr>
            </w:pPr>
            <w:r w:rsidRPr="007B77B6">
              <w:rPr>
                <w:rFonts w:ascii="Verdana" w:hAnsi="Verdana" w:cs="Arial"/>
                <w:bCs/>
                <w:i/>
                <w:sz w:val="20"/>
              </w:rPr>
              <w:t>Real Interest</w:t>
            </w:r>
          </w:p>
        </w:tc>
        <w:tc>
          <w:tcPr>
            <w:tcW w:w="1083" w:type="dxa"/>
            <w:shd w:val="clear" w:color="000000" w:fill="FFFFFF"/>
            <w:vAlign w:val="bottom"/>
          </w:tcPr>
          <w:p w:rsidR="007B77B6" w:rsidRPr="007B77B6" w:rsidRDefault="007B77B6">
            <w:pPr>
              <w:jc w:val="center"/>
              <w:rPr>
                <w:rFonts w:cs="Arial"/>
                <w:i/>
                <w:sz w:val="20"/>
              </w:rPr>
            </w:pPr>
            <w:r w:rsidRPr="007B77B6">
              <w:rPr>
                <w:rFonts w:cs="Arial"/>
                <w:i/>
                <w:sz w:val="20"/>
              </w:rPr>
              <w:t>3.08%</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Low Income Protection Pre-SRDD (Y/N)</w:t>
            </w:r>
          </w:p>
        </w:tc>
        <w:tc>
          <w:tcPr>
            <w:tcW w:w="1083" w:type="dxa"/>
            <w:shd w:val="clear" w:color="auto" w:fill="FFFF00"/>
            <w:vAlign w:val="bottom"/>
          </w:tcPr>
          <w:p w:rsidR="007B77B6" w:rsidRDefault="007B77B6">
            <w:pPr>
              <w:jc w:val="center"/>
              <w:rPr>
                <w:rFonts w:cs="Arial"/>
                <w:sz w:val="20"/>
              </w:rPr>
            </w:pPr>
            <w:r>
              <w:rPr>
                <w:rFonts w:cs="Arial"/>
                <w:sz w:val="20"/>
              </w:rPr>
              <w:t>N</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Low Income Protection Post-SRDD (Y/N)</w:t>
            </w:r>
          </w:p>
        </w:tc>
        <w:tc>
          <w:tcPr>
            <w:tcW w:w="1083" w:type="dxa"/>
            <w:shd w:val="clear" w:color="auto" w:fill="FFFF00"/>
            <w:vAlign w:val="bottom"/>
          </w:tcPr>
          <w:p w:rsidR="007B77B6" w:rsidRDefault="007B77B6">
            <w:pPr>
              <w:jc w:val="center"/>
              <w:rPr>
                <w:rFonts w:cs="Arial"/>
                <w:sz w:val="20"/>
              </w:rPr>
            </w:pPr>
            <w:r>
              <w:rPr>
                <w:rFonts w:cs="Arial"/>
                <w:sz w:val="20"/>
              </w:rPr>
              <w:t>Y</w:t>
            </w:r>
          </w:p>
        </w:tc>
      </w:tr>
      <w:tr w:rsidR="007B77B6" w:rsidRPr="003E1C24" w:rsidTr="00214874">
        <w:trPr>
          <w:trHeight w:val="255"/>
          <w:jc w:val="center"/>
        </w:trPr>
        <w:tc>
          <w:tcPr>
            <w:tcW w:w="5770" w:type="dxa"/>
            <w:shd w:val="clear" w:color="000000" w:fill="FFFFFF"/>
            <w:noWrap/>
            <w:vAlign w:val="bottom"/>
            <w:hideMark/>
          </w:tcPr>
          <w:p w:rsidR="007B77B6" w:rsidRPr="007B77B6" w:rsidRDefault="007B77B6">
            <w:pPr>
              <w:rPr>
                <w:rFonts w:ascii="Verdana" w:hAnsi="Verdana" w:cs="Arial"/>
                <w:b/>
                <w:bCs/>
                <w:sz w:val="20"/>
              </w:rPr>
            </w:pPr>
            <w:r w:rsidRPr="007B77B6">
              <w:rPr>
                <w:rFonts w:ascii="Verdana" w:hAnsi="Verdana" w:cs="Arial"/>
                <w:b/>
                <w:bCs/>
                <w:sz w:val="20"/>
              </w:rPr>
              <w:t>Type of Low Income Protection</w:t>
            </w:r>
          </w:p>
        </w:tc>
        <w:tc>
          <w:tcPr>
            <w:tcW w:w="1083" w:type="dxa"/>
            <w:shd w:val="clear" w:color="auto" w:fill="FFFF00"/>
            <w:vAlign w:val="bottom"/>
          </w:tcPr>
          <w:p w:rsidR="007B77B6" w:rsidRDefault="007B77B6">
            <w:pPr>
              <w:jc w:val="center"/>
              <w:rPr>
                <w:rFonts w:cs="Arial"/>
                <w:sz w:val="20"/>
              </w:rPr>
            </w:pPr>
            <w:r>
              <w:rPr>
                <w:rFonts w:cs="Arial"/>
                <w:sz w:val="20"/>
              </w:rPr>
              <w:t>Phased</w:t>
            </w:r>
          </w:p>
        </w:tc>
      </w:tr>
      <w:tr w:rsidR="007B77B6" w:rsidRPr="003E1C24" w:rsidTr="00214874">
        <w:trPr>
          <w:trHeight w:val="255"/>
          <w:jc w:val="center"/>
        </w:trPr>
        <w:tc>
          <w:tcPr>
            <w:tcW w:w="5770" w:type="dxa"/>
            <w:shd w:val="clear" w:color="000000" w:fill="FFFFFF"/>
            <w:noWrap/>
            <w:vAlign w:val="bottom"/>
            <w:hideMark/>
          </w:tcPr>
          <w:p w:rsidR="007B77B6" w:rsidRPr="001541DB" w:rsidRDefault="007B77B6">
            <w:pPr>
              <w:rPr>
                <w:rFonts w:ascii="Verdana" w:hAnsi="Verdana" w:cs="Arial"/>
                <w:bCs/>
                <w:i/>
                <w:sz w:val="20"/>
              </w:rPr>
            </w:pPr>
            <w:r w:rsidRPr="001541DB">
              <w:rPr>
                <w:rFonts w:ascii="Verdana" w:hAnsi="Verdana" w:cs="Arial"/>
                <w:bCs/>
                <w:i/>
                <w:sz w:val="20"/>
              </w:rPr>
              <w:t>Repayment Threshold Growth</w:t>
            </w:r>
          </w:p>
        </w:tc>
        <w:tc>
          <w:tcPr>
            <w:tcW w:w="1083" w:type="dxa"/>
            <w:shd w:val="clear" w:color="000000" w:fill="FFFFFF"/>
            <w:vAlign w:val="bottom"/>
          </w:tcPr>
          <w:p w:rsidR="007B77B6" w:rsidRPr="001541DB" w:rsidRDefault="007B77B6">
            <w:pPr>
              <w:jc w:val="center"/>
              <w:rPr>
                <w:rFonts w:cs="Arial"/>
                <w:i/>
                <w:sz w:val="20"/>
              </w:rPr>
            </w:pPr>
            <w:r w:rsidRPr="001541DB">
              <w:rPr>
                <w:rFonts w:cs="Arial"/>
                <w:i/>
                <w:sz w:val="20"/>
              </w:rPr>
              <w:t>4.81%</w:t>
            </w:r>
          </w:p>
        </w:tc>
      </w:tr>
    </w:tbl>
    <w:p w:rsidR="007B77B6" w:rsidRDefault="007B77B6" w:rsidP="007B77B6">
      <w:pPr>
        <w:spacing w:after="240"/>
        <w:rPr>
          <w:rFonts w:ascii="Verdana" w:hAnsi="Verdana"/>
          <w:sz w:val="22"/>
          <w:szCs w:val="22"/>
        </w:rPr>
      </w:pPr>
    </w:p>
    <w:p w:rsidR="00C65741" w:rsidRPr="00C65741" w:rsidRDefault="00C65741" w:rsidP="007B77B6">
      <w:pPr>
        <w:spacing w:after="240"/>
        <w:rPr>
          <w:rFonts w:ascii="Verdana" w:hAnsi="Verdana"/>
          <w:sz w:val="22"/>
          <w:szCs w:val="22"/>
          <w:u w:val="single"/>
        </w:rPr>
      </w:pPr>
      <w:r w:rsidRPr="00C65741">
        <w:rPr>
          <w:rFonts w:ascii="Verdana" w:hAnsi="Verdana"/>
          <w:sz w:val="22"/>
          <w:szCs w:val="22"/>
          <w:u w:val="single"/>
        </w:rPr>
        <w:t>Additional Parameters</w:t>
      </w:r>
    </w:p>
    <w:tbl>
      <w:tblPr>
        <w:tblW w:w="6917"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6"/>
        <w:gridCol w:w="1051"/>
      </w:tblGrid>
      <w:tr w:rsidR="007B77B6" w:rsidRPr="003E1C24" w:rsidTr="00214874">
        <w:trPr>
          <w:trHeight w:val="255"/>
          <w:jc w:val="center"/>
        </w:trPr>
        <w:tc>
          <w:tcPr>
            <w:tcW w:w="5866" w:type="dxa"/>
            <w:shd w:val="clear" w:color="000000" w:fill="FFFFFF"/>
            <w:noWrap/>
            <w:vAlign w:val="bottom"/>
            <w:hideMark/>
          </w:tcPr>
          <w:p w:rsidR="007B77B6" w:rsidRPr="007B77B6" w:rsidRDefault="007B77B6" w:rsidP="008879B5">
            <w:pPr>
              <w:spacing w:line="240" w:lineRule="auto"/>
              <w:rPr>
                <w:rFonts w:ascii="Verdana" w:hAnsi="Verdana" w:cs="Arial"/>
                <w:b/>
                <w:bCs/>
                <w:sz w:val="20"/>
              </w:rPr>
            </w:pPr>
            <w:r w:rsidRPr="007B77B6">
              <w:rPr>
                <w:rFonts w:ascii="Verdana" w:hAnsi="Verdana" w:cs="Arial"/>
                <w:b/>
                <w:bCs/>
                <w:sz w:val="20"/>
              </w:rPr>
              <w:t>Inflation</w:t>
            </w:r>
          </w:p>
        </w:tc>
        <w:tc>
          <w:tcPr>
            <w:tcW w:w="1051" w:type="dxa"/>
            <w:shd w:val="clear" w:color="auto" w:fill="FFFF00"/>
            <w:vAlign w:val="bottom"/>
          </w:tcPr>
          <w:p w:rsidR="007B77B6" w:rsidRDefault="007B77B6">
            <w:pPr>
              <w:jc w:val="right"/>
              <w:rPr>
                <w:rFonts w:cs="Arial"/>
                <w:sz w:val="20"/>
              </w:rPr>
            </w:pPr>
            <w:r>
              <w:rPr>
                <w:rFonts w:cs="Arial"/>
                <w:sz w:val="20"/>
              </w:rPr>
              <w:t>2.75%</w:t>
            </w:r>
          </w:p>
        </w:tc>
      </w:tr>
      <w:tr w:rsidR="007B77B6" w:rsidRPr="003E1C24" w:rsidTr="00214874">
        <w:trPr>
          <w:trHeight w:val="255"/>
          <w:jc w:val="center"/>
        </w:trPr>
        <w:tc>
          <w:tcPr>
            <w:tcW w:w="5866" w:type="dxa"/>
            <w:shd w:val="clear" w:color="000000" w:fill="FFFFFF"/>
            <w:noWrap/>
            <w:vAlign w:val="bottom"/>
            <w:hideMark/>
          </w:tcPr>
          <w:p w:rsidR="007B77B6" w:rsidRPr="007B77B6" w:rsidRDefault="001541DB" w:rsidP="001541DB">
            <w:pPr>
              <w:spacing w:line="240" w:lineRule="auto"/>
              <w:rPr>
                <w:rFonts w:ascii="Verdana" w:hAnsi="Verdana" w:cs="Arial"/>
                <w:b/>
                <w:bCs/>
                <w:sz w:val="20"/>
              </w:rPr>
            </w:pPr>
            <w:r>
              <w:rPr>
                <w:rFonts w:ascii="Verdana" w:hAnsi="Verdana" w:cs="Arial"/>
                <w:b/>
                <w:bCs/>
                <w:sz w:val="20"/>
              </w:rPr>
              <w:t>A</w:t>
            </w:r>
            <w:r w:rsidR="00112770">
              <w:rPr>
                <w:rFonts w:ascii="Verdana" w:hAnsi="Verdana" w:cs="Arial"/>
                <w:b/>
                <w:bCs/>
                <w:sz w:val="20"/>
              </w:rPr>
              <w:t>ve</w:t>
            </w:r>
            <w:r w:rsidR="007B77B6" w:rsidRPr="007B77B6">
              <w:rPr>
                <w:rFonts w:ascii="Verdana" w:hAnsi="Verdana" w:cs="Arial"/>
                <w:b/>
                <w:bCs/>
                <w:sz w:val="20"/>
              </w:rPr>
              <w:t xml:space="preserve">rage incomes growth </w:t>
            </w:r>
          </w:p>
        </w:tc>
        <w:tc>
          <w:tcPr>
            <w:tcW w:w="1051" w:type="dxa"/>
            <w:shd w:val="clear" w:color="auto" w:fill="FFFF00"/>
            <w:vAlign w:val="bottom"/>
          </w:tcPr>
          <w:p w:rsidR="007B77B6" w:rsidRDefault="007B77B6">
            <w:pPr>
              <w:jc w:val="right"/>
              <w:rPr>
                <w:rFonts w:cs="Arial"/>
                <w:sz w:val="20"/>
              </w:rPr>
            </w:pPr>
            <w:r>
              <w:rPr>
                <w:rFonts w:cs="Arial"/>
                <w:sz w:val="20"/>
              </w:rPr>
              <w:t>2.00%</w:t>
            </w:r>
          </w:p>
        </w:tc>
      </w:tr>
      <w:tr w:rsidR="007B77B6" w:rsidRPr="003E1C24" w:rsidTr="00214874">
        <w:trPr>
          <w:trHeight w:val="255"/>
          <w:jc w:val="center"/>
        </w:trPr>
        <w:tc>
          <w:tcPr>
            <w:tcW w:w="5866" w:type="dxa"/>
            <w:shd w:val="clear" w:color="000000" w:fill="FFFFFF"/>
            <w:noWrap/>
            <w:vAlign w:val="bottom"/>
            <w:hideMark/>
          </w:tcPr>
          <w:p w:rsidR="007B77B6" w:rsidRPr="00E37579" w:rsidRDefault="007B77B6" w:rsidP="008879B5">
            <w:pPr>
              <w:spacing w:line="240" w:lineRule="auto"/>
              <w:rPr>
                <w:rFonts w:ascii="Verdana" w:hAnsi="Verdana" w:cs="Arial"/>
                <w:bCs/>
                <w:i/>
                <w:sz w:val="20"/>
              </w:rPr>
            </w:pPr>
            <w:r w:rsidRPr="00E37579">
              <w:rPr>
                <w:rFonts w:ascii="Verdana" w:hAnsi="Verdana" w:cs="Arial"/>
                <w:bCs/>
                <w:i/>
                <w:sz w:val="20"/>
              </w:rPr>
              <w:t>Cash incomes growth</w:t>
            </w:r>
          </w:p>
        </w:tc>
        <w:tc>
          <w:tcPr>
            <w:tcW w:w="1051" w:type="dxa"/>
            <w:shd w:val="clear" w:color="000000" w:fill="FFFFFF"/>
            <w:vAlign w:val="bottom"/>
          </w:tcPr>
          <w:p w:rsidR="007B77B6" w:rsidRDefault="007B77B6">
            <w:pPr>
              <w:jc w:val="right"/>
              <w:rPr>
                <w:rFonts w:cs="Arial"/>
                <w:i/>
                <w:iCs/>
                <w:sz w:val="20"/>
              </w:rPr>
            </w:pPr>
            <w:r>
              <w:rPr>
                <w:rFonts w:cs="Arial"/>
                <w:i/>
                <w:iCs/>
                <w:sz w:val="20"/>
              </w:rPr>
              <w:t>4.81%</w:t>
            </w:r>
          </w:p>
        </w:tc>
      </w:tr>
      <w:tr w:rsidR="007B77B6" w:rsidRPr="003E1C24" w:rsidTr="00214874">
        <w:trPr>
          <w:trHeight w:val="255"/>
          <w:jc w:val="center"/>
        </w:trPr>
        <w:tc>
          <w:tcPr>
            <w:tcW w:w="5866" w:type="dxa"/>
            <w:shd w:val="clear" w:color="000000" w:fill="FFFFFF"/>
            <w:noWrap/>
            <w:vAlign w:val="bottom"/>
            <w:hideMark/>
          </w:tcPr>
          <w:p w:rsidR="007B77B6" w:rsidRPr="007B77B6" w:rsidRDefault="007B77B6" w:rsidP="008879B5">
            <w:pPr>
              <w:spacing w:line="240" w:lineRule="auto"/>
              <w:rPr>
                <w:rFonts w:ascii="Verdana" w:hAnsi="Verdana" w:cs="Arial"/>
                <w:b/>
                <w:bCs/>
                <w:sz w:val="20"/>
              </w:rPr>
            </w:pPr>
            <w:r w:rsidRPr="007B77B6">
              <w:rPr>
                <w:rFonts w:ascii="Verdana" w:hAnsi="Verdana" w:cs="Arial"/>
                <w:b/>
                <w:bCs/>
                <w:sz w:val="20"/>
              </w:rPr>
              <w:t>Real interest</w:t>
            </w:r>
          </w:p>
        </w:tc>
        <w:tc>
          <w:tcPr>
            <w:tcW w:w="1051" w:type="dxa"/>
            <w:shd w:val="clear" w:color="auto" w:fill="FFFF00"/>
            <w:vAlign w:val="bottom"/>
          </w:tcPr>
          <w:p w:rsidR="007B77B6" w:rsidRDefault="007B77B6">
            <w:pPr>
              <w:jc w:val="right"/>
              <w:rPr>
                <w:rFonts w:cs="Arial"/>
                <w:sz w:val="20"/>
              </w:rPr>
            </w:pPr>
            <w:r>
              <w:rPr>
                <w:rFonts w:cs="Arial"/>
                <w:sz w:val="20"/>
              </w:rPr>
              <w:t>3.00%</w:t>
            </w:r>
          </w:p>
        </w:tc>
      </w:tr>
      <w:tr w:rsidR="007B77B6" w:rsidRPr="003E1C24" w:rsidTr="00214874">
        <w:trPr>
          <w:trHeight w:val="255"/>
          <w:jc w:val="center"/>
        </w:trPr>
        <w:tc>
          <w:tcPr>
            <w:tcW w:w="5866" w:type="dxa"/>
            <w:shd w:val="clear" w:color="000000" w:fill="FFFFFF"/>
            <w:noWrap/>
            <w:vAlign w:val="bottom"/>
            <w:hideMark/>
          </w:tcPr>
          <w:p w:rsidR="007B77B6" w:rsidRPr="00E37579" w:rsidRDefault="007B77B6" w:rsidP="008879B5">
            <w:pPr>
              <w:spacing w:line="240" w:lineRule="auto"/>
              <w:rPr>
                <w:rFonts w:ascii="Verdana" w:hAnsi="Verdana" w:cs="Arial"/>
                <w:bCs/>
                <w:i/>
                <w:sz w:val="20"/>
              </w:rPr>
            </w:pPr>
            <w:r w:rsidRPr="00E37579">
              <w:rPr>
                <w:rFonts w:ascii="Verdana" w:hAnsi="Verdana" w:cs="Arial"/>
                <w:bCs/>
                <w:i/>
                <w:sz w:val="20"/>
              </w:rPr>
              <w:t>Notional real interest</w:t>
            </w:r>
          </w:p>
        </w:tc>
        <w:tc>
          <w:tcPr>
            <w:tcW w:w="1051" w:type="dxa"/>
            <w:shd w:val="clear" w:color="000000" w:fill="FFFFFF"/>
            <w:vAlign w:val="bottom"/>
          </w:tcPr>
          <w:p w:rsidR="007B77B6" w:rsidRDefault="007B77B6">
            <w:pPr>
              <w:jc w:val="right"/>
              <w:rPr>
                <w:rFonts w:cs="Arial"/>
                <w:i/>
                <w:iCs/>
                <w:sz w:val="20"/>
              </w:rPr>
            </w:pPr>
            <w:r>
              <w:rPr>
                <w:rFonts w:cs="Arial"/>
                <w:i/>
                <w:iCs/>
                <w:sz w:val="20"/>
              </w:rPr>
              <w:t>3.08%</w:t>
            </w:r>
          </w:p>
        </w:tc>
      </w:tr>
      <w:tr w:rsidR="007B77B6" w:rsidRPr="003E1C24" w:rsidTr="00214874">
        <w:trPr>
          <w:trHeight w:val="255"/>
          <w:jc w:val="center"/>
        </w:trPr>
        <w:tc>
          <w:tcPr>
            <w:tcW w:w="5866" w:type="dxa"/>
            <w:shd w:val="clear" w:color="000000" w:fill="FFFFFF"/>
            <w:noWrap/>
            <w:vAlign w:val="bottom"/>
            <w:hideMark/>
          </w:tcPr>
          <w:p w:rsidR="007B77B6" w:rsidRPr="007B77B6" w:rsidRDefault="007B77B6" w:rsidP="008879B5">
            <w:pPr>
              <w:spacing w:line="240" w:lineRule="auto"/>
              <w:rPr>
                <w:rFonts w:ascii="Verdana" w:hAnsi="Verdana" w:cs="Arial"/>
                <w:b/>
                <w:bCs/>
                <w:sz w:val="20"/>
              </w:rPr>
            </w:pPr>
            <w:r w:rsidRPr="007B77B6">
              <w:rPr>
                <w:rFonts w:ascii="Verdana" w:hAnsi="Verdana" w:cs="Arial"/>
                <w:b/>
                <w:bCs/>
                <w:sz w:val="20"/>
              </w:rPr>
              <w:t>Actual Discount growth</w:t>
            </w:r>
          </w:p>
        </w:tc>
        <w:tc>
          <w:tcPr>
            <w:tcW w:w="1051" w:type="dxa"/>
            <w:shd w:val="clear" w:color="auto" w:fill="FFFF00"/>
            <w:vAlign w:val="bottom"/>
          </w:tcPr>
          <w:p w:rsidR="007B77B6" w:rsidRDefault="007B77B6">
            <w:pPr>
              <w:jc w:val="right"/>
              <w:rPr>
                <w:rFonts w:cs="Arial"/>
                <w:sz w:val="20"/>
              </w:rPr>
            </w:pPr>
            <w:r>
              <w:rPr>
                <w:rFonts w:cs="Arial"/>
                <w:sz w:val="20"/>
              </w:rPr>
              <w:t>2.20%</w:t>
            </w:r>
          </w:p>
        </w:tc>
      </w:tr>
      <w:tr w:rsidR="007B77B6" w:rsidRPr="003E1C24" w:rsidTr="00214874">
        <w:trPr>
          <w:trHeight w:val="255"/>
          <w:jc w:val="center"/>
        </w:trPr>
        <w:tc>
          <w:tcPr>
            <w:tcW w:w="5866" w:type="dxa"/>
            <w:shd w:val="clear" w:color="000000" w:fill="FFFFFF"/>
            <w:noWrap/>
            <w:vAlign w:val="bottom"/>
            <w:hideMark/>
          </w:tcPr>
          <w:p w:rsidR="007B77B6" w:rsidRPr="00E37579" w:rsidRDefault="007B77B6" w:rsidP="008879B5">
            <w:pPr>
              <w:spacing w:line="240" w:lineRule="auto"/>
              <w:rPr>
                <w:rFonts w:ascii="Verdana" w:hAnsi="Verdana" w:cs="Arial"/>
                <w:bCs/>
                <w:i/>
                <w:sz w:val="20"/>
              </w:rPr>
            </w:pPr>
            <w:r w:rsidRPr="00E37579">
              <w:rPr>
                <w:rFonts w:ascii="Verdana" w:hAnsi="Verdana" w:cs="Arial"/>
                <w:bCs/>
                <w:i/>
                <w:sz w:val="20"/>
              </w:rPr>
              <w:t>Notional Discount rate</w:t>
            </w:r>
          </w:p>
        </w:tc>
        <w:tc>
          <w:tcPr>
            <w:tcW w:w="1051" w:type="dxa"/>
            <w:shd w:val="clear" w:color="000000" w:fill="FFFFFF"/>
            <w:vAlign w:val="bottom"/>
          </w:tcPr>
          <w:p w:rsidR="007B77B6" w:rsidRDefault="007B77B6">
            <w:pPr>
              <w:jc w:val="right"/>
              <w:rPr>
                <w:rFonts w:cs="Arial"/>
                <w:i/>
                <w:iCs/>
                <w:sz w:val="20"/>
              </w:rPr>
            </w:pPr>
            <w:r>
              <w:rPr>
                <w:rFonts w:cs="Arial"/>
                <w:i/>
                <w:iCs/>
                <w:sz w:val="20"/>
              </w:rPr>
              <w:t>2.26%</w:t>
            </w:r>
          </w:p>
        </w:tc>
      </w:tr>
      <w:tr w:rsidR="007B77B6" w:rsidRPr="003E1C24" w:rsidTr="00214874">
        <w:trPr>
          <w:trHeight w:val="255"/>
          <w:jc w:val="center"/>
        </w:trPr>
        <w:tc>
          <w:tcPr>
            <w:tcW w:w="5866" w:type="dxa"/>
            <w:shd w:val="clear" w:color="000000" w:fill="FFFFFF"/>
            <w:noWrap/>
            <w:vAlign w:val="bottom"/>
            <w:hideMark/>
          </w:tcPr>
          <w:p w:rsidR="007B77B6" w:rsidRPr="007B77B6" w:rsidRDefault="00C65741" w:rsidP="00C65741">
            <w:pPr>
              <w:spacing w:line="240" w:lineRule="auto"/>
              <w:rPr>
                <w:rFonts w:ascii="Verdana" w:hAnsi="Verdana" w:cs="Arial"/>
                <w:b/>
                <w:bCs/>
                <w:sz w:val="20"/>
              </w:rPr>
            </w:pPr>
            <w:r>
              <w:rPr>
                <w:rFonts w:ascii="Verdana" w:hAnsi="Verdana" w:cs="Arial"/>
                <w:b/>
                <w:bCs/>
                <w:sz w:val="20"/>
              </w:rPr>
              <w:t>F</w:t>
            </w:r>
            <w:r w:rsidR="007B77B6" w:rsidRPr="007B77B6">
              <w:rPr>
                <w:rFonts w:ascii="Verdana" w:hAnsi="Verdana" w:cs="Arial"/>
                <w:b/>
                <w:bCs/>
                <w:sz w:val="20"/>
              </w:rPr>
              <w:t xml:space="preserve">ormer student </w:t>
            </w:r>
            <w:r w:rsidR="00214874">
              <w:rPr>
                <w:rFonts w:ascii="Verdana" w:hAnsi="Verdana" w:cs="Arial"/>
                <w:b/>
                <w:bCs/>
                <w:sz w:val="20"/>
              </w:rPr>
              <w:t xml:space="preserve">career </w:t>
            </w:r>
            <w:r w:rsidR="007B77B6" w:rsidRPr="007B77B6">
              <w:rPr>
                <w:rFonts w:ascii="Verdana" w:hAnsi="Verdana" w:cs="Arial"/>
                <w:b/>
                <w:bCs/>
                <w:sz w:val="20"/>
              </w:rPr>
              <w:t>income growth</w:t>
            </w:r>
            <w:r>
              <w:rPr>
                <w:rFonts w:ascii="Verdana" w:hAnsi="Verdana" w:cs="Arial"/>
                <w:b/>
                <w:bCs/>
                <w:sz w:val="20"/>
              </w:rPr>
              <w:t xml:space="preserve"> adjustment</w:t>
            </w:r>
            <w:r w:rsidR="007B77B6" w:rsidRPr="007B77B6">
              <w:rPr>
                <w:rFonts w:ascii="Verdana" w:hAnsi="Verdana" w:cs="Arial"/>
                <w:b/>
                <w:bCs/>
                <w:sz w:val="20"/>
              </w:rPr>
              <w:t xml:space="preserve"> </w:t>
            </w:r>
          </w:p>
        </w:tc>
        <w:tc>
          <w:tcPr>
            <w:tcW w:w="1051" w:type="dxa"/>
            <w:shd w:val="clear" w:color="auto" w:fill="FFFF00"/>
            <w:vAlign w:val="bottom"/>
          </w:tcPr>
          <w:p w:rsidR="007B77B6" w:rsidRDefault="004E2151" w:rsidP="004E2151">
            <w:pPr>
              <w:jc w:val="right"/>
              <w:rPr>
                <w:rFonts w:cs="Arial"/>
                <w:sz w:val="20"/>
              </w:rPr>
            </w:pPr>
            <w:r>
              <w:rPr>
                <w:rFonts w:cs="Arial"/>
                <w:sz w:val="20"/>
              </w:rPr>
              <w:t>53.68</w:t>
            </w:r>
            <w:r w:rsidR="007B77B6">
              <w:rPr>
                <w:rFonts w:cs="Arial"/>
                <w:sz w:val="20"/>
              </w:rPr>
              <w:t>%</w:t>
            </w:r>
          </w:p>
        </w:tc>
      </w:tr>
      <w:tr w:rsidR="007B77B6" w:rsidRPr="003E1C24" w:rsidTr="00214874">
        <w:trPr>
          <w:trHeight w:val="255"/>
          <w:jc w:val="center"/>
        </w:trPr>
        <w:tc>
          <w:tcPr>
            <w:tcW w:w="5866" w:type="dxa"/>
            <w:shd w:val="clear" w:color="000000" w:fill="FFFFFF"/>
            <w:noWrap/>
            <w:vAlign w:val="bottom"/>
            <w:hideMark/>
          </w:tcPr>
          <w:p w:rsidR="007B77B6" w:rsidRPr="00E37579" w:rsidRDefault="007B77B6" w:rsidP="008879B5">
            <w:pPr>
              <w:spacing w:line="240" w:lineRule="auto"/>
              <w:rPr>
                <w:rFonts w:ascii="Verdana" w:hAnsi="Verdana" w:cs="Arial"/>
                <w:bCs/>
                <w:i/>
                <w:sz w:val="20"/>
              </w:rPr>
            </w:pPr>
            <w:r w:rsidRPr="00E37579">
              <w:rPr>
                <w:rFonts w:ascii="Verdana" w:hAnsi="Verdana" w:cs="Arial"/>
                <w:bCs/>
                <w:i/>
                <w:sz w:val="20"/>
              </w:rPr>
              <w:t xml:space="preserve">Cash </w:t>
            </w:r>
            <w:r>
              <w:rPr>
                <w:rFonts w:ascii="Verdana" w:hAnsi="Verdana" w:cs="Arial"/>
                <w:bCs/>
                <w:i/>
                <w:sz w:val="20"/>
              </w:rPr>
              <w:t>former student</w:t>
            </w:r>
            <w:r w:rsidRPr="00E37579">
              <w:rPr>
                <w:rFonts w:ascii="Verdana" w:hAnsi="Verdana" w:cs="Arial"/>
                <w:bCs/>
                <w:i/>
                <w:sz w:val="20"/>
              </w:rPr>
              <w:t xml:space="preserve"> incomes growth</w:t>
            </w:r>
          </w:p>
        </w:tc>
        <w:tc>
          <w:tcPr>
            <w:tcW w:w="1051" w:type="dxa"/>
            <w:shd w:val="clear" w:color="000000" w:fill="FFFFFF"/>
            <w:vAlign w:val="bottom"/>
          </w:tcPr>
          <w:p w:rsidR="007B77B6" w:rsidRDefault="004E2151" w:rsidP="004E2151">
            <w:pPr>
              <w:jc w:val="right"/>
              <w:rPr>
                <w:rFonts w:cs="Arial"/>
                <w:i/>
                <w:iCs/>
                <w:sz w:val="20"/>
              </w:rPr>
            </w:pPr>
            <w:r>
              <w:rPr>
                <w:rFonts w:cs="Arial"/>
                <w:i/>
                <w:iCs/>
                <w:sz w:val="20"/>
              </w:rPr>
              <w:t>6.17</w:t>
            </w:r>
            <w:r w:rsidR="007B77B6">
              <w:rPr>
                <w:rFonts w:cs="Arial"/>
                <w:i/>
                <w:iCs/>
                <w:sz w:val="20"/>
              </w:rPr>
              <w:t>%</w:t>
            </w:r>
          </w:p>
        </w:tc>
      </w:tr>
      <w:tr w:rsidR="007B77B6" w:rsidRPr="003E1C24" w:rsidTr="00214874">
        <w:trPr>
          <w:trHeight w:val="255"/>
          <w:jc w:val="center"/>
        </w:trPr>
        <w:tc>
          <w:tcPr>
            <w:tcW w:w="5866" w:type="dxa"/>
            <w:shd w:val="clear" w:color="000000" w:fill="FFFFFF"/>
            <w:noWrap/>
            <w:vAlign w:val="bottom"/>
            <w:hideMark/>
          </w:tcPr>
          <w:p w:rsidR="007B77B6" w:rsidRPr="007B77B6" w:rsidRDefault="007B77B6" w:rsidP="008879B5">
            <w:pPr>
              <w:spacing w:line="240" w:lineRule="auto"/>
              <w:rPr>
                <w:rFonts w:ascii="Verdana" w:hAnsi="Verdana" w:cs="Arial"/>
                <w:b/>
                <w:bCs/>
                <w:sz w:val="20"/>
              </w:rPr>
            </w:pPr>
            <w:r w:rsidRPr="007B77B6">
              <w:rPr>
                <w:rFonts w:ascii="Verdana" w:hAnsi="Verdana" w:cs="Arial"/>
                <w:b/>
                <w:bCs/>
                <w:sz w:val="20"/>
              </w:rPr>
              <w:t>% Females</w:t>
            </w:r>
          </w:p>
        </w:tc>
        <w:tc>
          <w:tcPr>
            <w:tcW w:w="1051" w:type="dxa"/>
            <w:shd w:val="clear" w:color="auto" w:fill="FFFF00"/>
            <w:vAlign w:val="bottom"/>
          </w:tcPr>
          <w:p w:rsidR="007B77B6" w:rsidRDefault="007B77B6">
            <w:pPr>
              <w:jc w:val="right"/>
              <w:rPr>
                <w:rFonts w:cs="Arial"/>
                <w:sz w:val="20"/>
              </w:rPr>
            </w:pPr>
            <w:r>
              <w:rPr>
                <w:rFonts w:cs="Arial"/>
                <w:sz w:val="20"/>
              </w:rPr>
              <w:t>58.3</w:t>
            </w:r>
            <w:r w:rsidR="004E2151">
              <w:rPr>
                <w:rFonts w:cs="Arial"/>
                <w:sz w:val="20"/>
              </w:rPr>
              <w:t>5</w:t>
            </w:r>
            <w:r>
              <w:rPr>
                <w:rFonts w:cs="Arial"/>
                <w:sz w:val="20"/>
              </w:rPr>
              <w:t>%</w:t>
            </w:r>
          </w:p>
        </w:tc>
      </w:tr>
    </w:tbl>
    <w:p w:rsidR="00517D6A" w:rsidRPr="003E1C24" w:rsidRDefault="00517D6A" w:rsidP="00517D6A">
      <w:pPr>
        <w:spacing w:after="240"/>
        <w:rPr>
          <w:rFonts w:ascii="Verdana" w:hAnsi="Verdana"/>
          <w:sz w:val="22"/>
          <w:szCs w:val="22"/>
        </w:rPr>
      </w:pPr>
    </w:p>
    <w:p w:rsidR="00214874" w:rsidRDefault="00517D6A" w:rsidP="00517D6A">
      <w:pPr>
        <w:numPr>
          <w:ilvl w:val="0"/>
          <w:numId w:val="1"/>
        </w:numPr>
        <w:spacing w:after="240"/>
        <w:rPr>
          <w:rFonts w:ascii="Verdana" w:hAnsi="Verdana"/>
          <w:sz w:val="22"/>
          <w:szCs w:val="22"/>
        </w:rPr>
      </w:pPr>
      <w:r w:rsidRPr="00214874">
        <w:rPr>
          <w:rFonts w:ascii="Verdana" w:hAnsi="Verdana"/>
          <w:sz w:val="22"/>
          <w:szCs w:val="22"/>
        </w:rPr>
        <w:lastRenderedPageBreak/>
        <w:t xml:space="preserve">The parameters in italics are calculated, the others </w:t>
      </w:r>
      <w:r w:rsidR="00C65741" w:rsidRPr="00214874">
        <w:rPr>
          <w:rFonts w:ascii="Verdana" w:hAnsi="Verdana"/>
          <w:sz w:val="22"/>
          <w:szCs w:val="22"/>
        </w:rPr>
        <w:t xml:space="preserve">in bold are </w:t>
      </w:r>
      <w:r w:rsidRPr="00214874">
        <w:rPr>
          <w:rFonts w:ascii="Verdana" w:hAnsi="Verdana"/>
          <w:sz w:val="22"/>
          <w:szCs w:val="22"/>
        </w:rPr>
        <w:t xml:space="preserve">input by the user. The </w:t>
      </w:r>
      <w:r w:rsidRPr="00214874">
        <w:rPr>
          <w:rFonts w:ascii="Verdana" w:hAnsi="Verdana"/>
          <w:i/>
          <w:sz w:val="22"/>
          <w:szCs w:val="22"/>
        </w:rPr>
        <w:t xml:space="preserve">Cash </w:t>
      </w:r>
      <w:r w:rsidR="00214874" w:rsidRPr="00214874">
        <w:rPr>
          <w:rFonts w:ascii="Verdana" w:hAnsi="Verdana"/>
          <w:i/>
          <w:sz w:val="22"/>
          <w:szCs w:val="22"/>
        </w:rPr>
        <w:t xml:space="preserve">incomes </w:t>
      </w:r>
      <w:r w:rsidRPr="00214874">
        <w:rPr>
          <w:rFonts w:ascii="Verdana" w:hAnsi="Verdana"/>
          <w:i/>
          <w:sz w:val="22"/>
          <w:szCs w:val="22"/>
        </w:rPr>
        <w:t>growth</w:t>
      </w:r>
      <w:r w:rsidRPr="00214874">
        <w:rPr>
          <w:rFonts w:ascii="Verdana" w:hAnsi="Verdana"/>
          <w:sz w:val="22"/>
          <w:szCs w:val="22"/>
        </w:rPr>
        <w:t xml:space="preserve"> is input into the Repayment Threshold Growth in the original parameter </w:t>
      </w:r>
      <w:proofErr w:type="gramStart"/>
      <w:r w:rsidRPr="00214874">
        <w:rPr>
          <w:rFonts w:ascii="Verdana" w:hAnsi="Verdana"/>
          <w:sz w:val="22"/>
          <w:szCs w:val="22"/>
        </w:rPr>
        <w:t>table,</w:t>
      </w:r>
      <w:proofErr w:type="gramEnd"/>
      <w:r w:rsidRPr="00214874">
        <w:rPr>
          <w:rFonts w:ascii="Verdana" w:hAnsi="Verdana"/>
          <w:sz w:val="22"/>
          <w:szCs w:val="22"/>
        </w:rPr>
        <w:t xml:space="preserve"> and the </w:t>
      </w:r>
      <w:r w:rsidRPr="00214874">
        <w:rPr>
          <w:rFonts w:ascii="Verdana" w:hAnsi="Verdana"/>
          <w:i/>
          <w:sz w:val="22"/>
          <w:szCs w:val="22"/>
        </w:rPr>
        <w:t xml:space="preserve">Notional </w:t>
      </w:r>
      <w:r w:rsidR="00C65741" w:rsidRPr="00214874">
        <w:rPr>
          <w:rFonts w:ascii="Verdana" w:hAnsi="Verdana"/>
          <w:i/>
          <w:sz w:val="22"/>
          <w:szCs w:val="22"/>
        </w:rPr>
        <w:t xml:space="preserve">real interest </w:t>
      </w:r>
      <w:r w:rsidR="00C65741" w:rsidRPr="00214874">
        <w:rPr>
          <w:rFonts w:ascii="Verdana" w:hAnsi="Verdana"/>
          <w:sz w:val="22"/>
          <w:szCs w:val="22"/>
        </w:rPr>
        <w:t>and</w:t>
      </w:r>
      <w:r w:rsidR="00C65741" w:rsidRPr="00214874">
        <w:rPr>
          <w:rFonts w:ascii="Verdana" w:hAnsi="Verdana"/>
          <w:i/>
          <w:sz w:val="22"/>
          <w:szCs w:val="22"/>
        </w:rPr>
        <w:t xml:space="preserve"> D</w:t>
      </w:r>
      <w:r w:rsidRPr="00214874">
        <w:rPr>
          <w:rFonts w:ascii="Verdana" w:hAnsi="Verdana"/>
          <w:i/>
          <w:sz w:val="22"/>
          <w:szCs w:val="22"/>
        </w:rPr>
        <w:t xml:space="preserve">iscount </w:t>
      </w:r>
      <w:r w:rsidRPr="001541DB">
        <w:rPr>
          <w:rFonts w:ascii="Verdana" w:hAnsi="Verdana"/>
          <w:sz w:val="22"/>
          <w:szCs w:val="22"/>
        </w:rPr>
        <w:t>rate</w:t>
      </w:r>
      <w:r w:rsidR="001541DB" w:rsidRPr="001541DB">
        <w:rPr>
          <w:rFonts w:ascii="Verdana" w:hAnsi="Verdana"/>
          <w:sz w:val="22"/>
          <w:szCs w:val="22"/>
        </w:rPr>
        <w:t>s</w:t>
      </w:r>
      <w:r w:rsidR="001541DB">
        <w:rPr>
          <w:rFonts w:ascii="Verdana" w:hAnsi="Verdana"/>
          <w:sz w:val="22"/>
          <w:szCs w:val="22"/>
        </w:rPr>
        <w:t xml:space="preserve"> </w:t>
      </w:r>
      <w:r w:rsidR="00C65741" w:rsidRPr="00214874">
        <w:rPr>
          <w:rFonts w:ascii="Verdana" w:hAnsi="Verdana"/>
          <w:sz w:val="22"/>
          <w:szCs w:val="22"/>
        </w:rPr>
        <w:t>are</w:t>
      </w:r>
      <w:r w:rsidRPr="00214874">
        <w:rPr>
          <w:rFonts w:ascii="Verdana" w:hAnsi="Verdana"/>
          <w:sz w:val="22"/>
          <w:szCs w:val="22"/>
        </w:rPr>
        <w:t xml:space="preserve"> input </w:t>
      </w:r>
      <w:r w:rsidR="004776C3">
        <w:rPr>
          <w:rFonts w:ascii="Verdana" w:hAnsi="Verdana"/>
          <w:sz w:val="22"/>
          <w:szCs w:val="22"/>
        </w:rPr>
        <w:t>in</w:t>
      </w:r>
      <w:r w:rsidRPr="00214874">
        <w:rPr>
          <w:rFonts w:ascii="Verdana" w:hAnsi="Verdana"/>
          <w:sz w:val="22"/>
          <w:szCs w:val="22"/>
        </w:rPr>
        <w:t xml:space="preserve">to the </w:t>
      </w:r>
      <w:r w:rsidR="00C65741" w:rsidRPr="00214874">
        <w:rPr>
          <w:rFonts w:ascii="Verdana" w:hAnsi="Verdana"/>
          <w:i/>
          <w:sz w:val="22"/>
          <w:szCs w:val="22"/>
        </w:rPr>
        <w:t>Real Interest</w:t>
      </w:r>
      <w:r w:rsidR="00C65741" w:rsidRPr="00214874">
        <w:rPr>
          <w:rFonts w:ascii="Verdana" w:hAnsi="Verdana"/>
          <w:sz w:val="22"/>
          <w:szCs w:val="22"/>
        </w:rPr>
        <w:t xml:space="preserve"> and </w:t>
      </w:r>
      <w:r w:rsidRPr="00214874">
        <w:rPr>
          <w:rFonts w:ascii="Verdana" w:hAnsi="Verdana"/>
          <w:i/>
          <w:sz w:val="22"/>
          <w:szCs w:val="22"/>
        </w:rPr>
        <w:t>Discount Rate</w:t>
      </w:r>
      <w:r w:rsidRPr="00214874">
        <w:rPr>
          <w:rFonts w:ascii="Verdana" w:hAnsi="Verdana"/>
          <w:sz w:val="22"/>
          <w:szCs w:val="22"/>
        </w:rPr>
        <w:t xml:space="preserve"> in the original parameter table. </w:t>
      </w:r>
    </w:p>
    <w:p w:rsidR="00112770" w:rsidRDefault="001465F8" w:rsidP="00517D6A">
      <w:pPr>
        <w:numPr>
          <w:ilvl w:val="0"/>
          <w:numId w:val="1"/>
        </w:numPr>
        <w:spacing w:after="240"/>
        <w:rPr>
          <w:rFonts w:ascii="Verdana" w:hAnsi="Verdana"/>
          <w:sz w:val="22"/>
          <w:szCs w:val="22"/>
        </w:rPr>
      </w:pPr>
      <w:r>
        <w:rPr>
          <w:rFonts w:ascii="Verdana" w:hAnsi="Verdana"/>
          <w:sz w:val="22"/>
          <w:szCs w:val="22"/>
        </w:rPr>
        <w:t>When t</w:t>
      </w:r>
      <w:r w:rsidR="00C65741" w:rsidRPr="00214874">
        <w:rPr>
          <w:rFonts w:ascii="Verdana" w:hAnsi="Verdana"/>
          <w:sz w:val="22"/>
          <w:szCs w:val="22"/>
        </w:rPr>
        <w:t xml:space="preserve">he </w:t>
      </w:r>
      <w:r w:rsidRPr="004776C3">
        <w:rPr>
          <w:rFonts w:ascii="Verdana" w:hAnsi="Verdana"/>
          <w:b/>
          <w:sz w:val="22"/>
          <w:szCs w:val="22"/>
        </w:rPr>
        <w:t>f</w:t>
      </w:r>
      <w:r w:rsidR="00C65741" w:rsidRPr="004776C3">
        <w:rPr>
          <w:rFonts w:ascii="Verdana" w:hAnsi="Verdana"/>
          <w:b/>
          <w:sz w:val="22"/>
          <w:szCs w:val="22"/>
        </w:rPr>
        <w:t>o</w:t>
      </w:r>
      <w:r w:rsidR="00C65741" w:rsidRPr="001541DB">
        <w:rPr>
          <w:rFonts w:ascii="Verdana" w:hAnsi="Verdana"/>
          <w:b/>
          <w:sz w:val="22"/>
          <w:szCs w:val="22"/>
        </w:rPr>
        <w:t xml:space="preserve">rmer student </w:t>
      </w:r>
      <w:r w:rsidR="00112770" w:rsidRPr="001541DB">
        <w:rPr>
          <w:rFonts w:ascii="Verdana" w:hAnsi="Verdana"/>
          <w:b/>
          <w:sz w:val="22"/>
          <w:szCs w:val="22"/>
        </w:rPr>
        <w:t xml:space="preserve">career </w:t>
      </w:r>
      <w:r w:rsidR="00C65741" w:rsidRPr="001541DB">
        <w:rPr>
          <w:rFonts w:ascii="Verdana" w:hAnsi="Verdana"/>
          <w:b/>
          <w:sz w:val="22"/>
          <w:szCs w:val="22"/>
        </w:rPr>
        <w:t>income growth adjustment</w:t>
      </w:r>
      <w:r w:rsidR="00C65741" w:rsidRPr="00214874">
        <w:rPr>
          <w:rFonts w:ascii="Verdana" w:hAnsi="Verdana"/>
          <w:sz w:val="22"/>
          <w:szCs w:val="22"/>
        </w:rPr>
        <w:t xml:space="preserve"> is set to 100% </w:t>
      </w:r>
      <w:r w:rsidR="00214874" w:rsidRPr="00214874">
        <w:rPr>
          <w:rFonts w:ascii="Verdana" w:hAnsi="Verdana"/>
          <w:sz w:val="22"/>
          <w:szCs w:val="22"/>
        </w:rPr>
        <w:t>it equals that estimated from the figures supplied by BIS without any a</w:t>
      </w:r>
      <w:r w:rsidR="00214874">
        <w:rPr>
          <w:rFonts w:ascii="Verdana" w:hAnsi="Verdana"/>
          <w:sz w:val="22"/>
          <w:szCs w:val="22"/>
        </w:rPr>
        <w:t>d</w:t>
      </w:r>
      <w:r w:rsidR="00214874" w:rsidRPr="00214874">
        <w:rPr>
          <w:rFonts w:ascii="Verdana" w:hAnsi="Verdana"/>
          <w:sz w:val="22"/>
          <w:szCs w:val="22"/>
        </w:rPr>
        <w:t>justment.</w:t>
      </w:r>
      <w:r w:rsidR="00214874">
        <w:rPr>
          <w:rFonts w:ascii="Verdana" w:hAnsi="Verdana"/>
          <w:sz w:val="22"/>
          <w:szCs w:val="22"/>
        </w:rPr>
        <w:t xml:space="preserve"> </w:t>
      </w:r>
      <w:r>
        <w:rPr>
          <w:rFonts w:ascii="Verdana" w:hAnsi="Verdana"/>
          <w:sz w:val="22"/>
          <w:szCs w:val="22"/>
        </w:rPr>
        <w:t>The default figure shown above gives the break-even RAB</w:t>
      </w:r>
      <w:r w:rsidR="004776C3">
        <w:rPr>
          <w:rFonts w:ascii="Verdana" w:hAnsi="Verdana"/>
          <w:sz w:val="22"/>
          <w:szCs w:val="22"/>
        </w:rPr>
        <w:t xml:space="preserve"> shown in the Extra Results sheet</w:t>
      </w:r>
      <w:r>
        <w:rPr>
          <w:rFonts w:ascii="Verdana" w:hAnsi="Verdana"/>
          <w:sz w:val="22"/>
          <w:szCs w:val="22"/>
        </w:rPr>
        <w:t>.</w:t>
      </w:r>
    </w:p>
    <w:p w:rsidR="00112770" w:rsidRDefault="00112770" w:rsidP="00517D6A">
      <w:pPr>
        <w:numPr>
          <w:ilvl w:val="0"/>
          <w:numId w:val="1"/>
        </w:numPr>
        <w:spacing w:after="240"/>
        <w:rPr>
          <w:rFonts w:ascii="Verdana" w:hAnsi="Verdana"/>
          <w:sz w:val="22"/>
          <w:szCs w:val="22"/>
        </w:rPr>
      </w:pPr>
      <w:r>
        <w:rPr>
          <w:rFonts w:ascii="Verdana" w:hAnsi="Verdana"/>
          <w:sz w:val="22"/>
          <w:szCs w:val="22"/>
        </w:rPr>
        <w:t>The standard (100%) f</w:t>
      </w:r>
      <w:r w:rsidRPr="00214874">
        <w:rPr>
          <w:rFonts w:ascii="Verdana" w:hAnsi="Verdana"/>
          <w:sz w:val="22"/>
          <w:szCs w:val="22"/>
        </w:rPr>
        <w:t xml:space="preserve">ormer student </w:t>
      </w:r>
      <w:r>
        <w:rPr>
          <w:rFonts w:ascii="Verdana" w:hAnsi="Verdana"/>
          <w:sz w:val="22"/>
          <w:szCs w:val="22"/>
        </w:rPr>
        <w:t xml:space="preserve">career </w:t>
      </w:r>
      <w:r w:rsidRPr="00214874">
        <w:rPr>
          <w:rFonts w:ascii="Verdana" w:hAnsi="Verdana"/>
          <w:sz w:val="22"/>
          <w:szCs w:val="22"/>
        </w:rPr>
        <w:t>income growth</w:t>
      </w:r>
      <w:r>
        <w:rPr>
          <w:rFonts w:ascii="Verdana" w:hAnsi="Verdana"/>
          <w:sz w:val="22"/>
          <w:szCs w:val="22"/>
        </w:rPr>
        <w:t xml:space="preserve"> was calculated by first discounting the BIS income figures by 4.75 per cent pa. These correspond to the dotted lines in figure 1. The average career income growth was then calculated from all </w:t>
      </w:r>
      <w:r w:rsidR="00214874" w:rsidRPr="00214874">
        <w:rPr>
          <w:rFonts w:ascii="Verdana" w:hAnsi="Verdana"/>
          <w:sz w:val="22"/>
          <w:szCs w:val="22"/>
        </w:rPr>
        <w:t>former student simulations with non zero incomes in periods 1 and 30, then taking the 29th root of (average incomes year 30 / average incomes year 1)</w:t>
      </w:r>
      <w:r>
        <w:rPr>
          <w:rFonts w:ascii="Verdana" w:hAnsi="Verdana"/>
          <w:sz w:val="22"/>
          <w:szCs w:val="22"/>
        </w:rPr>
        <w:t>. This is shown in the Growth sheet and has a value of 2.42 per cent pa.</w:t>
      </w:r>
    </w:p>
    <w:p w:rsidR="00112770" w:rsidRDefault="00112770" w:rsidP="00517D6A">
      <w:pPr>
        <w:numPr>
          <w:ilvl w:val="0"/>
          <w:numId w:val="1"/>
        </w:numPr>
        <w:spacing w:after="240"/>
        <w:rPr>
          <w:rFonts w:ascii="Verdana" w:hAnsi="Verdana"/>
          <w:sz w:val="22"/>
          <w:szCs w:val="22"/>
        </w:rPr>
      </w:pPr>
      <w:r w:rsidRPr="00214874">
        <w:rPr>
          <w:rFonts w:ascii="Verdana" w:hAnsi="Verdana"/>
          <w:sz w:val="22"/>
          <w:szCs w:val="22"/>
        </w:rPr>
        <w:t xml:space="preserve">The </w:t>
      </w:r>
      <w:r w:rsidRPr="00214874">
        <w:rPr>
          <w:rFonts w:ascii="Verdana" w:hAnsi="Verdana"/>
          <w:i/>
          <w:sz w:val="22"/>
          <w:szCs w:val="22"/>
        </w:rPr>
        <w:t>Cash former student incomes growth</w:t>
      </w:r>
      <w:r>
        <w:rPr>
          <w:rFonts w:ascii="Verdana" w:hAnsi="Verdana"/>
          <w:i/>
          <w:sz w:val="22"/>
          <w:szCs w:val="22"/>
        </w:rPr>
        <w:t xml:space="preserve"> </w:t>
      </w:r>
      <w:r>
        <w:rPr>
          <w:rFonts w:ascii="Verdana" w:hAnsi="Verdana"/>
          <w:sz w:val="22"/>
          <w:szCs w:val="22"/>
        </w:rPr>
        <w:t>is calculated as:-</w:t>
      </w:r>
    </w:p>
    <w:p w:rsidR="00112770" w:rsidRPr="00112770" w:rsidRDefault="00112770" w:rsidP="00112770">
      <w:pPr>
        <w:spacing w:after="240"/>
        <w:rPr>
          <w:rFonts w:ascii="Verdana" w:hAnsi="Verdana"/>
          <w:sz w:val="20"/>
        </w:rPr>
      </w:pPr>
      <w:r w:rsidRPr="00112770">
        <w:rPr>
          <w:rFonts w:ascii="Verdana" w:hAnsi="Verdana"/>
          <w:sz w:val="20"/>
        </w:rPr>
        <w:t>(1+ inflation) x (1+ average incomes growth) x (1 + career income growth) - 1</w:t>
      </w:r>
    </w:p>
    <w:p w:rsidR="00517D6A" w:rsidRPr="00214874" w:rsidRDefault="001541DB" w:rsidP="00112770">
      <w:pPr>
        <w:spacing w:after="240"/>
        <w:rPr>
          <w:rFonts w:ascii="Verdana" w:hAnsi="Verdana"/>
          <w:sz w:val="22"/>
          <w:szCs w:val="22"/>
        </w:rPr>
      </w:pPr>
      <w:r>
        <w:rPr>
          <w:rFonts w:ascii="Verdana" w:hAnsi="Verdana"/>
          <w:sz w:val="22"/>
          <w:szCs w:val="22"/>
        </w:rPr>
        <w:t xml:space="preserve">This value is used to update the </w:t>
      </w:r>
      <w:r w:rsidRPr="003E1C24">
        <w:rPr>
          <w:rFonts w:ascii="Verdana" w:hAnsi="Verdana"/>
          <w:sz w:val="22"/>
          <w:szCs w:val="22"/>
        </w:rPr>
        <w:t>income by year matrix</w:t>
      </w:r>
      <w:r>
        <w:rPr>
          <w:rFonts w:ascii="Verdana" w:hAnsi="Verdana"/>
          <w:sz w:val="22"/>
          <w:szCs w:val="22"/>
        </w:rPr>
        <w:t xml:space="preserve"> in the Repayment calculation sheet.</w:t>
      </w:r>
    </w:p>
    <w:p w:rsidR="00517D6A" w:rsidRPr="003E1C24" w:rsidRDefault="00517D6A" w:rsidP="00517D6A">
      <w:pPr>
        <w:spacing w:after="240"/>
        <w:rPr>
          <w:rFonts w:ascii="Verdana" w:hAnsi="Verdana"/>
          <w:i/>
          <w:sz w:val="22"/>
          <w:szCs w:val="22"/>
        </w:rPr>
      </w:pPr>
      <w:r w:rsidRPr="003E1C24">
        <w:rPr>
          <w:rFonts w:ascii="Verdana" w:hAnsi="Verdana"/>
          <w:i/>
          <w:sz w:val="22"/>
          <w:szCs w:val="22"/>
        </w:rPr>
        <w:t xml:space="preserve"> </w:t>
      </w:r>
      <w:proofErr w:type="spellStart"/>
      <w:r w:rsidRPr="003E1C24">
        <w:rPr>
          <w:rFonts w:ascii="Verdana" w:hAnsi="Verdana"/>
          <w:i/>
          <w:sz w:val="22"/>
          <w:szCs w:val="22"/>
        </w:rPr>
        <w:t>NoGrow</w:t>
      </w:r>
      <w:proofErr w:type="spellEnd"/>
      <w:r w:rsidRPr="003E1C24">
        <w:rPr>
          <w:rFonts w:ascii="Verdana" w:hAnsi="Verdana"/>
          <w:i/>
          <w:sz w:val="22"/>
          <w:szCs w:val="22"/>
        </w:rPr>
        <w:t xml:space="preserve"> sheet</w:t>
      </w:r>
    </w:p>
    <w:p w:rsidR="001541DB" w:rsidRDefault="00517D6A">
      <w:pPr>
        <w:numPr>
          <w:ilvl w:val="0"/>
          <w:numId w:val="1"/>
        </w:numPr>
        <w:spacing w:after="240"/>
        <w:rPr>
          <w:rFonts w:ascii="Verdana" w:hAnsi="Verdana"/>
          <w:sz w:val="22"/>
          <w:szCs w:val="22"/>
        </w:rPr>
      </w:pPr>
      <w:r w:rsidRPr="003E1C24">
        <w:rPr>
          <w:rFonts w:ascii="Verdana" w:hAnsi="Verdana"/>
          <w:sz w:val="22"/>
          <w:szCs w:val="22"/>
        </w:rPr>
        <w:t>This contains the salary data from the origin</w:t>
      </w:r>
      <w:r w:rsidR="001541DB">
        <w:rPr>
          <w:rFonts w:ascii="Verdana" w:hAnsi="Verdana"/>
          <w:sz w:val="22"/>
          <w:szCs w:val="22"/>
        </w:rPr>
        <w:t xml:space="preserve">al Ready </w:t>
      </w:r>
      <w:proofErr w:type="spellStart"/>
      <w:r w:rsidR="001541DB">
        <w:rPr>
          <w:rFonts w:ascii="Verdana" w:hAnsi="Verdana"/>
          <w:sz w:val="22"/>
          <w:szCs w:val="22"/>
        </w:rPr>
        <w:t>Reckoner</w:t>
      </w:r>
      <w:proofErr w:type="spellEnd"/>
      <w:r w:rsidR="001541DB">
        <w:rPr>
          <w:rFonts w:ascii="Verdana" w:hAnsi="Verdana"/>
          <w:sz w:val="22"/>
          <w:szCs w:val="22"/>
        </w:rPr>
        <w:t xml:space="preserve"> discounted by:-</w:t>
      </w:r>
    </w:p>
    <w:p w:rsidR="001541DB" w:rsidRPr="00D254DB" w:rsidRDefault="001541DB" w:rsidP="00D254DB">
      <w:pPr>
        <w:spacing w:after="240"/>
        <w:rPr>
          <w:rFonts w:ascii="Verdana" w:hAnsi="Verdana"/>
          <w:sz w:val="20"/>
        </w:rPr>
      </w:pPr>
      <w:r w:rsidRPr="00D254DB">
        <w:rPr>
          <w:rFonts w:ascii="Verdana" w:hAnsi="Verdana"/>
          <w:sz w:val="20"/>
        </w:rPr>
        <w:t xml:space="preserve">(1 + 4.75%) x (1 + standard </w:t>
      </w:r>
      <w:r w:rsidR="00D254DB" w:rsidRPr="00D254DB">
        <w:rPr>
          <w:rFonts w:ascii="Verdana" w:hAnsi="Verdana"/>
          <w:sz w:val="20"/>
        </w:rPr>
        <w:t>average career income growth)</w:t>
      </w:r>
    </w:p>
    <w:p w:rsidR="00A83CC7" w:rsidRDefault="00D254DB" w:rsidP="00D254DB">
      <w:pPr>
        <w:spacing w:after="240"/>
        <w:rPr>
          <w:rFonts w:ascii="Verdana" w:hAnsi="Verdana"/>
          <w:sz w:val="22"/>
          <w:szCs w:val="22"/>
        </w:rPr>
      </w:pPr>
      <w:r>
        <w:rPr>
          <w:rFonts w:ascii="Verdana" w:hAnsi="Verdana"/>
          <w:sz w:val="22"/>
          <w:szCs w:val="22"/>
        </w:rPr>
        <w:t>This means that the average incomes (removing those with zero income in years 1 and 30) for year 1 and 30 are the same.</w:t>
      </w:r>
      <w:r w:rsidR="00517D6A" w:rsidRPr="003E1C24">
        <w:rPr>
          <w:rFonts w:ascii="Verdana" w:hAnsi="Verdana"/>
          <w:sz w:val="22"/>
          <w:szCs w:val="22"/>
        </w:rPr>
        <w:t xml:space="preserve"> </w:t>
      </w:r>
    </w:p>
    <w:p w:rsidR="00A83CC7" w:rsidRPr="00A83CC7" w:rsidRDefault="00E37579">
      <w:pPr>
        <w:numPr>
          <w:ilvl w:val="0"/>
          <w:numId w:val="1"/>
        </w:numPr>
        <w:spacing w:after="240"/>
        <w:rPr>
          <w:rFonts w:ascii="Verdana" w:hAnsi="Verdana"/>
          <w:i/>
          <w:sz w:val="22"/>
          <w:szCs w:val="22"/>
        </w:rPr>
      </w:pPr>
      <w:r>
        <w:rPr>
          <w:rFonts w:ascii="Verdana" w:hAnsi="Verdana"/>
          <w:i/>
          <w:sz w:val="22"/>
          <w:szCs w:val="22"/>
        </w:rPr>
        <w:t xml:space="preserve">Growth </w:t>
      </w:r>
      <w:r w:rsidR="00A83CC7" w:rsidRPr="00A83CC7">
        <w:rPr>
          <w:rFonts w:ascii="Verdana" w:hAnsi="Verdana"/>
          <w:i/>
          <w:sz w:val="22"/>
          <w:szCs w:val="22"/>
        </w:rPr>
        <w:t>30 sheet</w:t>
      </w:r>
    </w:p>
    <w:p w:rsidR="00CC6F3D" w:rsidRPr="003E1C24" w:rsidRDefault="00CC6F3D" w:rsidP="00517D6A">
      <w:pPr>
        <w:numPr>
          <w:ilvl w:val="0"/>
          <w:numId w:val="1"/>
        </w:numPr>
        <w:spacing w:after="240"/>
        <w:rPr>
          <w:rFonts w:ascii="Verdana" w:hAnsi="Verdana"/>
          <w:sz w:val="22"/>
          <w:szCs w:val="22"/>
        </w:rPr>
      </w:pPr>
      <w:r>
        <w:rPr>
          <w:rFonts w:ascii="Verdana" w:hAnsi="Verdana"/>
          <w:sz w:val="22"/>
          <w:szCs w:val="22"/>
        </w:rPr>
        <w:t>This holds the incomes for year</w:t>
      </w:r>
      <w:r w:rsidR="003D371A">
        <w:rPr>
          <w:rFonts w:ascii="Verdana" w:hAnsi="Verdana"/>
          <w:sz w:val="22"/>
          <w:szCs w:val="22"/>
        </w:rPr>
        <w:t>s 1 and</w:t>
      </w:r>
      <w:r>
        <w:rPr>
          <w:rFonts w:ascii="Verdana" w:hAnsi="Verdana"/>
          <w:sz w:val="22"/>
          <w:szCs w:val="22"/>
        </w:rPr>
        <w:t xml:space="preserve"> 30 at ye</w:t>
      </w:r>
      <w:r w:rsidR="00300F72">
        <w:rPr>
          <w:rFonts w:ascii="Verdana" w:hAnsi="Verdana"/>
          <w:sz w:val="22"/>
          <w:szCs w:val="22"/>
        </w:rPr>
        <w:t>a</w:t>
      </w:r>
      <w:r>
        <w:rPr>
          <w:rFonts w:ascii="Verdana" w:hAnsi="Verdana"/>
          <w:sz w:val="22"/>
          <w:szCs w:val="22"/>
        </w:rPr>
        <w:t>r 1 prices</w:t>
      </w:r>
      <w:r w:rsidR="00D254DB">
        <w:rPr>
          <w:rFonts w:ascii="Verdana" w:hAnsi="Verdana"/>
          <w:sz w:val="22"/>
          <w:szCs w:val="22"/>
        </w:rPr>
        <w:t xml:space="preserve"> and the standard and adjusted career income growth rates</w:t>
      </w:r>
      <w:r>
        <w:rPr>
          <w:rFonts w:ascii="Verdana" w:hAnsi="Verdana"/>
          <w:sz w:val="22"/>
          <w:szCs w:val="22"/>
        </w:rPr>
        <w:t>. It is used in the calculation of average income growth figures.</w:t>
      </w:r>
    </w:p>
    <w:p w:rsidR="00517D6A" w:rsidRPr="003E1C24" w:rsidRDefault="00517D6A" w:rsidP="00517D6A">
      <w:pPr>
        <w:spacing w:after="240"/>
        <w:rPr>
          <w:rFonts w:ascii="Verdana" w:hAnsi="Verdana"/>
          <w:i/>
          <w:sz w:val="22"/>
          <w:szCs w:val="22"/>
        </w:rPr>
      </w:pPr>
      <w:r w:rsidRPr="003E1C24">
        <w:rPr>
          <w:rFonts w:ascii="Verdana" w:hAnsi="Verdana"/>
          <w:i/>
          <w:sz w:val="22"/>
          <w:szCs w:val="22"/>
        </w:rPr>
        <w:t>Repayment calculation sheet</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The income by year matrix is populated by taking the </w:t>
      </w:r>
      <w:proofErr w:type="spellStart"/>
      <w:r w:rsidRPr="003E1C24">
        <w:rPr>
          <w:rFonts w:ascii="Verdana" w:hAnsi="Verdana"/>
          <w:sz w:val="22"/>
          <w:szCs w:val="22"/>
        </w:rPr>
        <w:t>NoGro</w:t>
      </w:r>
      <w:r w:rsidR="000A0127">
        <w:rPr>
          <w:rFonts w:ascii="Verdana" w:hAnsi="Verdana"/>
          <w:sz w:val="22"/>
          <w:szCs w:val="22"/>
        </w:rPr>
        <w:t>w</w:t>
      </w:r>
      <w:proofErr w:type="spellEnd"/>
      <w:r w:rsidRPr="003E1C24">
        <w:rPr>
          <w:rFonts w:ascii="Verdana" w:hAnsi="Verdana"/>
          <w:sz w:val="22"/>
          <w:szCs w:val="22"/>
        </w:rPr>
        <w:t xml:space="preserve"> data and increasing by the </w:t>
      </w:r>
      <w:r w:rsidRPr="003E1C24">
        <w:rPr>
          <w:rFonts w:ascii="Verdana" w:hAnsi="Verdana" w:cs="Arial"/>
          <w:bCs/>
          <w:i/>
          <w:sz w:val="22"/>
          <w:szCs w:val="22"/>
        </w:rPr>
        <w:t xml:space="preserve">Cash </w:t>
      </w:r>
      <w:r w:rsidR="00034FB5">
        <w:rPr>
          <w:rFonts w:ascii="Verdana" w:hAnsi="Verdana" w:cs="Arial"/>
          <w:bCs/>
          <w:i/>
          <w:sz w:val="22"/>
          <w:szCs w:val="22"/>
        </w:rPr>
        <w:t>former student</w:t>
      </w:r>
      <w:r w:rsidRPr="003E1C24">
        <w:rPr>
          <w:rFonts w:ascii="Verdana" w:hAnsi="Verdana" w:cs="Arial"/>
          <w:bCs/>
          <w:i/>
          <w:sz w:val="22"/>
          <w:szCs w:val="22"/>
        </w:rPr>
        <w:t xml:space="preserve"> incomes growth</w:t>
      </w:r>
      <w:r w:rsidRPr="003E1C24">
        <w:rPr>
          <w:rFonts w:ascii="Verdana" w:hAnsi="Verdana"/>
          <w:sz w:val="22"/>
          <w:szCs w:val="22"/>
        </w:rPr>
        <w:t xml:space="preserve"> for each year.</w:t>
      </w:r>
    </w:p>
    <w:p w:rsidR="000A0127" w:rsidRDefault="000A0127">
      <w:pPr>
        <w:spacing w:after="200" w:line="276" w:lineRule="auto"/>
        <w:rPr>
          <w:rFonts w:ascii="Verdana" w:hAnsi="Verdana"/>
          <w:i/>
          <w:sz w:val="22"/>
          <w:szCs w:val="22"/>
        </w:rPr>
      </w:pPr>
      <w:r>
        <w:rPr>
          <w:rFonts w:ascii="Verdana" w:hAnsi="Verdana"/>
          <w:i/>
          <w:sz w:val="22"/>
          <w:szCs w:val="22"/>
        </w:rPr>
        <w:br w:type="page"/>
      </w:r>
    </w:p>
    <w:p w:rsidR="00517D6A" w:rsidRPr="003E1C24" w:rsidRDefault="00CC6F3D" w:rsidP="00517D6A">
      <w:pPr>
        <w:spacing w:after="240"/>
        <w:rPr>
          <w:rFonts w:ascii="Verdana" w:hAnsi="Verdana"/>
          <w:i/>
          <w:sz w:val="22"/>
          <w:szCs w:val="22"/>
        </w:rPr>
      </w:pPr>
      <w:r>
        <w:rPr>
          <w:rFonts w:ascii="Verdana" w:hAnsi="Verdana"/>
          <w:i/>
          <w:sz w:val="22"/>
          <w:szCs w:val="22"/>
        </w:rPr>
        <w:lastRenderedPageBreak/>
        <w:t>Extra Results</w:t>
      </w:r>
      <w:r w:rsidR="00517D6A" w:rsidRPr="003E1C24">
        <w:rPr>
          <w:rFonts w:ascii="Verdana" w:hAnsi="Verdana"/>
          <w:i/>
          <w:sz w:val="22"/>
          <w:szCs w:val="22"/>
        </w:rPr>
        <w:t xml:space="preserve"> sheet</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This sheet </w:t>
      </w:r>
      <w:r w:rsidR="00CC6F3D">
        <w:rPr>
          <w:rFonts w:ascii="Verdana" w:hAnsi="Verdana"/>
          <w:sz w:val="22"/>
          <w:szCs w:val="22"/>
        </w:rPr>
        <w:t xml:space="preserve">uses </w:t>
      </w:r>
      <w:r w:rsidRPr="003E1C24">
        <w:rPr>
          <w:rFonts w:ascii="Verdana" w:hAnsi="Verdana"/>
          <w:sz w:val="22"/>
          <w:szCs w:val="22"/>
        </w:rPr>
        <w:t xml:space="preserve">data on the proportions of female </w:t>
      </w:r>
      <w:r w:rsidR="00034FB5">
        <w:rPr>
          <w:rFonts w:ascii="Verdana" w:hAnsi="Verdana"/>
          <w:sz w:val="22"/>
          <w:szCs w:val="22"/>
        </w:rPr>
        <w:t>former student</w:t>
      </w:r>
      <w:r w:rsidRPr="003E1C24">
        <w:rPr>
          <w:rFonts w:ascii="Verdana" w:hAnsi="Verdana"/>
          <w:sz w:val="22"/>
          <w:szCs w:val="22"/>
        </w:rPr>
        <w:t>s</w:t>
      </w:r>
      <w:r w:rsidR="00CC6F3D">
        <w:rPr>
          <w:rFonts w:ascii="Verdana" w:hAnsi="Verdana"/>
          <w:sz w:val="22"/>
          <w:szCs w:val="22"/>
        </w:rPr>
        <w:t xml:space="preserve"> to adjust the value of the RAB</w:t>
      </w:r>
      <w:r w:rsidRPr="003E1C24">
        <w:rPr>
          <w:rFonts w:ascii="Verdana" w:hAnsi="Verdana"/>
          <w:sz w:val="22"/>
          <w:szCs w:val="22"/>
        </w:rPr>
        <w:t xml:space="preserve">. Average RAB values excluding </w:t>
      </w:r>
      <w:r w:rsidR="00034FB5">
        <w:rPr>
          <w:rFonts w:ascii="Verdana" w:hAnsi="Verdana"/>
          <w:sz w:val="22"/>
          <w:szCs w:val="22"/>
        </w:rPr>
        <w:t>former student</w:t>
      </w:r>
      <w:r w:rsidRPr="003E1C24">
        <w:rPr>
          <w:rFonts w:ascii="Verdana" w:hAnsi="Verdana"/>
          <w:sz w:val="22"/>
          <w:szCs w:val="22"/>
        </w:rPr>
        <w:t>s with negative RABS are also shown</w:t>
      </w:r>
      <w:r w:rsidR="00CC6F3D">
        <w:rPr>
          <w:rFonts w:ascii="Verdana" w:hAnsi="Verdana"/>
          <w:sz w:val="22"/>
          <w:szCs w:val="22"/>
        </w:rPr>
        <w:t xml:space="preserve"> along with summary income growth figures.</w:t>
      </w:r>
    </w:p>
    <w:p w:rsidR="00517D6A" w:rsidRPr="003D371A" w:rsidRDefault="00517D6A" w:rsidP="00517D6A">
      <w:pPr>
        <w:spacing w:after="240"/>
        <w:rPr>
          <w:rFonts w:ascii="Verdana" w:hAnsi="Verdana"/>
          <w:b/>
          <w:sz w:val="24"/>
          <w:szCs w:val="24"/>
        </w:rPr>
      </w:pPr>
      <w:r w:rsidRPr="003D371A">
        <w:rPr>
          <w:rFonts w:ascii="Verdana" w:hAnsi="Verdana"/>
          <w:b/>
          <w:sz w:val="24"/>
          <w:szCs w:val="24"/>
        </w:rPr>
        <w:t>Changing income growth assumptions</w:t>
      </w:r>
    </w:p>
    <w:p w:rsidR="00517D6A" w:rsidRPr="003D371A" w:rsidRDefault="00517D6A" w:rsidP="00517D6A">
      <w:pPr>
        <w:numPr>
          <w:ilvl w:val="0"/>
          <w:numId w:val="1"/>
        </w:numPr>
        <w:spacing w:after="240"/>
        <w:rPr>
          <w:rFonts w:ascii="Verdana" w:hAnsi="Verdana"/>
          <w:sz w:val="24"/>
          <w:szCs w:val="24"/>
        </w:rPr>
      </w:pPr>
      <w:r w:rsidRPr="00D254DB">
        <w:rPr>
          <w:rFonts w:ascii="Verdana" w:hAnsi="Verdana"/>
          <w:sz w:val="22"/>
          <w:szCs w:val="22"/>
        </w:rPr>
        <w:t xml:space="preserve">Figure A2 shows that as </w:t>
      </w:r>
      <w:r w:rsidR="000A0127">
        <w:rPr>
          <w:rFonts w:ascii="Verdana" w:hAnsi="Verdana"/>
          <w:sz w:val="22"/>
          <w:szCs w:val="22"/>
        </w:rPr>
        <w:t xml:space="preserve">average real </w:t>
      </w:r>
      <w:r w:rsidRPr="00D254DB">
        <w:rPr>
          <w:rFonts w:ascii="Verdana" w:hAnsi="Verdana"/>
          <w:sz w:val="22"/>
          <w:szCs w:val="22"/>
        </w:rPr>
        <w:t>income growth rises, so the RAB decrease</w:t>
      </w:r>
      <w:r w:rsidR="004776C3">
        <w:rPr>
          <w:rFonts w:ascii="Verdana" w:hAnsi="Verdana"/>
          <w:sz w:val="22"/>
          <w:szCs w:val="22"/>
        </w:rPr>
        <w:t>s</w:t>
      </w:r>
      <w:r w:rsidRPr="00D254DB">
        <w:rPr>
          <w:rFonts w:ascii="Verdana" w:hAnsi="Verdana"/>
          <w:sz w:val="22"/>
          <w:szCs w:val="22"/>
        </w:rPr>
        <w:t xml:space="preserve">. </w:t>
      </w:r>
      <w:r w:rsidR="009A02F3" w:rsidRPr="00D254DB">
        <w:rPr>
          <w:rFonts w:ascii="Verdana" w:hAnsi="Verdana"/>
          <w:sz w:val="22"/>
          <w:szCs w:val="22"/>
        </w:rPr>
        <w:t>Over the most likely range of growth rates from 3.0 to 4.5 per cent, for each 1 percentage point increase in average annual income growth there is a 12 percentage point drop in the RAB</w:t>
      </w:r>
      <w:r w:rsidR="009A02F3" w:rsidRPr="00D254DB">
        <w:rPr>
          <w:rFonts w:ascii="Verdana" w:hAnsi="Verdana"/>
          <w:sz w:val="24"/>
          <w:szCs w:val="24"/>
        </w:rPr>
        <w:t>.</w:t>
      </w:r>
      <w:r w:rsidR="009A02F3">
        <w:rPr>
          <w:rFonts w:ascii="Verdana" w:hAnsi="Verdana"/>
          <w:sz w:val="22"/>
          <w:szCs w:val="22"/>
        </w:rPr>
        <w:t xml:space="preserve"> </w:t>
      </w:r>
    </w:p>
    <w:p w:rsidR="009A02F3" w:rsidRDefault="00517D6A" w:rsidP="00517D6A">
      <w:pPr>
        <w:spacing w:after="240"/>
        <w:rPr>
          <w:rFonts w:ascii="Verdana" w:hAnsi="Verdana"/>
          <w:sz w:val="22"/>
          <w:szCs w:val="22"/>
          <w:u w:val="single"/>
        </w:rPr>
      </w:pPr>
      <w:r w:rsidRPr="003D371A">
        <w:rPr>
          <w:rFonts w:ascii="Verdana" w:hAnsi="Verdana"/>
          <w:sz w:val="22"/>
          <w:szCs w:val="22"/>
          <w:u w:val="single"/>
        </w:rPr>
        <w:t xml:space="preserve">Figure A2: Change in RAB with change in </w:t>
      </w:r>
      <w:r w:rsidR="00D254DB">
        <w:rPr>
          <w:rFonts w:ascii="Verdana" w:hAnsi="Verdana"/>
          <w:sz w:val="22"/>
          <w:szCs w:val="22"/>
          <w:u w:val="single"/>
        </w:rPr>
        <w:t xml:space="preserve">average real </w:t>
      </w:r>
      <w:r w:rsidRPr="003D371A">
        <w:rPr>
          <w:rFonts w:ascii="Verdana" w:hAnsi="Verdana"/>
          <w:sz w:val="22"/>
          <w:szCs w:val="22"/>
          <w:u w:val="single"/>
        </w:rPr>
        <w:t>income growth</w:t>
      </w:r>
    </w:p>
    <w:p w:rsidR="00B63F06" w:rsidRDefault="00B63F06">
      <w:pPr>
        <w:spacing w:after="200" w:line="276" w:lineRule="auto"/>
        <w:rPr>
          <w:rFonts w:ascii="Verdana" w:hAnsi="Verdana"/>
          <w:sz w:val="18"/>
          <w:szCs w:val="18"/>
        </w:rPr>
      </w:pPr>
      <w:r w:rsidRPr="00B63F06">
        <w:rPr>
          <w:rFonts w:ascii="Verdana" w:hAnsi="Verdana"/>
          <w:noProof/>
          <w:sz w:val="18"/>
          <w:szCs w:val="18"/>
          <w:lang w:val="en-US" w:eastAsia="en-US"/>
        </w:rPr>
        <w:drawing>
          <wp:inline distT="0" distB="0" distL="0" distR="0">
            <wp:extent cx="5274310" cy="3449714"/>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4345" w:rsidRDefault="00517D6A" w:rsidP="00517D6A">
      <w:pPr>
        <w:spacing w:after="240" w:line="240" w:lineRule="auto"/>
        <w:rPr>
          <w:rFonts w:ascii="Verdana" w:hAnsi="Verdana"/>
          <w:sz w:val="18"/>
          <w:szCs w:val="18"/>
        </w:rPr>
      </w:pPr>
      <w:r w:rsidRPr="003E1C24">
        <w:rPr>
          <w:rFonts w:ascii="Verdana" w:hAnsi="Verdana"/>
          <w:sz w:val="18"/>
          <w:szCs w:val="18"/>
        </w:rPr>
        <w:t xml:space="preserve">Using Modified Ready </w:t>
      </w:r>
      <w:proofErr w:type="spellStart"/>
      <w:r w:rsidRPr="003E1C24">
        <w:rPr>
          <w:rFonts w:ascii="Verdana" w:hAnsi="Verdana"/>
          <w:sz w:val="18"/>
          <w:szCs w:val="18"/>
        </w:rPr>
        <w:t>Reckoner</w:t>
      </w:r>
      <w:proofErr w:type="spellEnd"/>
      <w:r w:rsidRPr="003E1C24">
        <w:rPr>
          <w:rFonts w:ascii="Verdana" w:hAnsi="Verdana"/>
          <w:sz w:val="18"/>
          <w:szCs w:val="18"/>
        </w:rPr>
        <w:t xml:space="preserve">. </w:t>
      </w:r>
      <w:proofErr w:type="gramStart"/>
      <w:r w:rsidRPr="003E1C24">
        <w:rPr>
          <w:rFonts w:ascii="Verdana" w:hAnsi="Verdana"/>
          <w:sz w:val="18"/>
          <w:szCs w:val="18"/>
        </w:rPr>
        <w:t>All incomes at 2016 prices.</w:t>
      </w:r>
      <w:proofErr w:type="gramEnd"/>
      <w:r w:rsidRPr="003E1C24">
        <w:rPr>
          <w:rFonts w:ascii="Verdana" w:hAnsi="Verdana"/>
          <w:sz w:val="18"/>
          <w:szCs w:val="18"/>
        </w:rPr>
        <w:t xml:space="preserve">  </w:t>
      </w:r>
      <w:r w:rsidR="003D371A">
        <w:rPr>
          <w:rFonts w:ascii="Verdana" w:hAnsi="Verdana"/>
          <w:sz w:val="18"/>
          <w:szCs w:val="18"/>
        </w:rPr>
        <w:t>Parameters set as in table A2.</w:t>
      </w:r>
    </w:p>
    <w:p w:rsidR="00517D6A" w:rsidRDefault="00517D6A" w:rsidP="00517D6A">
      <w:pPr>
        <w:spacing w:after="240" w:line="240" w:lineRule="auto"/>
        <w:rPr>
          <w:rFonts w:ascii="Verdana" w:hAnsi="Verdana"/>
          <w:sz w:val="18"/>
          <w:szCs w:val="18"/>
        </w:rPr>
      </w:pPr>
      <w:r w:rsidRPr="003E1C24">
        <w:rPr>
          <w:rFonts w:ascii="Verdana" w:hAnsi="Verdana"/>
          <w:sz w:val="18"/>
          <w:szCs w:val="18"/>
        </w:rPr>
        <w:t xml:space="preserve">Average real annual increase incomes based on all </w:t>
      </w:r>
      <w:r w:rsidR="00034FB5">
        <w:rPr>
          <w:rFonts w:ascii="Verdana" w:hAnsi="Verdana"/>
          <w:sz w:val="18"/>
          <w:szCs w:val="18"/>
        </w:rPr>
        <w:t>former student</w:t>
      </w:r>
      <w:r w:rsidRPr="003E1C24">
        <w:rPr>
          <w:rFonts w:ascii="Verdana" w:hAnsi="Verdana"/>
          <w:sz w:val="18"/>
          <w:szCs w:val="18"/>
        </w:rPr>
        <w:t xml:space="preserve"> simulations with non zero incomes in periods 1 and 30, then taking the 29</w:t>
      </w:r>
      <w:r w:rsidRPr="003E1C24">
        <w:rPr>
          <w:rFonts w:ascii="Verdana" w:hAnsi="Verdana"/>
          <w:sz w:val="18"/>
          <w:szCs w:val="18"/>
          <w:vertAlign w:val="superscript"/>
        </w:rPr>
        <w:t>th</w:t>
      </w:r>
      <w:r w:rsidRPr="003E1C24">
        <w:rPr>
          <w:rFonts w:ascii="Verdana" w:hAnsi="Verdana"/>
          <w:sz w:val="18"/>
          <w:szCs w:val="18"/>
        </w:rPr>
        <w:t xml:space="preserve"> root of (average incomes year </w:t>
      </w:r>
      <w:r w:rsidR="003D371A">
        <w:rPr>
          <w:rFonts w:ascii="Verdana" w:hAnsi="Verdana"/>
          <w:sz w:val="18"/>
          <w:szCs w:val="18"/>
        </w:rPr>
        <w:t>30 / average incomes year 1</w:t>
      </w:r>
      <w:r w:rsidRPr="003E1C24">
        <w:rPr>
          <w:rFonts w:ascii="Verdana" w:hAnsi="Verdana"/>
          <w:sz w:val="18"/>
          <w:szCs w:val="18"/>
        </w:rPr>
        <w:t>) both at 2016 (year 1) prices.</w:t>
      </w:r>
    </w:p>
    <w:p w:rsidR="00254345" w:rsidRPr="003E1C24" w:rsidRDefault="00254345" w:rsidP="00517D6A">
      <w:pPr>
        <w:spacing w:after="240" w:line="240" w:lineRule="auto"/>
        <w:rPr>
          <w:rFonts w:ascii="Verdana" w:hAnsi="Verdana"/>
          <w:sz w:val="18"/>
          <w:szCs w:val="18"/>
        </w:rPr>
      </w:pPr>
      <w:r>
        <w:rPr>
          <w:rFonts w:ascii="Verdana" w:hAnsi="Verdana"/>
          <w:sz w:val="18"/>
          <w:szCs w:val="18"/>
        </w:rPr>
        <w:t xml:space="preserve">The RAB values </w:t>
      </w:r>
      <w:r w:rsidR="003D371A">
        <w:rPr>
          <w:rFonts w:ascii="Verdana" w:hAnsi="Verdana"/>
          <w:sz w:val="18"/>
          <w:szCs w:val="18"/>
        </w:rPr>
        <w:t xml:space="preserve">and income growth </w:t>
      </w:r>
      <w:r>
        <w:rPr>
          <w:rFonts w:ascii="Verdana" w:hAnsi="Verdana"/>
          <w:sz w:val="18"/>
          <w:szCs w:val="18"/>
        </w:rPr>
        <w:t>are adjusted to the male female proportions in the population</w:t>
      </w:r>
      <w:r w:rsidR="003D371A">
        <w:rPr>
          <w:rFonts w:ascii="Verdana" w:hAnsi="Verdana"/>
          <w:sz w:val="18"/>
          <w:szCs w:val="18"/>
        </w:rPr>
        <w:t>.</w:t>
      </w:r>
    </w:p>
    <w:p w:rsidR="00517D6A" w:rsidRPr="00D254DB" w:rsidRDefault="00517D6A" w:rsidP="00517D6A">
      <w:pPr>
        <w:numPr>
          <w:ilvl w:val="0"/>
          <w:numId w:val="1"/>
        </w:numPr>
        <w:spacing w:after="240"/>
        <w:rPr>
          <w:rFonts w:ascii="Verdana" w:hAnsi="Verdana"/>
          <w:sz w:val="22"/>
          <w:szCs w:val="22"/>
          <w:u w:val="single"/>
        </w:rPr>
      </w:pPr>
      <w:r w:rsidRPr="00D254DB">
        <w:rPr>
          <w:rFonts w:ascii="Verdana" w:hAnsi="Verdana"/>
          <w:sz w:val="22"/>
          <w:szCs w:val="22"/>
        </w:rPr>
        <w:t xml:space="preserve"> ‘Break-even’ RAB is the RAB where the savings in public expenditure </w:t>
      </w:r>
      <w:r w:rsidR="004776C3">
        <w:rPr>
          <w:rFonts w:ascii="Verdana" w:hAnsi="Verdana"/>
          <w:sz w:val="22"/>
          <w:szCs w:val="22"/>
        </w:rPr>
        <w:t xml:space="preserve">on tuition </w:t>
      </w:r>
      <w:r w:rsidRPr="00D254DB">
        <w:rPr>
          <w:rFonts w:ascii="Verdana" w:hAnsi="Verdana"/>
          <w:sz w:val="22"/>
          <w:szCs w:val="22"/>
        </w:rPr>
        <w:t>in moving to the new system are balanced by the costs. See the section below for an explanation as to how the value was arrived at.</w:t>
      </w:r>
      <w:r w:rsidR="00D254DB">
        <w:rPr>
          <w:rFonts w:ascii="Verdana" w:hAnsi="Verdana"/>
          <w:sz w:val="22"/>
          <w:szCs w:val="22"/>
        </w:rPr>
        <w:t xml:space="preserve"> </w:t>
      </w:r>
      <w:r w:rsidR="00D254DB" w:rsidRPr="00D254DB">
        <w:rPr>
          <w:rFonts w:ascii="Verdana" w:hAnsi="Verdana"/>
          <w:sz w:val="22"/>
          <w:szCs w:val="22"/>
        </w:rPr>
        <w:t xml:space="preserve">Here we consider whether the income growth associated with the break-even </w:t>
      </w:r>
      <w:r w:rsidR="00D254DB" w:rsidRPr="00D254DB">
        <w:rPr>
          <w:rFonts w:ascii="Verdana" w:hAnsi="Verdana"/>
          <w:sz w:val="22"/>
          <w:szCs w:val="22"/>
        </w:rPr>
        <w:lastRenderedPageBreak/>
        <w:t>RAB rate of 47 per cent is plausible. Table A3 shows a selection of statistics.</w:t>
      </w:r>
      <w:r w:rsidR="00D254DB">
        <w:rPr>
          <w:rFonts w:ascii="Verdana" w:hAnsi="Verdana"/>
          <w:sz w:val="22"/>
          <w:szCs w:val="22"/>
        </w:rPr>
        <w:t xml:space="preserve"> </w:t>
      </w:r>
    </w:p>
    <w:p w:rsidR="00517D6A" w:rsidRPr="003E1C24" w:rsidRDefault="00517D6A" w:rsidP="00517D6A">
      <w:pPr>
        <w:numPr>
          <w:ilvl w:val="0"/>
          <w:numId w:val="1"/>
        </w:numPr>
        <w:spacing w:after="240"/>
        <w:rPr>
          <w:rFonts w:ascii="Verdana" w:hAnsi="Verdana"/>
          <w:sz w:val="22"/>
          <w:szCs w:val="22"/>
          <w:u w:val="single"/>
        </w:rPr>
      </w:pPr>
      <w:r w:rsidRPr="003E1C24">
        <w:rPr>
          <w:rFonts w:ascii="Verdana" w:hAnsi="Verdana"/>
          <w:sz w:val="22"/>
          <w:szCs w:val="22"/>
        </w:rPr>
        <w:t>The break-even scenario looks possible. On top of the general growth in real incomes of 2</w:t>
      </w:r>
      <w:r w:rsidR="00D254DB">
        <w:rPr>
          <w:rFonts w:ascii="Verdana" w:hAnsi="Verdana"/>
          <w:sz w:val="22"/>
          <w:szCs w:val="22"/>
        </w:rPr>
        <w:t>.0</w:t>
      </w:r>
      <w:r w:rsidRPr="003E1C24">
        <w:rPr>
          <w:rFonts w:ascii="Verdana" w:hAnsi="Verdana"/>
          <w:sz w:val="22"/>
          <w:szCs w:val="22"/>
        </w:rPr>
        <w:t xml:space="preserve"> per cent pa </w:t>
      </w:r>
      <w:r w:rsidR="00034FB5">
        <w:rPr>
          <w:rFonts w:ascii="Verdana" w:hAnsi="Verdana"/>
          <w:sz w:val="22"/>
          <w:szCs w:val="22"/>
        </w:rPr>
        <w:t>former student</w:t>
      </w:r>
      <w:r w:rsidRPr="003E1C24">
        <w:rPr>
          <w:rFonts w:ascii="Verdana" w:hAnsi="Verdana"/>
          <w:sz w:val="22"/>
          <w:szCs w:val="22"/>
        </w:rPr>
        <w:t>s would see an average annual rise as they progressed through their career of 1.</w:t>
      </w:r>
      <w:r w:rsidR="00D254DB">
        <w:rPr>
          <w:rFonts w:ascii="Verdana" w:hAnsi="Verdana"/>
          <w:sz w:val="22"/>
          <w:szCs w:val="22"/>
        </w:rPr>
        <w:t>3</w:t>
      </w:r>
      <w:r w:rsidRPr="003E1C24">
        <w:rPr>
          <w:rFonts w:ascii="Verdana" w:hAnsi="Verdana"/>
          <w:sz w:val="22"/>
          <w:szCs w:val="22"/>
        </w:rPr>
        <w:t xml:space="preserve"> per cent. </w:t>
      </w:r>
    </w:p>
    <w:p w:rsidR="00517D6A" w:rsidRPr="003E1C24" w:rsidRDefault="00517D6A" w:rsidP="00517D6A">
      <w:pPr>
        <w:keepNext/>
        <w:spacing w:after="240"/>
        <w:rPr>
          <w:rFonts w:ascii="Verdana" w:hAnsi="Verdana"/>
          <w:sz w:val="22"/>
          <w:szCs w:val="22"/>
          <w:u w:val="single"/>
        </w:rPr>
      </w:pPr>
      <w:r w:rsidRPr="003E1C24">
        <w:rPr>
          <w:rFonts w:ascii="Verdana" w:hAnsi="Verdana"/>
          <w:sz w:val="22"/>
          <w:szCs w:val="22"/>
          <w:u w:val="single"/>
        </w:rPr>
        <w:t>Table A</w:t>
      </w:r>
      <w:r w:rsidR="00EE378A">
        <w:rPr>
          <w:rFonts w:ascii="Verdana" w:hAnsi="Verdana"/>
          <w:sz w:val="22"/>
          <w:szCs w:val="22"/>
          <w:u w:val="single"/>
        </w:rPr>
        <w:t>3</w:t>
      </w:r>
      <w:r w:rsidRPr="003E1C24">
        <w:rPr>
          <w:rFonts w:ascii="Verdana" w:hAnsi="Verdana"/>
          <w:sz w:val="22"/>
          <w:szCs w:val="22"/>
          <w:u w:val="single"/>
        </w:rPr>
        <w:t>:  RAB values for different income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842"/>
        <w:gridCol w:w="1610"/>
      </w:tblGrid>
      <w:tr w:rsidR="00517D6A" w:rsidRPr="003E1C24" w:rsidTr="008879B5">
        <w:trPr>
          <w:cantSplit/>
          <w:trHeight w:val="721"/>
        </w:trPr>
        <w:tc>
          <w:tcPr>
            <w:tcW w:w="5070" w:type="dxa"/>
          </w:tcPr>
          <w:p w:rsidR="00517D6A" w:rsidRPr="003E1C24" w:rsidRDefault="00517D6A" w:rsidP="008879B5">
            <w:pPr>
              <w:keepNext/>
              <w:spacing w:line="240" w:lineRule="auto"/>
              <w:rPr>
                <w:rFonts w:ascii="Verdana" w:hAnsi="Verdana"/>
                <w:sz w:val="22"/>
                <w:szCs w:val="22"/>
                <w:u w:val="single"/>
              </w:rPr>
            </w:pPr>
          </w:p>
          <w:p w:rsidR="00517D6A" w:rsidRPr="003E1C24" w:rsidRDefault="00517D6A" w:rsidP="008879B5">
            <w:pPr>
              <w:keepNext/>
              <w:spacing w:line="240" w:lineRule="auto"/>
              <w:rPr>
                <w:rFonts w:ascii="Verdana" w:hAnsi="Verdana"/>
                <w:sz w:val="22"/>
                <w:szCs w:val="22"/>
              </w:rPr>
            </w:pPr>
          </w:p>
        </w:tc>
        <w:tc>
          <w:tcPr>
            <w:tcW w:w="1842"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 xml:space="preserve">Break-even </w:t>
            </w:r>
            <w:r w:rsidR="00B63F06">
              <w:rPr>
                <w:rFonts w:ascii="Verdana" w:hAnsi="Verdana"/>
                <w:sz w:val="22"/>
                <w:szCs w:val="22"/>
              </w:rPr>
              <w:t xml:space="preserve">tuition </w:t>
            </w:r>
            <w:r w:rsidRPr="003E1C24">
              <w:rPr>
                <w:rFonts w:ascii="Verdana" w:hAnsi="Verdana"/>
                <w:sz w:val="22"/>
                <w:szCs w:val="22"/>
              </w:rPr>
              <w:t>public expenditure</w:t>
            </w:r>
          </w:p>
        </w:tc>
        <w:tc>
          <w:tcPr>
            <w:tcW w:w="161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BIS assumption</w:t>
            </w:r>
          </w:p>
        </w:tc>
      </w:tr>
      <w:tr w:rsidR="00517D6A" w:rsidRPr="003E1C24" w:rsidTr="008879B5">
        <w:trPr>
          <w:cantSplit/>
        </w:trPr>
        <w:tc>
          <w:tcPr>
            <w:tcW w:w="507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RAB</w:t>
            </w:r>
          </w:p>
        </w:tc>
        <w:tc>
          <w:tcPr>
            <w:tcW w:w="1842"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47.0%</w:t>
            </w:r>
          </w:p>
        </w:tc>
        <w:tc>
          <w:tcPr>
            <w:tcW w:w="1610" w:type="dxa"/>
          </w:tcPr>
          <w:p w:rsidR="00517D6A" w:rsidRPr="003E1C24" w:rsidRDefault="00517D6A" w:rsidP="00012EE8">
            <w:pPr>
              <w:keepNext/>
              <w:spacing w:line="240" w:lineRule="auto"/>
              <w:rPr>
                <w:rFonts w:ascii="Verdana" w:hAnsi="Verdana"/>
                <w:sz w:val="22"/>
                <w:szCs w:val="22"/>
              </w:rPr>
            </w:pPr>
            <w:r w:rsidRPr="003E1C24">
              <w:rPr>
                <w:rFonts w:ascii="Verdana" w:hAnsi="Verdana"/>
                <w:sz w:val="22"/>
                <w:szCs w:val="22"/>
              </w:rPr>
              <w:t>34.</w:t>
            </w:r>
            <w:r w:rsidR="00012EE8">
              <w:rPr>
                <w:rFonts w:ascii="Verdana" w:hAnsi="Verdana"/>
                <w:sz w:val="22"/>
                <w:szCs w:val="22"/>
              </w:rPr>
              <w:t>6</w:t>
            </w:r>
            <w:r w:rsidRPr="003E1C24">
              <w:rPr>
                <w:rFonts w:ascii="Verdana" w:hAnsi="Verdana"/>
                <w:sz w:val="22"/>
                <w:szCs w:val="22"/>
              </w:rPr>
              <w:t>%</w:t>
            </w:r>
          </w:p>
        </w:tc>
      </w:tr>
      <w:tr w:rsidR="00517D6A" w:rsidRPr="003E1C24" w:rsidTr="008879B5">
        <w:trPr>
          <w:cantSplit/>
        </w:trPr>
        <w:tc>
          <w:tcPr>
            <w:tcW w:w="507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 xml:space="preserve">Average ‘career’  annual increase  </w:t>
            </w:r>
          </w:p>
        </w:tc>
        <w:tc>
          <w:tcPr>
            <w:tcW w:w="1842" w:type="dxa"/>
          </w:tcPr>
          <w:p w:rsidR="008879B5" w:rsidRDefault="00517D6A" w:rsidP="00B63F06">
            <w:pPr>
              <w:keepNext/>
              <w:spacing w:line="240" w:lineRule="auto"/>
              <w:rPr>
                <w:rFonts w:ascii="Verdana" w:hAnsi="Verdana"/>
                <w:sz w:val="22"/>
                <w:szCs w:val="22"/>
              </w:rPr>
            </w:pPr>
            <w:r w:rsidRPr="003E1C24">
              <w:rPr>
                <w:rFonts w:ascii="Verdana" w:hAnsi="Verdana"/>
                <w:sz w:val="22"/>
                <w:szCs w:val="22"/>
              </w:rPr>
              <w:t>1.</w:t>
            </w:r>
            <w:r w:rsidR="00B63F06">
              <w:rPr>
                <w:rFonts w:ascii="Verdana" w:hAnsi="Verdana"/>
                <w:sz w:val="22"/>
                <w:szCs w:val="22"/>
              </w:rPr>
              <w:t>30</w:t>
            </w:r>
            <w:r w:rsidRPr="003E1C24">
              <w:rPr>
                <w:rFonts w:ascii="Verdana" w:hAnsi="Verdana"/>
                <w:sz w:val="22"/>
                <w:szCs w:val="22"/>
              </w:rPr>
              <w:t>%pa</w:t>
            </w:r>
          </w:p>
        </w:tc>
        <w:tc>
          <w:tcPr>
            <w:tcW w:w="1610" w:type="dxa"/>
          </w:tcPr>
          <w:p w:rsidR="00517D6A" w:rsidRPr="003E1C24" w:rsidRDefault="00517D6A" w:rsidP="00B63F06">
            <w:pPr>
              <w:keepNext/>
              <w:spacing w:line="240" w:lineRule="auto"/>
              <w:rPr>
                <w:rFonts w:ascii="Verdana" w:hAnsi="Verdana"/>
                <w:sz w:val="22"/>
                <w:szCs w:val="22"/>
              </w:rPr>
            </w:pPr>
            <w:r w:rsidRPr="003E1C24">
              <w:rPr>
                <w:rFonts w:ascii="Verdana" w:hAnsi="Verdana"/>
                <w:sz w:val="22"/>
                <w:szCs w:val="22"/>
              </w:rPr>
              <w:t>2.</w:t>
            </w:r>
            <w:r w:rsidR="00B63F06">
              <w:rPr>
                <w:rFonts w:ascii="Verdana" w:hAnsi="Verdana"/>
                <w:sz w:val="22"/>
                <w:szCs w:val="22"/>
              </w:rPr>
              <w:t>42</w:t>
            </w:r>
            <w:r w:rsidRPr="003E1C24">
              <w:rPr>
                <w:rFonts w:ascii="Verdana" w:hAnsi="Verdana"/>
                <w:sz w:val="22"/>
                <w:szCs w:val="22"/>
              </w:rPr>
              <w:t>% pa</w:t>
            </w:r>
          </w:p>
        </w:tc>
      </w:tr>
      <w:tr w:rsidR="00517D6A" w:rsidRPr="003E1C24" w:rsidTr="008879B5">
        <w:trPr>
          <w:cantSplit/>
        </w:trPr>
        <w:tc>
          <w:tcPr>
            <w:tcW w:w="507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 xml:space="preserve">Average ‘growth’  annual increase </w:t>
            </w:r>
          </w:p>
        </w:tc>
        <w:tc>
          <w:tcPr>
            <w:tcW w:w="1842"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2.00% pa</w:t>
            </w:r>
          </w:p>
        </w:tc>
        <w:tc>
          <w:tcPr>
            <w:tcW w:w="161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2.00% pa</w:t>
            </w:r>
          </w:p>
        </w:tc>
      </w:tr>
      <w:tr w:rsidR="00517D6A" w:rsidRPr="003E1C24" w:rsidTr="008879B5">
        <w:trPr>
          <w:cantSplit/>
        </w:trPr>
        <w:tc>
          <w:tcPr>
            <w:tcW w:w="507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 xml:space="preserve">Average total  annual increase  </w:t>
            </w:r>
          </w:p>
        </w:tc>
        <w:tc>
          <w:tcPr>
            <w:tcW w:w="1842" w:type="dxa"/>
          </w:tcPr>
          <w:p w:rsidR="008879B5" w:rsidRDefault="00517D6A" w:rsidP="00B63F06">
            <w:pPr>
              <w:keepNext/>
              <w:spacing w:line="240" w:lineRule="auto"/>
              <w:rPr>
                <w:rFonts w:ascii="Verdana" w:hAnsi="Verdana"/>
                <w:sz w:val="22"/>
                <w:szCs w:val="22"/>
              </w:rPr>
            </w:pPr>
            <w:r w:rsidRPr="003E1C24">
              <w:rPr>
                <w:rFonts w:ascii="Verdana" w:hAnsi="Verdana"/>
                <w:sz w:val="22"/>
                <w:szCs w:val="22"/>
              </w:rPr>
              <w:t>3.</w:t>
            </w:r>
            <w:r w:rsidR="00B63F06">
              <w:rPr>
                <w:rFonts w:ascii="Verdana" w:hAnsi="Verdana"/>
                <w:sz w:val="22"/>
                <w:szCs w:val="22"/>
              </w:rPr>
              <w:t>33</w:t>
            </w:r>
            <w:r w:rsidRPr="003E1C24">
              <w:rPr>
                <w:rFonts w:ascii="Verdana" w:hAnsi="Verdana"/>
                <w:sz w:val="22"/>
                <w:szCs w:val="22"/>
              </w:rPr>
              <w:t>% pa</w:t>
            </w:r>
          </w:p>
        </w:tc>
        <w:tc>
          <w:tcPr>
            <w:tcW w:w="1610" w:type="dxa"/>
          </w:tcPr>
          <w:p w:rsidR="00517D6A" w:rsidRPr="003E1C24" w:rsidRDefault="00517D6A" w:rsidP="00B63F06">
            <w:pPr>
              <w:keepNext/>
              <w:spacing w:line="240" w:lineRule="auto"/>
              <w:rPr>
                <w:rFonts w:ascii="Verdana" w:hAnsi="Verdana"/>
                <w:sz w:val="22"/>
                <w:szCs w:val="22"/>
              </w:rPr>
            </w:pPr>
            <w:r w:rsidRPr="003E1C24">
              <w:rPr>
                <w:rFonts w:ascii="Verdana" w:hAnsi="Verdana"/>
                <w:sz w:val="22"/>
                <w:szCs w:val="22"/>
              </w:rPr>
              <w:t>4.</w:t>
            </w:r>
            <w:r w:rsidR="00B63F06">
              <w:rPr>
                <w:rFonts w:ascii="Verdana" w:hAnsi="Verdana"/>
                <w:sz w:val="22"/>
                <w:szCs w:val="22"/>
              </w:rPr>
              <w:t>4</w:t>
            </w:r>
            <w:r w:rsidRPr="003E1C24">
              <w:rPr>
                <w:rFonts w:ascii="Verdana" w:hAnsi="Verdana"/>
                <w:sz w:val="22"/>
                <w:szCs w:val="22"/>
              </w:rPr>
              <w:t>7% pa</w:t>
            </w:r>
          </w:p>
        </w:tc>
      </w:tr>
      <w:tr w:rsidR="00517D6A" w:rsidRPr="003E1C24" w:rsidTr="008879B5">
        <w:trPr>
          <w:cantSplit/>
        </w:trPr>
        <w:tc>
          <w:tcPr>
            <w:tcW w:w="5070" w:type="dxa"/>
          </w:tcPr>
          <w:p w:rsidR="00517D6A" w:rsidRPr="003E1C24" w:rsidRDefault="00517D6A" w:rsidP="008879B5">
            <w:pPr>
              <w:keepNext/>
              <w:spacing w:line="240" w:lineRule="auto"/>
              <w:rPr>
                <w:rFonts w:ascii="Verdana" w:hAnsi="Verdana"/>
                <w:sz w:val="22"/>
                <w:szCs w:val="22"/>
              </w:rPr>
            </w:pPr>
            <w:r w:rsidRPr="003E1C24">
              <w:rPr>
                <w:rFonts w:ascii="Verdana" w:hAnsi="Verdana"/>
                <w:sz w:val="22"/>
                <w:szCs w:val="22"/>
              </w:rPr>
              <w:t xml:space="preserve">Average income in year 30 </w:t>
            </w:r>
          </w:p>
        </w:tc>
        <w:tc>
          <w:tcPr>
            <w:tcW w:w="1842" w:type="dxa"/>
          </w:tcPr>
          <w:p w:rsidR="008879B5" w:rsidRDefault="00517D6A" w:rsidP="00B63F06">
            <w:pPr>
              <w:keepNext/>
              <w:spacing w:line="240" w:lineRule="auto"/>
              <w:rPr>
                <w:rFonts w:ascii="Verdana" w:hAnsi="Verdana"/>
                <w:sz w:val="22"/>
                <w:szCs w:val="22"/>
              </w:rPr>
            </w:pPr>
            <w:r w:rsidRPr="003E1C24">
              <w:rPr>
                <w:rFonts w:ascii="Verdana" w:hAnsi="Verdana"/>
                <w:sz w:val="22"/>
                <w:szCs w:val="22"/>
              </w:rPr>
              <w:t>£</w:t>
            </w:r>
            <w:r w:rsidR="00731F82" w:rsidRPr="003E1C24">
              <w:rPr>
                <w:rFonts w:ascii="Verdana" w:hAnsi="Verdana"/>
                <w:sz w:val="22"/>
                <w:szCs w:val="22"/>
              </w:rPr>
              <w:t>5</w:t>
            </w:r>
            <w:r w:rsidR="00B63F06">
              <w:rPr>
                <w:rFonts w:ascii="Verdana" w:hAnsi="Verdana"/>
                <w:sz w:val="22"/>
                <w:szCs w:val="22"/>
              </w:rPr>
              <w:t>2</w:t>
            </w:r>
            <w:r w:rsidR="00A02B0D">
              <w:rPr>
                <w:rFonts w:ascii="Verdana" w:hAnsi="Verdana"/>
                <w:sz w:val="22"/>
                <w:szCs w:val="22"/>
              </w:rPr>
              <w:t>,</w:t>
            </w:r>
            <w:r w:rsidR="00B63F06">
              <w:rPr>
                <w:rFonts w:ascii="Verdana" w:hAnsi="Verdana"/>
                <w:sz w:val="22"/>
                <w:szCs w:val="22"/>
              </w:rPr>
              <w:t>1</w:t>
            </w:r>
            <w:r w:rsidR="00A02B0D">
              <w:rPr>
                <w:rFonts w:ascii="Verdana" w:hAnsi="Verdana"/>
                <w:sz w:val="22"/>
                <w:szCs w:val="22"/>
              </w:rPr>
              <w:t>00</w:t>
            </w:r>
            <w:r w:rsidRPr="003E1C24">
              <w:rPr>
                <w:rFonts w:ascii="Verdana" w:hAnsi="Verdana"/>
                <w:sz w:val="22"/>
                <w:szCs w:val="22"/>
              </w:rPr>
              <w:t xml:space="preserve"> </w:t>
            </w:r>
          </w:p>
        </w:tc>
        <w:tc>
          <w:tcPr>
            <w:tcW w:w="1610" w:type="dxa"/>
          </w:tcPr>
          <w:p w:rsidR="00517D6A" w:rsidRPr="003E1C24" w:rsidRDefault="00517D6A" w:rsidP="00B63F06">
            <w:pPr>
              <w:keepNext/>
              <w:spacing w:line="240" w:lineRule="auto"/>
              <w:rPr>
                <w:rFonts w:ascii="Verdana" w:hAnsi="Verdana"/>
                <w:sz w:val="22"/>
                <w:szCs w:val="22"/>
              </w:rPr>
            </w:pPr>
            <w:r w:rsidRPr="003E1C24">
              <w:rPr>
                <w:rFonts w:ascii="Verdana" w:hAnsi="Verdana"/>
                <w:sz w:val="22"/>
                <w:szCs w:val="22"/>
              </w:rPr>
              <w:t>£7</w:t>
            </w:r>
            <w:r w:rsidR="00B63F06">
              <w:rPr>
                <w:rFonts w:ascii="Verdana" w:hAnsi="Verdana"/>
                <w:sz w:val="22"/>
                <w:szCs w:val="22"/>
              </w:rPr>
              <w:t>1</w:t>
            </w:r>
            <w:r w:rsidRPr="003E1C24">
              <w:rPr>
                <w:rFonts w:ascii="Verdana" w:hAnsi="Verdana"/>
                <w:sz w:val="22"/>
                <w:szCs w:val="22"/>
              </w:rPr>
              <w:t>,</w:t>
            </w:r>
            <w:r w:rsidR="00B63F06">
              <w:rPr>
                <w:rFonts w:ascii="Verdana" w:hAnsi="Verdana"/>
                <w:sz w:val="22"/>
                <w:szCs w:val="22"/>
              </w:rPr>
              <w:t>7</w:t>
            </w:r>
            <w:r w:rsidRPr="003E1C24">
              <w:rPr>
                <w:rFonts w:ascii="Verdana" w:hAnsi="Verdana"/>
                <w:sz w:val="22"/>
                <w:szCs w:val="22"/>
              </w:rPr>
              <w:t xml:space="preserve">00 </w:t>
            </w:r>
          </w:p>
        </w:tc>
      </w:tr>
    </w:tbl>
    <w:p w:rsidR="00517D6A" w:rsidRPr="003E1C24" w:rsidRDefault="00517D6A" w:rsidP="00517D6A">
      <w:pPr>
        <w:spacing w:line="240" w:lineRule="auto"/>
        <w:rPr>
          <w:rFonts w:ascii="Verdana" w:hAnsi="Verdana"/>
          <w:sz w:val="18"/>
          <w:szCs w:val="18"/>
        </w:rPr>
      </w:pPr>
    </w:p>
    <w:p w:rsidR="00B63F06" w:rsidRDefault="00517D6A" w:rsidP="00B63F06">
      <w:pPr>
        <w:spacing w:after="240" w:line="240" w:lineRule="auto"/>
        <w:rPr>
          <w:rFonts w:ascii="Verdana" w:hAnsi="Verdana"/>
          <w:sz w:val="18"/>
          <w:szCs w:val="18"/>
        </w:rPr>
      </w:pPr>
      <w:r w:rsidRPr="003E1C24">
        <w:rPr>
          <w:rFonts w:ascii="Verdana" w:hAnsi="Verdana"/>
          <w:sz w:val="18"/>
          <w:szCs w:val="18"/>
        </w:rPr>
        <w:t xml:space="preserve">Using Modified Ready </w:t>
      </w:r>
      <w:proofErr w:type="spellStart"/>
      <w:r w:rsidRPr="003E1C24">
        <w:rPr>
          <w:rFonts w:ascii="Verdana" w:hAnsi="Verdana"/>
          <w:sz w:val="18"/>
          <w:szCs w:val="18"/>
        </w:rPr>
        <w:t>Reckoner</w:t>
      </w:r>
      <w:proofErr w:type="spellEnd"/>
      <w:r w:rsidRPr="003E1C24">
        <w:rPr>
          <w:rFonts w:ascii="Verdana" w:hAnsi="Verdana"/>
          <w:sz w:val="18"/>
          <w:szCs w:val="18"/>
        </w:rPr>
        <w:t xml:space="preserve">. </w:t>
      </w:r>
      <w:proofErr w:type="gramStart"/>
      <w:r w:rsidRPr="003E1C24">
        <w:rPr>
          <w:rFonts w:ascii="Verdana" w:hAnsi="Verdana"/>
          <w:sz w:val="18"/>
          <w:szCs w:val="18"/>
        </w:rPr>
        <w:t>All incomes at 2016 prices.</w:t>
      </w:r>
      <w:proofErr w:type="gramEnd"/>
      <w:r w:rsidRPr="003E1C24">
        <w:rPr>
          <w:rFonts w:ascii="Verdana" w:hAnsi="Verdana"/>
          <w:sz w:val="18"/>
          <w:szCs w:val="18"/>
        </w:rPr>
        <w:t xml:space="preserve"> </w:t>
      </w:r>
      <w:r w:rsidR="00B63F06">
        <w:rPr>
          <w:rFonts w:ascii="Verdana" w:hAnsi="Verdana"/>
          <w:sz w:val="18"/>
          <w:szCs w:val="18"/>
        </w:rPr>
        <w:t>Parameters set as in table A2.</w:t>
      </w:r>
    </w:p>
    <w:p w:rsidR="00517D6A" w:rsidRDefault="00517D6A" w:rsidP="00517D6A">
      <w:pPr>
        <w:spacing w:after="240" w:line="240" w:lineRule="auto"/>
        <w:rPr>
          <w:rFonts w:ascii="Verdana" w:hAnsi="Verdana"/>
          <w:sz w:val="18"/>
          <w:szCs w:val="18"/>
        </w:rPr>
      </w:pPr>
      <w:r w:rsidRPr="003E1C24">
        <w:rPr>
          <w:rFonts w:ascii="Verdana" w:hAnsi="Verdana"/>
          <w:sz w:val="18"/>
          <w:szCs w:val="18"/>
        </w:rPr>
        <w:t xml:space="preserve">Average real annual increase incomes based on all </w:t>
      </w:r>
      <w:r w:rsidR="00034FB5">
        <w:rPr>
          <w:rFonts w:ascii="Verdana" w:hAnsi="Verdana"/>
          <w:sz w:val="18"/>
          <w:szCs w:val="18"/>
        </w:rPr>
        <w:t>former student</w:t>
      </w:r>
      <w:r w:rsidRPr="003E1C24">
        <w:rPr>
          <w:rFonts w:ascii="Verdana" w:hAnsi="Verdana"/>
          <w:sz w:val="18"/>
          <w:szCs w:val="18"/>
        </w:rPr>
        <w:t xml:space="preserve"> simulations with non zero incomes in periods 1 and 30, then taking the 29</w:t>
      </w:r>
      <w:r w:rsidRPr="003E1C24">
        <w:rPr>
          <w:rFonts w:ascii="Verdana" w:hAnsi="Verdana"/>
          <w:sz w:val="18"/>
          <w:szCs w:val="18"/>
          <w:vertAlign w:val="superscript"/>
        </w:rPr>
        <w:t>th</w:t>
      </w:r>
      <w:r w:rsidRPr="003E1C24">
        <w:rPr>
          <w:rFonts w:ascii="Verdana" w:hAnsi="Verdana"/>
          <w:sz w:val="18"/>
          <w:szCs w:val="18"/>
        </w:rPr>
        <w:t xml:space="preserve"> root of (average incomes year </w:t>
      </w:r>
      <w:r w:rsidR="00B63F06">
        <w:rPr>
          <w:rFonts w:ascii="Verdana" w:hAnsi="Verdana"/>
          <w:sz w:val="18"/>
          <w:szCs w:val="18"/>
        </w:rPr>
        <w:t>30 / average incomes year 1</w:t>
      </w:r>
      <w:r w:rsidRPr="003E1C24">
        <w:rPr>
          <w:rFonts w:ascii="Verdana" w:hAnsi="Verdana"/>
          <w:sz w:val="18"/>
          <w:szCs w:val="18"/>
        </w:rPr>
        <w:t xml:space="preserve">) both at 2016 (year 1) prices. </w:t>
      </w:r>
    </w:p>
    <w:p w:rsidR="00254345" w:rsidRPr="003E1C24" w:rsidRDefault="00254345" w:rsidP="00254345">
      <w:pPr>
        <w:spacing w:after="240" w:line="240" w:lineRule="auto"/>
        <w:rPr>
          <w:rFonts w:ascii="Verdana" w:hAnsi="Verdana"/>
          <w:sz w:val="18"/>
          <w:szCs w:val="18"/>
        </w:rPr>
      </w:pPr>
      <w:r>
        <w:rPr>
          <w:rFonts w:ascii="Verdana" w:hAnsi="Verdana"/>
          <w:sz w:val="18"/>
          <w:szCs w:val="18"/>
        </w:rPr>
        <w:t xml:space="preserve">The RAB values </w:t>
      </w:r>
      <w:r w:rsidR="00B63F06">
        <w:rPr>
          <w:rFonts w:ascii="Verdana" w:hAnsi="Verdana"/>
          <w:sz w:val="18"/>
          <w:szCs w:val="18"/>
        </w:rPr>
        <w:t xml:space="preserve">and incomes </w:t>
      </w:r>
      <w:r>
        <w:rPr>
          <w:rFonts w:ascii="Verdana" w:hAnsi="Verdana"/>
          <w:sz w:val="18"/>
          <w:szCs w:val="18"/>
        </w:rPr>
        <w:t>are adjusted to the male female proportions in the population</w:t>
      </w:r>
      <w:r w:rsidR="00B63F06">
        <w:rPr>
          <w:rFonts w:ascii="Verdana" w:hAnsi="Verdana"/>
          <w:sz w:val="18"/>
          <w:szCs w:val="18"/>
        </w:rPr>
        <w:t>.</w:t>
      </w:r>
    </w:p>
    <w:p w:rsidR="00517D6A" w:rsidRPr="003E1C24" w:rsidRDefault="00517D6A" w:rsidP="00517D6A">
      <w:pPr>
        <w:spacing w:after="240"/>
        <w:rPr>
          <w:rFonts w:ascii="Verdana" w:hAnsi="Verdana"/>
          <w:b/>
          <w:sz w:val="22"/>
          <w:szCs w:val="22"/>
        </w:rPr>
      </w:pPr>
      <w:r w:rsidRPr="003E1C24">
        <w:rPr>
          <w:rFonts w:ascii="Verdana" w:hAnsi="Verdana"/>
          <w:b/>
          <w:sz w:val="22"/>
          <w:szCs w:val="22"/>
        </w:rPr>
        <w:t xml:space="preserve">The ‘break-even’ RAB </w:t>
      </w:r>
    </w:p>
    <w:p w:rsidR="00517D6A" w:rsidRPr="003E1C24" w:rsidRDefault="00517D6A" w:rsidP="00517D6A">
      <w:pPr>
        <w:numPr>
          <w:ilvl w:val="0"/>
          <w:numId w:val="1"/>
        </w:numPr>
        <w:spacing w:after="240"/>
        <w:rPr>
          <w:rFonts w:ascii="Verdana" w:hAnsi="Verdana"/>
          <w:sz w:val="22"/>
          <w:szCs w:val="22"/>
          <w:u w:val="single"/>
        </w:rPr>
      </w:pPr>
      <w:r w:rsidRPr="003E1C24">
        <w:rPr>
          <w:rFonts w:ascii="Verdana" w:hAnsi="Verdana"/>
          <w:sz w:val="22"/>
          <w:szCs w:val="22"/>
        </w:rPr>
        <w:t>The ‘break-even’ RAB is the RAB where the savings in public expenditure</w:t>
      </w:r>
      <w:r w:rsidR="00B63F06">
        <w:rPr>
          <w:rFonts w:ascii="Verdana" w:hAnsi="Verdana"/>
          <w:sz w:val="22"/>
          <w:szCs w:val="22"/>
        </w:rPr>
        <w:t xml:space="preserve"> on tuition </w:t>
      </w:r>
      <w:r w:rsidRPr="003E1C24">
        <w:rPr>
          <w:rFonts w:ascii="Verdana" w:hAnsi="Verdana"/>
          <w:sz w:val="22"/>
          <w:szCs w:val="22"/>
        </w:rPr>
        <w:t xml:space="preserve">in moving to the new system are balanced by the costs. </w:t>
      </w:r>
      <w:r w:rsidR="00A8122F">
        <w:rPr>
          <w:rFonts w:ascii="Verdana" w:hAnsi="Verdana"/>
          <w:sz w:val="22"/>
          <w:szCs w:val="22"/>
        </w:rPr>
        <w:t xml:space="preserve">Note that this figure does not take into account any change in the costs of maintenance grants and loans, though when calculating the income growth consistent with the break even RAB (table A2) it is assumed that a maintenance loan of £4000 pa is also taken out. </w:t>
      </w:r>
      <w:r w:rsidRPr="003E1C24">
        <w:rPr>
          <w:rFonts w:ascii="Verdana" w:hAnsi="Verdana"/>
          <w:sz w:val="22"/>
          <w:szCs w:val="22"/>
        </w:rPr>
        <w:t>Table A</w:t>
      </w:r>
      <w:r w:rsidR="000A0127">
        <w:rPr>
          <w:rFonts w:ascii="Verdana" w:hAnsi="Verdana"/>
          <w:sz w:val="22"/>
          <w:szCs w:val="22"/>
        </w:rPr>
        <w:t>4</w:t>
      </w:r>
      <w:r w:rsidRPr="003E1C24">
        <w:rPr>
          <w:rFonts w:ascii="Verdana" w:hAnsi="Verdana"/>
          <w:sz w:val="22"/>
          <w:szCs w:val="22"/>
        </w:rPr>
        <w:t xml:space="preserve"> shows the assumptions behind the calculation, Table A</w:t>
      </w:r>
      <w:r w:rsidR="000A0127">
        <w:rPr>
          <w:rFonts w:ascii="Verdana" w:hAnsi="Verdana"/>
          <w:sz w:val="22"/>
          <w:szCs w:val="22"/>
        </w:rPr>
        <w:t>5</w:t>
      </w:r>
      <w:r w:rsidRPr="003E1C24">
        <w:rPr>
          <w:rFonts w:ascii="Verdana" w:hAnsi="Verdana"/>
          <w:sz w:val="22"/>
          <w:szCs w:val="22"/>
        </w:rPr>
        <w:t xml:space="preserve"> shows how the RAB for the current system was calculated, and Table A</w:t>
      </w:r>
      <w:r w:rsidR="00EE378A">
        <w:rPr>
          <w:rFonts w:ascii="Verdana" w:hAnsi="Verdana"/>
          <w:sz w:val="22"/>
          <w:szCs w:val="22"/>
        </w:rPr>
        <w:t>6</w:t>
      </w:r>
      <w:r w:rsidRPr="003E1C24">
        <w:rPr>
          <w:rFonts w:ascii="Verdana" w:hAnsi="Verdana"/>
          <w:sz w:val="22"/>
          <w:szCs w:val="22"/>
        </w:rPr>
        <w:t xml:space="preserve"> shows the RAB values for the current and new system</w:t>
      </w:r>
      <w:r w:rsidR="009F3ECF">
        <w:rPr>
          <w:rFonts w:ascii="Verdana" w:hAnsi="Verdana"/>
          <w:sz w:val="22"/>
          <w:szCs w:val="22"/>
        </w:rPr>
        <w:t>s</w:t>
      </w:r>
      <w:r w:rsidRPr="003E1C24">
        <w:rPr>
          <w:rFonts w:ascii="Verdana" w:hAnsi="Verdana"/>
          <w:sz w:val="22"/>
          <w:szCs w:val="22"/>
        </w:rPr>
        <w:t xml:space="preserve">, which are used in the break-even </w:t>
      </w:r>
      <w:r w:rsidR="009F3ECF">
        <w:rPr>
          <w:rFonts w:ascii="Verdana" w:hAnsi="Verdana"/>
          <w:sz w:val="22"/>
          <w:szCs w:val="22"/>
        </w:rPr>
        <w:t xml:space="preserve">RAB </w:t>
      </w:r>
      <w:r w:rsidRPr="003E1C24">
        <w:rPr>
          <w:rFonts w:ascii="Verdana" w:hAnsi="Verdana"/>
          <w:sz w:val="22"/>
          <w:szCs w:val="22"/>
        </w:rPr>
        <w:t>calculation.</w:t>
      </w:r>
    </w:p>
    <w:p w:rsidR="00012EE8" w:rsidRDefault="00012EE8">
      <w:pPr>
        <w:spacing w:after="200" w:line="276" w:lineRule="auto"/>
        <w:rPr>
          <w:rFonts w:ascii="Verdana" w:hAnsi="Verdana"/>
          <w:sz w:val="22"/>
          <w:szCs w:val="22"/>
          <w:u w:val="single"/>
        </w:rPr>
      </w:pPr>
      <w:r>
        <w:rPr>
          <w:rFonts w:ascii="Verdana" w:hAnsi="Verdana"/>
          <w:sz w:val="22"/>
          <w:szCs w:val="22"/>
          <w:u w:val="single"/>
        </w:rPr>
        <w:br w:type="page"/>
      </w:r>
    </w:p>
    <w:p w:rsidR="00517D6A" w:rsidRPr="003E1C24" w:rsidRDefault="00517D6A" w:rsidP="00517D6A">
      <w:pPr>
        <w:spacing w:after="240"/>
        <w:rPr>
          <w:rFonts w:ascii="Verdana" w:hAnsi="Verdana"/>
          <w:sz w:val="22"/>
          <w:szCs w:val="22"/>
          <w:u w:val="single"/>
        </w:rPr>
      </w:pPr>
      <w:r w:rsidRPr="003E1C24">
        <w:rPr>
          <w:rFonts w:ascii="Verdana" w:hAnsi="Verdana"/>
          <w:sz w:val="22"/>
          <w:szCs w:val="22"/>
          <w:u w:val="single"/>
        </w:rPr>
        <w:lastRenderedPageBreak/>
        <w:t>Table A</w:t>
      </w:r>
      <w:r w:rsidR="00EE378A">
        <w:rPr>
          <w:rFonts w:ascii="Verdana" w:hAnsi="Verdana"/>
          <w:sz w:val="22"/>
          <w:szCs w:val="22"/>
          <w:u w:val="single"/>
        </w:rPr>
        <w:t>4</w:t>
      </w:r>
      <w:r w:rsidRPr="003E1C24">
        <w:rPr>
          <w:rFonts w:ascii="Verdana" w:hAnsi="Verdana"/>
          <w:sz w:val="22"/>
          <w:szCs w:val="22"/>
          <w:u w:val="single"/>
        </w:rPr>
        <w:t xml:space="preserve"> – Break-even RAB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560"/>
        <w:gridCol w:w="3452"/>
      </w:tblGrid>
      <w:tr w:rsidR="00517D6A" w:rsidRPr="003E1C24" w:rsidTr="008879B5">
        <w:tc>
          <w:tcPr>
            <w:tcW w:w="5070" w:type="dxa"/>
            <w:gridSpan w:val="2"/>
          </w:tcPr>
          <w:p w:rsidR="00517D6A" w:rsidRPr="003E1C24" w:rsidRDefault="00517D6A" w:rsidP="008879B5">
            <w:pPr>
              <w:spacing w:line="240" w:lineRule="auto"/>
              <w:rPr>
                <w:rFonts w:ascii="Verdana" w:hAnsi="Verdana"/>
                <w:b/>
                <w:sz w:val="20"/>
              </w:rPr>
            </w:pPr>
            <w:r w:rsidRPr="003E1C24">
              <w:rPr>
                <w:rFonts w:ascii="Verdana" w:hAnsi="Verdana"/>
                <w:b/>
                <w:sz w:val="20"/>
              </w:rPr>
              <w:t>Assumption</w:t>
            </w:r>
          </w:p>
        </w:tc>
        <w:tc>
          <w:tcPr>
            <w:tcW w:w="3452" w:type="dxa"/>
          </w:tcPr>
          <w:p w:rsidR="00517D6A" w:rsidRPr="003E1C24" w:rsidRDefault="00517D6A" w:rsidP="008879B5">
            <w:pPr>
              <w:spacing w:line="240" w:lineRule="auto"/>
              <w:rPr>
                <w:rFonts w:ascii="Verdana" w:hAnsi="Verdana"/>
                <w:b/>
                <w:sz w:val="20"/>
              </w:rPr>
            </w:pPr>
            <w:r w:rsidRPr="003E1C24">
              <w:rPr>
                <w:rFonts w:ascii="Verdana" w:hAnsi="Verdana"/>
                <w:b/>
                <w:sz w:val="20"/>
              </w:rPr>
              <w:t>Source</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Cut in HEFCE grant</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£2.8 billion</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Browne Review (page 44)</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Funded students (completers)</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 xml:space="preserve">809,000 </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HEFCE HESES survey</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Non-completing students</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88,000</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HEFCE HESES survey</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Grant cut per student</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£3461</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Current fee</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£3290</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 xml:space="preserve">Growth in current fee </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5%</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Current fee in 2012</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£3455</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 xml:space="preserve">Current RAB </w:t>
            </w:r>
            <w:proofErr w:type="gramStart"/>
            <w:r w:rsidRPr="003E1C24">
              <w:rPr>
                <w:rFonts w:ascii="Verdana" w:hAnsi="Verdana"/>
                <w:sz w:val="20"/>
              </w:rPr>
              <w:t>= ?</w:t>
            </w:r>
            <w:proofErr w:type="gramEnd"/>
            <w:r w:rsidRPr="003E1C24">
              <w:rPr>
                <w:rFonts w:ascii="Verdana" w:hAnsi="Verdana"/>
                <w:sz w:val="20"/>
              </w:rPr>
              <w:t xml:space="preserve"> x new RAB</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 = 0.54</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See Table A6 below</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 students on max fee</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95%</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Average lower fee</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£6000</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Average new fee</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£8850</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Non-completers as % of completers</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10.9%</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 xml:space="preserve">HEFCE HESES survey </w:t>
            </w:r>
          </w:p>
        </w:tc>
      </w:tr>
      <w:tr w:rsidR="00517D6A" w:rsidRPr="003E1C24" w:rsidTr="008879B5">
        <w:tc>
          <w:tcPr>
            <w:tcW w:w="3510" w:type="dxa"/>
          </w:tcPr>
          <w:p w:rsidR="00517D6A" w:rsidRPr="003E1C24" w:rsidRDefault="00517D6A" w:rsidP="008879B5">
            <w:pPr>
              <w:spacing w:line="240" w:lineRule="auto"/>
              <w:rPr>
                <w:rFonts w:ascii="Verdana" w:hAnsi="Verdana"/>
                <w:sz w:val="20"/>
              </w:rPr>
            </w:pPr>
            <w:r w:rsidRPr="003E1C24">
              <w:rPr>
                <w:rFonts w:ascii="Verdana" w:hAnsi="Verdana"/>
                <w:sz w:val="20"/>
              </w:rPr>
              <w:t>% of fee collected for non-completers</w:t>
            </w:r>
          </w:p>
        </w:tc>
        <w:tc>
          <w:tcPr>
            <w:tcW w:w="1560" w:type="dxa"/>
          </w:tcPr>
          <w:p w:rsidR="00517D6A" w:rsidRPr="003E1C24" w:rsidRDefault="00517D6A" w:rsidP="008879B5">
            <w:pPr>
              <w:spacing w:line="240" w:lineRule="auto"/>
              <w:rPr>
                <w:rFonts w:ascii="Verdana" w:hAnsi="Verdana"/>
                <w:sz w:val="20"/>
              </w:rPr>
            </w:pPr>
            <w:r w:rsidRPr="003E1C24">
              <w:rPr>
                <w:rFonts w:ascii="Verdana" w:hAnsi="Verdana"/>
                <w:sz w:val="20"/>
              </w:rPr>
              <w:t>50%</w:t>
            </w:r>
          </w:p>
        </w:tc>
        <w:tc>
          <w:tcPr>
            <w:tcW w:w="3452" w:type="dxa"/>
          </w:tcPr>
          <w:p w:rsidR="00517D6A" w:rsidRPr="003E1C24" w:rsidRDefault="00517D6A" w:rsidP="008879B5">
            <w:pPr>
              <w:spacing w:line="240" w:lineRule="auto"/>
              <w:rPr>
                <w:rFonts w:ascii="Verdana" w:hAnsi="Verdana"/>
                <w:sz w:val="20"/>
              </w:rPr>
            </w:pPr>
            <w:r w:rsidRPr="003E1C24">
              <w:rPr>
                <w:rFonts w:ascii="Verdana" w:hAnsi="Verdana"/>
                <w:sz w:val="20"/>
              </w:rPr>
              <w:t>Rough estimate, depends on when student leaves</w:t>
            </w:r>
          </w:p>
        </w:tc>
      </w:tr>
      <w:tr w:rsidR="00517D6A" w:rsidRPr="003E1C24" w:rsidTr="008879B5">
        <w:tc>
          <w:tcPr>
            <w:tcW w:w="3510" w:type="dxa"/>
          </w:tcPr>
          <w:p w:rsidR="00517D6A" w:rsidRPr="003E1C24" w:rsidRDefault="00517D6A" w:rsidP="008879B5">
            <w:pPr>
              <w:spacing w:line="240" w:lineRule="auto"/>
              <w:rPr>
                <w:rFonts w:ascii="Verdana" w:hAnsi="Verdana"/>
                <w:b/>
                <w:sz w:val="20"/>
              </w:rPr>
            </w:pPr>
            <w:r w:rsidRPr="003E1C24">
              <w:rPr>
                <w:rFonts w:ascii="Verdana" w:hAnsi="Verdana"/>
                <w:b/>
                <w:sz w:val="20"/>
              </w:rPr>
              <w:t>Break-even RAB</w:t>
            </w:r>
          </w:p>
        </w:tc>
        <w:tc>
          <w:tcPr>
            <w:tcW w:w="1560" w:type="dxa"/>
          </w:tcPr>
          <w:p w:rsidR="00517D6A" w:rsidRPr="003E1C24" w:rsidRDefault="00517D6A" w:rsidP="008879B5">
            <w:pPr>
              <w:spacing w:line="240" w:lineRule="auto"/>
              <w:rPr>
                <w:rFonts w:ascii="Verdana" w:hAnsi="Verdana"/>
                <w:b/>
                <w:sz w:val="20"/>
              </w:rPr>
            </w:pPr>
            <w:r w:rsidRPr="003E1C24">
              <w:rPr>
                <w:rFonts w:ascii="Verdana" w:hAnsi="Verdana"/>
                <w:b/>
                <w:sz w:val="20"/>
              </w:rPr>
              <w:t>47.0%</w:t>
            </w:r>
          </w:p>
        </w:tc>
        <w:tc>
          <w:tcPr>
            <w:tcW w:w="3452" w:type="dxa"/>
          </w:tcPr>
          <w:p w:rsidR="00517D6A" w:rsidRPr="003E1C24" w:rsidRDefault="00517D6A" w:rsidP="008879B5">
            <w:pPr>
              <w:spacing w:line="240" w:lineRule="auto"/>
              <w:rPr>
                <w:rFonts w:ascii="Verdana" w:hAnsi="Verdana"/>
                <w:sz w:val="20"/>
              </w:rPr>
            </w:pPr>
          </w:p>
        </w:tc>
      </w:tr>
      <w:tr w:rsidR="00517D6A" w:rsidRPr="003E1C24" w:rsidTr="008879B5">
        <w:tc>
          <w:tcPr>
            <w:tcW w:w="3510" w:type="dxa"/>
          </w:tcPr>
          <w:p w:rsidR="00517D6A" w:rsidRPr="003E1C24" w:rsidRDefault="00517D6A" w:rsidP="008879B5">
            <w:pPr>
              <w:spacing w:line="240" w:lineRule="auto"/>
              <w:rPr>
                <w:rFonts w:ascii="Verdana" w:hAnsi="Verdana"/>
                <w:b/>
                <w:sz w:val="20"/>
              </w:rPr>
            </w:pPr>
            <w:r w:rsidRPr="003E1C24">
              <w:rPr>
                <w:rFonts w:ascii="Verdana" w:hAnsi="Verdana"/>
                <w:b/>
                <w:sz w:val="20"/>
              </w:rPr>
              <w:t>Increase in university income</w:t>
            </w:r>
          </w:p>
        </w:tc>
        <w:tc>
          <w:tcPr>
            <w:tcW w:w="1560" w:type="dxa"/>
          </w:tcPr>
          <w:p w:rsidR="008912FC" w:rsidRDefault="00517D6A">
            <w:pPr>
              <w:spacing w:line="240" w:lineRule="auto"/>
              <w:rPr>
                <w:rFonts w:ascii="Verdana" w:hAnsi="Verdana"/>
                <w:b/>
                <w:sz w:val="20"/>
              </w:rPr>
            </w:pPr>
            <w:r w:rsidRPr="003E1C24">
              <w:rPr>
                <w:rFonts w:ascii="Verdana" w:hAnsi="Verdana"/>
                <w:b/>
                <w:sz w:val="20"/>
              </w:rPr>
              <w:t>£2,</w:t>
            </w:r>
            <w:r w:rsidR="00134E95">
              <w:rPr>
                <w:rFonts w:ascii="Verdana" w:hAnsi="Verdana"/>
                <w:b/>
                <w:sz w:val="20"/>
              </w:rPr>
              <w:t>200</w:t>
            </w:r>
          </w:p>
        </w:tc>
        <w:tc>
          <w:tcPr>
            <w:tcW w:w="3452" w:type="dxa"/>
          </w:tcPr>
          <w:p w:rsidR="00517D6A" w:rsidRPr="003E1C24" w:rsidRDefault="00517D6A" w:rsidP="008879B5">
            <w:pPr>
              <w:spacing w:line="240" w:lineRule="auto"/>
              <w:rPr>
                <w:rFonts w:ascii="Verdana" w:hAnsi="Verdana"/>
                <w:sz w:val="20"/>
              </w:rPr>
            </w:pPr>
          </w:p>
        </w:tc>
      </w:tr>
    </w:tbl>
    <w:p w:rsidR="00EE378A" w:rsidRDefault="00EE378A" w:rsidP="00517D6A">
      <w:pPr>
        <w:spacing w:after="240"/>
        <w:rPr>
          <w:rFonts w:ascii="Verdana" w:hAnsi="Verdana"/>
          <w:sz w:val="22"/>
          <w:szCs w:val="22"/>
          <w:u w:val="single"/>
        </w:rPr>
      </w:pPr>
    </w:p>
    <w:p w:rsidR="00517D6A" w:rsidRPr="003E1C24" w:rsidRDefault="00517D6A" w:rsidP="00517D6A">
      <w:pPr>
        <w:spacing w:after="240"/>
        <w:rPr>
          <w:rFonts w:ascii="Verdana" w:hAnsi="Verdana"/>
          <w:sz w:val="22"/>
          <w:szCs w:val="22"/>
          <w:u w:val="single"/>
        </w:rPr>
      </w:pPr>
      <w:r w:rsidRPr="003E1C24">
        <w:rPr>
          <w:rFonts w:ascii="Verdana" w:hAnsi="Verdana"/>
          <w:sz w:val="22"/>
          <w:szCs w:val="22"/>
          <w:u w:val="single"/>
        </w:rPr>
        <w:t>Table A</w:t>
      </w:r>
      <w:r w:rsidR="00EE378A">
        <w:rPr>
          <w:rFonts w:ascii="Verdana" w:hAnsi="Verdana"/>
          <w:sz w:val="22"/>
          <w:szCs w:val="22"/>
          <w:u w:val="single"/>
        </w:rPr>
        <w:t>5</w:t>
      </w:r>
      <w:r w:rsidRPr="003E1C24">
        <w:rPr>
          <w:rFonts w:ascii="Verdana" w:hAnsi="Verdana"/>
          <w:sz w:val="22"/>
          <w:szCs w:val="22"/>
          <w:u w:val="single"/>
        </w:rPr>
        <w:t>: Parameters for RAB calculations of current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418"/>
        <w:gridCol w:w="4161"/>
      </w:tblGrid>
      <w:tr w:rsidR="00517D6A" w:rsidRPr="003E1C24" w:rsidTr="008879B5">
        <w:tc>
          <w:tcPr>
            <w:tcW w:w="2943" w:type="dxa"/>
          </w:tcPr>
          <w:p w:rsidR="00517D6A" w:rsidRPr="003E1C24" w:rsidRDefault="00517D6A" w:rsidP="008879B5">
            <w:pPr>
              <w:spacing w:line="240" w:lineRule="auto"/>
              <w:rPr>
                <w:rFonts w:ascii="Verdana" w:hAnsi="Verdana"/>
                <w:b/>
                <w:sz w:val="20"/>
              </w:rPr>
            </w:pPr>
            <w:r w:rsidRPr="003E1C24">
              <w:rPr>
                <w:rFonts w:ascii="Verdana" w:hAnsi="Verdana"/>
                <w:b/>
                <w:sz w:val="20"/>
              </w:rPr>
              <w:t>Parameter/assumption</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Value</w:t>
            </w:r>
          </w:p>
        </w:tc>
        <w:tc>
          <w:tcPr>
            <w:tcW w:w="4161" w:type="dxa"/>
          </w:tcPr>
          <w:p w:rsidR="00517D6A" w:rsidRPr="003E1C24" w:rsidRDefault="00517D6A" w:rsidP="008879B5">
            <w:pPr>
              <w:spacing w:line="240" w:lineRule="auto"/>
              <w:rPr>
                <w:rFonts w:ascii="Verdana" w:hAnsi="Verdana"/>
                <w:b/>
                <w:sz w:val="20"/>
              </w:rPr>
            </w:pPr>
            <w:r w:rsidRPr="003E1C24">
              <w:rPr>
                <w:rFonts w:ascii="Verdana" w:hAnsi="Verdana"/>
                <w:b/>
                <w:sz w:val="20"/>
              </w:rPr>
              <w:t>Comment</w:t>
            </w: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Course length</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3 years</w:t>
            </w:r>
          </w:p>
        </w:tc>
        <w:tc>
          <w:tcPr>
            <w:tcW w:w="4161"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b/>
                <w:sz w:val="20"/>
              </w:rPr>
            </w:pPr>
            <w:r w:rsidRPr="003E1C24">
              <w:rPr>
                <w:rFonts w:ascii="Verdana" w:hAnsi="Verdana"/>
                <w:b/>
                <w:sz w:val="20"/>
              </w:rPr>
              <w:t>Loan amount per year</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£7455</w:t>
            </w:r>
          </w:p>
        </w:tc>
        <w:tc>
          <w:tcPr>
            <w:tcW w:w="4161" w:type="dxa"/>
          </w:tcPr>
          <w:p w:rsidR="00517D6A" w:rsidRPr="003E1C24" w:rsidRDefault="00517D6A" w:rsidP="00EE378A">
            <w:pPr>
              <w:spacing w:line="240" w:lineRule="auto"/>
              <w:rPr>
                <w:rFonts w:ascii="Verdana" w:hAnsi="Verdana"/>
                <w:b/>
                <w:sz w:val="20"/>
              </w:rPr>
            </w:pPr>
            <w:r w:rsidRPr="003E1C24">
              <w:rPr>
                <w:rFonts w:ascii="Verdana" w:hAnsi="Verdana"/>
                <w:b/>
                <w:sz w:val="20"/>
              </w:rPr>
              <w:t xml:space="preserve">£4000 maintenance + £3,455 fee </w:t>
            </w:r>
          </w:p>
        </w:tc>
      </w:tr>
      <w:tr w:rsidR="00517D6A" w:rsidRPr="003E1C24" w:rsidTr="008879B5">
        <w:tc>
          <w:tcPr>
            <w:tcW w:w="2943" w:type="dxa"/>
          </w:tcPr>
          <w:p w:rsidR="00517D6A" w:rsidRPr="003E1C24" w:rsidRDefault="00517D6A" w:rsidP="008879B5">
            <w:pPr>
              <w:spacing w:line="240" w:lineRule="auto"/>
              <w:rPr>
                <w:rFonts w:ascii="Verdana" w:hAnsi="Verdana"/>
                <w:b/>
                <w:sz w:val="20"/>
              </w:rPr>
            </w:pPr>
            <w:r w:rsidRPr="003E1C24">
              <w:rPr>
                <w:rFonts w:ascii="Verdana" w:hAnsi="Verdana"/>
                <w:b/>
                <w:sz w:val="20"/>
              </w:rPr>
              <w:t>Repayment term</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25 years</w:t>
            </w:r>
          </w:p>
        </w:tc>
        <w:tc>
          <w:tcPr>
            <w:tcW w:w="4161"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sz w:val="20"/>
              </w:rPr>
            </w:pPr>
            <w:r w:rsidRPr="003E1C24">
              <w:rPr>
                <w:rFonts w:ascii="Verdana" w:hAnsi="Verdana"/>
                <w:sz w:val="20"/>
              </w:rPr>
              <w:t>Repay rate</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9%</w:t>
            </w:r>
          </w:p>
        </w:tc>
        <w:tc>
          <w:tcPr>
            <w:tcW w:w="4161"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Discount Rate</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2.20%</w:t>
            </w:r>
          </w:p>
        </w:tc>
        <w:tc>
          <w:tcPr>
            <w:tcW w:w="4161" w:type="dxa"/>
          </w:tcPr>
          <w:p w:rsidR="00517D6A" w:rsidRPr="003E1C24" w:rsidRDefault="00517D6A" w:rsidP="008879B5">
            <w:pPr>
              <w:spacing w:line="240" w:lineRule="auto"/>
              <w:rPr>
                <w:rFonts w:ascii="Verdana" w:hAnsi="Verdana"/>
                <w:sz w:val="20"/>
              </w:rPr>
            </w:pPr>
            <w:r w:rsidRPr="003E1C24">
              <w:rPr>
                <w:rFonts w:ascii="Verdana" w:hAnsi="Verdana"/>
                <w:sz w:val="20"/>
              </w:rPr>
              <w:t>Cost of government borrowing</w:t>
            </w:r>
          </w:p>
        </w:tc>
      </w:tr>
      <w:tr w:rsidR="00517D6A" w:rsidRPr="003E1C24" w:rsidTr="008879B5">
        <w:tc>
          <w:tcPr>
            <w:tcW w:w="2943" w:type="dxa"/>
          </w:tcPr>
          <w:p w:rsidR="00517D6A" w:rsidRPr="003E1C24" w:rsidRDefault="00517D6A" w:rsidP="008879B5">
            <w:pPr>
              <w:spacing w:line="240" w:lineRule="auto"/>
              <w:rPr>
                <w:rFonts w:ascii="Verdana" w:hAnsi="Verdana" w:cs="Arial"/>
                <w:b/>
                <w:bCs/>
                <w:sz w:val="20"/>
              </w:rPr>
            </w:pPr>
            <w:r w:rsidRPr="003E1C24">
              <w:rPr>
                <w:rFonts w:ascii="Verdana" w:hAnsi="Verdana" w:cs="Arial"/>
                <w:b/>
                <w:bCs/>
                <w:sz w:val="20"/>
              </w:rPr>
              <w:t>Real Interest</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0.00%</w:t>
            </w:r>
          </w:p>
        </w:tc>
        <w:tc>
          <w:tcPr>
            <w:tcW w:w="4161" w:type="dxa"/>
          </w:tcPr>
          <w:p w:rsidR="00517D6A" w:rsidRPr="003E1C24" w:rsidRDefault="00517D6A" w:rsidP="008879B5">
            <w:pPr>
              <w:spacing w:line="240" w:lineRule="auto"/>
              <w:rPr>
                <w:rFonts w:ascii="Verdana" w:hAnsi="Verdana"/>
                <w:b/>
                <w:sz w:val="20"/>
              </w:rPr>
            </w:pP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Inflation</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2.75%</w:t>
            </w:r>
          </w:p>
        </w:tc>
        <w:tc>
          <w:tcPr>
            <w:tcW w:w="4161" w:type="dxa"/>
          </w:tcPr>
          <w:p w:rsidR="00517D6A" w:rsidRPr="003E1C24" w:rsidRDefault="00517D6A" w:rsidP="008879B5">
            <w:pPr>
              <w:spacing w:line="240" w:lineRule="auto"/>
              <w:rPr>
                <w:rFonts w:ascii="Verdana" w:hAnsi="Verdana"/>
                <w:sz w:val="20"/>
              </w:rPr>
            </w:pP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Low Income Protection Pre-SRDD (Y/N)</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N</w:t>
            </w:r>
          </w:p>
        </w:tc>
        <w:tc>
          <w:tcPr>
            <w:tcW w:w="4161" w:type="dxa"/>
          </w:tcPr>
          <w:p w:rsidR="00517D6A" w:rsidRPr="003E1C24" w:rsidRDefault="00517D6A" w:rsidP="00EE378A">
            <w:pPr>
              <w:spacing w:line="240" w:lineRule="auto"/>
              <w:rPr>
                <w:rFonts w:ascii="Verdana" w:hAnsi="Verdana"/>
                <w:sz w:val="20"/>
              </w:rPr>
            </w:pPr>
            <w:r w:rsidRPr="003E1C24">
              <w:rPr>
                <w:rFonts w:ascii="Verdana" w:hAnsi="Verdana"/>
                <w:sz w:val="20"/>
              </w:rPr>
              <w:t xml:space="preserve">Not relevant </w:t>
            </w: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Low Income Protection Post-SRDD (Y/N)</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Y</w:t>
            </w:r>
          </w:p>
        </w:tc>
        <w:tc>
          <w:tcPr>
            <w:tcW w:w="4161" w:type="dxa"/>
          </w:tcPr>
          <w:p w:rsidR="00517D6A" w:rsidRPr="003E1C24" w:rsidRDefault="00517D6A" w:rsidP="008879B5">
            <w:pPr>
              <w:spacing w:line="240" w:lineRule="auto"/>
              <w:rPr>
                <w:rFonts w:ascii="Verdana" w:hAnsi="Verdana"/>
                <w:sz w:val="20"/>
              </w:rPr>
            </w:pPr>
            <w:r w:rsidRPr="003E1C24">
              <w:rPr>
                <w:rFonts w:ascii="Verdana" w:hAnsi="Verdana"/>
                <w:sz w:val="20"/>
              </w:rPr>
              <w:t>Not relevant</w:t>
            </w: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Type of Low Income Protection</w:t>
            </w:r>
          </w:p>
        </w:tc>
        <w:tc>
          <w:tcPr>
            <w:tcW w:w="1418" w:type="dxa"/>
          </w:tcPr>
          <w:p w:rsidR="00517D6A" w:rsidRPr="003E1C24" w:rsidRDefault="00517D6A" w:rsidP="008879B5">
            <w:pPr>
              <w:spacing w:line="240" w:lineRule="auto"/>
              <w:rPr>
                <w:rFonts w:ascii="Verdana" w:hAnsi="Verdana"/>
                <w:sz w:val="20"/>
              </w:rPr>
            </w:pPr>
            <w:r w:rsidRPr="003E1C24">
              <w:rPr>
                <w:rFonts w:ascii="Verdana" w:hAnsi="Verdana"/>
                <w:sz w:val="20"/>
              </w:rPr>
              <w:t>Phased</w:t>
            </w:r>
          </w:p>
        </w:tc>
        <w:tc>
          <w:tcPr>
            <w:tcW w:w="4161" w:type="dxa"/>
          </w:tcPr>
          <w:p w:rsidR="00517D6A" w:rsidRPr="003E1C24" w:rsidRDefault="00517D6A" w:rsidP="008879B5">
            <w:pPr>
              <w:spacing w:line="240" w:lineRule="auto"/>
              <w:rPr>
                <w:rFonts w:ascii="Verdana" w:hAnsi="Verdana"/>
                <w:sz w:val="20"/>
              </w:rPr>
            </w:pPr>
            <w:r w:rsidRPr="003E1C24">
              <w:rPr>
                <w:rFonts w:ascii="Verdana" w:hAnsi="Verdana"/>
                <w:sz w:val="20"/>
              </w:rPr>
              <w:t>Not relevant</w:t>
            </w:r>
          </w:p>
        </w:tc>
      </w:tr>
      <w:tr w:rsidR="00517D6A" w:rsidRPr="003E1C24" w:rsidTr="008879B5">
        <w:tc>
          <w:tcPr>
            <w:tcW w:w="2943" w:type="dxa"/>
          </w:tcPr>
          <w:p w:rsidR="00517D6A" w:rsidRPr="003E1C24" w:rsidRDefault="00517D6A" w:rsidP="008879B5">
            <w:pPr>
              <w:spacing w:line="240" w:lineRule="auto"/>
              <w:rPr>
                <w:rFonts w:ascii="Verdana" w:hAnsi="Verdana" w:cs="Arial"/>
                <w:b/>
                <w:bCs/>
                <w:sz w:val="20"/>
              </w:rPr>
            </w:pPr>
            <w:r w:rsidRPr="003E1C24">
              <w:rPr>
                <w:rFonts w:ascii="Verdana" w:hAnsi="Verdana" w:cs="Arial"/>
                <w:b/>
                <w:bCs/>
                <w:sz w:val="20"/>
              </w:rPr>
              <w:t>Repayment threshold</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£15000</w:t>
            </w:r>
          </w:p>
        </w:tc>
        <w:tc>
          <w:tcPr>
            <w:tcW w:w="4161" w:type="dxa"/>
          </w:tcPr>
          <w:p w:rsidR="00517D6A" w:rsidRPr="003E1C24" w:rsidRDefault="00517D6A" w:rsidP="008879B5">
            <w:pPr>
              <w:spacing w:line="240" w:lineRule="auto"/>
              <w:rPr>
                <w:rFonts w:ascii="Verdana" w:hAnsi="Verdana"/>
                <w:b/>
                <w:sz w:val="20"/>
              </w:rPr>
            </w:pPr>
          </w:p>
        </w:tc>
      </w:tr>
      <w:tr w:rsidR="00517D6A" w:rsidRPr="003E1C24" w:rsidTr="008879B5">
        <w:tc>
          <w:tcPr>
            <w:tcW w:w="2943" w:type="dxa"/>
          </w:tcPr>
          <w:p w:rsidR="00517D6A" w:rsidRPr="003E1C24" w:rsidRDefault="00517D6A" w:rsidP="008879B5">
            <w:pPr>
              <w:spacing w:line="240" w:lineRule="auto"/>
              <w:rPr>
                <w:rFonts w:ascii="Verdana" w:hAnsi="Verdana" w:cs="Arial"/>
                <w:b/>
                <w:bCs/>
                <w:sz w:val="20"/>
              </w:rPr>
            </w:pPr>
            <w:r w:rsidRPr="003E1C24">
              <w:rPr>
                <w:rFonts w:ascii="Verdana" w:hAnsi="Verdana" w:cs="Arial"/>
                <w:b/>
                <w:bCs/>
                <w:sz w:val="20"/>
              </w:rPr>
              <w:t>Full-interest threshold</w:t>
            </w:r>
          </w:p>
        </w:tc>
        <w:tc>
          <w:tcPr>
            <w:tcW w:w="1418" w:type="dxa"/>
          </w:tcPr>
          <w:p w:rsidR="00517D6A" w:rsidRPr="003E1C24" w:rsidRDefault="00517D6A" w:rsidP="008879B5">
            <w:pPr>
              <w:spacing w:line="240" w:lineRule="auto"/>
              <w:rPr>
                <w:rFonts w:ascii="Verdana" w:hAnsi="Verdana"/>
                <w:b/>
                <w:sz w:val="20"/>
              </w:rPr>
            </w:pPr>
            <w:r w:rsidRPr="003E1C24">
              <w:rPr>
                <w:rFonts w:ascii="Verdana" w:hAnsi="Verdana"/>
                <w:b/>
                <w:sz w:val="20"/>
              </w:rPr>
              <w:t>£15000.1</w:t>
            </w:r>
          </w:p>
        </w:tc>
        <w:tc>
          <w:tcPr>
            <w:tcW w:w="4161" w:type="dxa"/>
          </w:tcPr>
          <w:p w:rsidR="00517D6A" w:rsidRPr="003E1C24" w:rsidRDefault="00517D6A" w:rsidP="008879B5">
            <w:pPr>
              <w:spacing w:line="240" w:lineRule="auto"/>
              <w:rPr>
                <w:rFonts w:ascii="Verdana" w:hAnsi="Verdana"/>
                <w:b/>
                <w:sz w:val="20"/>
              </w:rPr>
            </w:pPr>
            <w:r w:rsidRPr="003E1C24">
              <w:rPr>
                <w:rFonts w:ascii="Verdana" w:hAnsi="Verdana"/>
                <w:b/>
                <w:sz w:val="20"/>
              </w:rPr>
              <w:t>0.1 added to avoid division by zero errors</w:t>
            </w:r>
          </w:p>
        </w:tc>
      </w:tr>
      <w:tr w:rsidR="00517D6A" w:rsidRPr="003E1C24" w:rsidTr="008879B5">
        <w:tc>
          <w:tcPr>
            <w:tcW w:w="2943" w:type="dxa"/>
          </w:tcPr>
          <w:p w:rsidR="00517D6A" w:rsidRPr="003E1C24" w:rsidRDefault="00517D6A" w:rsidP="008879B5">
            <w:pPr>
              <w:spacing w:line="240" w:lineRule="auto"/>
              <w:rPr>
                <w:rFonts w:ascii="Verdana" w:hAnsi="Verdana" w:cs="Arial"/>
                <w:bCs/>
                <w:sz w:val="20"/>
              </w:rPr>
            </w:pPr>
            <w:r w:rsidRPr="003E1C24">
              <w:rPr>
                <w:rFonts w:ascii="Verdana" w:hAnsi="Verdana" w:cs="Arial"/>
                <w:bCs/>
                <w:sz w:val="20"/>
              </w:rPr>
              <w:t>Type of Low Income Protection</w:t>
            </w:r>
          </w:p>
        </w:tc>
        <w:tc>
          <w:tcPr>
            <w:tcW w:w="1418" w:type="dxa"/>
          </w:tcPr>
          <w:p w:rsidR="00517D6A" w:rsidRPr="003E1C24" w:rsidRDefault="00517D6A" w:rsidP="008879B5">
            <w:pPr>
              <w:spacing w:line="240" w:lineRule="auto"/>
              <w:rPr>
                <w:rFonts w:ascii="Verdana" w:hAnsi="Verdana" w:cs="Arial"/>
                <w:sz w:val="20"/>
              </w:rPr>
            </w:pPr>
            <w:r w:rsidRPr="003E1C24">
              <w:rPr>
                <w:rFonts w:ascii="Verdana" w:hAnsi="Verdana" w:cs="Arial"/>
                <w:sz w:val="20"/>
              </w:rPr>
              <w:t>Phased</w:t>
            </w:r>
          </w:p>
        </w:tc>
        <w:tc>
          <w:tcPr>
            <w:tcW w:w="4161" w:type="dxa"/>
          </w:tcPr>
          <w:p w:rsidR="00517D6A" w:rsidRPr="003E1C24" w:rsidRDefault="00517D6A" w:rsidP="008879B5">
            <w:pPr>
              <w:spacing w:line="240" w:lineRule="auto"/>
              <w:rPr>
                <w:rFonts w:ascii="Verdana" w:hAnsi="Verdana"/>
                <w:sz w:val="20"/>
              </w:rPr>
            </w:pPr>
            <w:r w:rsidRPr="003E1C24">
              <w:rPr>
                <w:rFonts w:ascii="Verdana" w:hAnsi="Verdana"/>
                <w:sz w:val="20"/>
              </w:rPr>
              <w:t>Not relevant</w:t>
            </w:r>
          </w:p>
        </w:tc>
      </w:tr>
      <w:tr w:rsidR="00517D6A" w:rsidRPr="003E1C24" w:rsidTr="008879B5">
        <w:tc>
          <w:tcPr>
            <w:tcW w:w="2943" w:type="dxa"/>
          </w:tcPr>
          <w:p w:rsidR="00517D6A" w:rsidRPr="003E1C24" w:rsidRDefault="00517D6A" w:rsidP="008879B5">
            <w:pPr>
              <w:spacing w:line="240" w:lineRule="auto"/>
              <w:rPr>
                <w:rFonts w:ascii="Verdana" w:hAnsi="Verdana" w:cs="Arial"/>
                <w:b/>
                <w:bCs/>
                <w:sz w:val="20"/>
              </w:rPr>
            </w:pPr>
            <w:r w:rsidRPr="003E1C24">
              <w:rPr>
                <w:rFonts w:ascii="Verdana" w:hAnsi="Verdana" w:cs="Arial"/>
                <w:b/>
                <w:bCs/>
                <w:sz w:val="20"/>
              </w:rPr>
              <w:t>Repayment Threshold Growth</w:t>
            </w:r>
          </w:p>
        </w:tc>
        <w:tc>
          <w:tcPr>
            <w:tcW w:w="1418" w:type="dxa"/>
          </w:tcPr>
          <w:p w:rsidR="00517D6A" w:rsidRPr="003E1C24" w:rsidRDefault="00517D6A" w:rsidP="008879B5">
            <w:pPr>
              <w:spacing w:line="240" w:lineRule="auto"/>
              <w:rPr>
                <w:rFonts w:ascii="Verdana" w:hAnsi="Verdana" w:cs="Arial"/>
                <w:b/>
                <w:sz w:val="20"/>
              </w:rPr>
            </w:pPr>
            <w:r w:rsidRPr="003E1C24">
              <w:rPr>
                <w:rFonts w:ascii="Verdana" w:hAnsi="Verdana" w:cs="Arial"/>
                <w:b/>
                <w:sz w:val="20"/>
              </w:rPr>
              <w:t>0%</w:t>
            </w:r>
          </w:p>
        </w:tc>
        <w:tc>
          <w:tcPr>
            <w:tcW w:w="4161" w:type="dxa"/>
          </w:tcPr>
          <w:p w:rsidR="00517D6A" w:rsidRPr="003E1C24" w:rsidRDefault="00517D6A" w:rsidP="008879B5">
            <w:pPr>
              <w:spacing w:line="240" w:lineRule="auto"/>
              <w:rPr>
                <w:rFonts w:ascii="Verdana" w:hAnsi="Verdana"/>
                <w:b/>
                <w:sz w:val="20"/>
              </w:rPr>
            </w:pPr>
          </w:p>
        </w:tc>
      </w:tr>
    </w:tbl>
    <w:p w:rsidR="00D52A5F" w:rsidRDefault="00D52A5F" w:rsidP="00517D6A">
      <w:pPr>
        <w:spacing w:after="240"/>
        <w:rPr>
          <w:rFonts w:ascii="Verdana" w:hAnsi="Verdana"/>
          <w:sz w:val="22"/>
          <w:szCs w:val="22"/>
          <w:u w:val="single"/>
        </w:rPr>
      </w:pPr>
    </w:p>
    <w:p w:rsidR="00517D6A" w:rsidRPr="003E1C24" w:rsidRDefault="00517D6A" w:rsidP="00517D6A">
      <w:pPr>
        <w:spacing w:after="240"/>
        <w:rPr>
          <w:rFonts w:ascii="Verdana" w:hAnsi="Verdana"/>
          <w:sz w:val="22"/>
          <w:szCs w:val="22"/>
          <w:u w:val="single"/>
        </w:rPr>
      </w:pPr>
      <w:r w:rsidRPr="003E1C24">
        <w:rPr>
          <w:rFonts w:ascii="Verdana" w:hAnsi="Verdana"/>
          <w:sz w:val="22"/>
          <w:szCs w:val="22"/>
          <w:u w:val="single"/>
        </w:rPr>
        <w:t>Table A</w:t>
      </w:r>
      <w:r w:rsidR="00EE378A">
        <w:rPr>
          <w:rFonts w:ascii="Verdana" w:hAnsi="Verdana"/>
          <w:sz w:val="22"/>
          <w:szCs w:val="22"/>
          <w:u w:val="single"/>
        </w:rPr>
        <w:t>6</w:t>
      </w:r>
      <w:r w:rsidRPr="003E1C24">
        <w:rPr>
          <w:rFonts w:ascii="Verdana" w:hAnsi="Verdana"/>
          <w:sz w:val="22"/>
          <w:szCs w:val="22"/>
          <w:u w:val="single"/>
        </w:rPr>
        <w:t>:  RAB values at break</w:t>
      </w:r>
      <w:r w:rsidR="00D52A5F">
        <w:rPr>
          <w:rFonts w:ascii="Verdana" w:hAnsi="Verdana"/>
          <w:sz w:val="22"/>
          <w:szCs w:val="22"/>
          <w:u w:val="single"/>
        </w:rPr>
        <w:t>-</w:t>
      </w:r>
      <w:r w:rsidRPr="003E1C24">
        <w:rPr>
          <w:rFonts w:ascii="Verdana" w:hAnsi="Verdana"/>
          <w:sz w:val="22"/>
          <w:szCs w:val="22"/>
          <w:u w:val="single"/>
        </w:rPr>
        <w:t xml:space="preserve">even </w:t>
      </w:r>
      <w:r w:rsidR="00EE378A">
        <w:rPr>
          <w:rFonts w:ascii="Verdana" w:hAnsi="Verdana"/>
          <w:sz w:val="22"/>
          <w:szCs w:val="22"/>
          <w:u w:val="single"/>
        </w:rPr>
        <w:t>RAB income growth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7"/>
        <w:gridCol w:w="1112"/>
      </w:tblGrid>
      <w:tr w:rsidR="00517D6A" w:rsidRPr="003E1C24" w:rsidTr="008879B5">
        <w:trPr>
          <w:jc w:val="center"/>
        </w:trPr>
        <w:tc>
          <w:tcPr>
            <w:tcW w:w="4427" w:type="dxa"/>
          </w:tcPr>
          <w:p w:rsidR="00517D6A" w:rsidRPr="003E1C24" w:rsidRDefault="00517D6A" w:rsidP="008879B5">
            <w:pPr>
              <w:keepNext/>
              <w:spacing w:line="240" w:lineRule="auto"/>
              <w:rPr>
                <w:rFonts w:ascii="Verdana" w:hAnsi="Verdana"/>
                <w:sz w:val="20"/>
              </w:rPr>
            </w:pPr>
            <w:r w:rsidRPr="003E1C24">
              <w:rPr>
                <w:rFonts w:ascii="Verdana" w:hAnsi="Verdana"/>
                <w:sz w:val="20"/>
              </w:rPr>
              <w:t>Current system</w:t>
            </w:r>
          </w:p>
        </w:tc>
        <w:tc>
          <w:tcPr>
            <w:tcW w:w="1112" w:type="dxa"/>
          </w:tcPr>
          <w:p w:rsidR="008879B5" w:rsidRDefault="00517D6A" w:rsidP="00012EE8">
            <w:pPr>
              <w:keepNext/>
              <w:spacing w:line="240" w:lineRule="auto"/>
              <w:rPr>
                <w:rFonts w:ascii="Verdana" w:hAnsi="Verdana"/>
                <w:sz w:val="20"/>
              </w:rPr>
            </w:pPr>
            <w:r w:rsidRPr="003E1C24">
              <w:rPr>
                <w:rFonts w:ascii="Verdana" w:hAnsi="Verdana"/>
                <w:sz w:val="20"/>
              </w:rPr>
              <w:t>2</w:t>
            </w:r>
            <w:r w:rsidR="00D62F3F">
              <w:rPr>
                <w:rFonts w:ascii="Verdana" w:hAnsi="Verdana"/>
                <w:sz w:val="20"/>
              </w:rPr>
              <w:t>5.</w:t>
            </w:r>
            <w:r w:rsidR="00012EE8">
              <w:rPr>
                <w:rFonts w:ascii="Verdana" w:hAnsi="Verdana"/>
                <w:sz w:val="20"/>
              </w:rPr>
              <w:t>4</w:t>
            </w:r>
            <w:r w:rsidRPr="003E1C24">
              <w:rPr>
                <w:rFonts w:ascii="Verdana" w:hAnsi="Verdana"/>
                <w:sz w:val="20"/>
              </w:rPr>
              <w:t>%</w:t>
            </w:r>
          </w:p>
        </w:tc>
      </w:tr>
      <w:tr w:rsidR="00517D6A" w:rsidRPr="003E1C24" w:rsidTr="008879B5">
        <w:trPr>
          <w:jc w:val="center"/>
        </w:trPr>
        <w:tc>
          <w:tcPr>
            <w:tcW w:w="4427" w:type="dxa"/>
          </w:tcPr>
          <w:p w:rsidR="00517D6A" w:rsidRPr="003E1C24" w:rsidRDefault="00517D6A" w:rsidP="008879B5">
            <w:pPr>
              <w:keepNext/>
              <w:spacing w:line="240" w:lineRule="auto"/>
              <w:rPr>
                <w:rFonts w:ascii="Verdana" w:hAnsi="Verdana"/>
                <w:sz w:val="20"/>
              </w:rPr>
            </w:pPr>
            <w:r w:rsidRPr="003E1C24">
              <w:rPr>
                <w:rFonts w:ascii="Verdana" w:hAnsi="Verdana"/>
                <w:sz w:val="20"/>
              </w:rPr>
              <w:t>New system</w:t>
            </w:r>
          </w:p>
        </w:tc>
        <w:tc>
          <w:tcPr>
            <w:tcW w:w="1112" w:type="dxa"/>
          </w:tcPr>
          <w:p w:rsidR="00517D6A" w:rsidRPr="003E1C24" w:rsidRDefault="00517D6A" w:rsidP="008879B5">
            <w:pPr>
              <w:keepNext/>
              <w:spacing w:line="240" w:lineRule="auto"/>
              <w:rPr>
                <w:rFonts w:ascii="Verdana" w:hAnsi="Verdana"/>
                <w:sz w:val="20"/>
              </w:rPr>
            </w:pPr>
            <w:r w:rsidRPr="003E1C24">
              <w:rPr>
                <w:rFonts w:ascii="Verdana" w:hAnsi="Verdana"/>
                <w:sz w:val="20"/>
              </w:rPr>
              <w:t>47.0%</w:t>
            </w:r>
          </w:p>
        </w:tc>
      </w:tr>
      <w:tr w:rsidR="00517D6A" w:rsidRPr="003E1C24" w:rsidTr="008879B5">
        <w:trPr>
          <w:trHeight w:val="209"/>
          <w:jc w:val="center"/>
        </w:trPr>
        <w:tc>
          <w:tcPr>
            <w:tcW w:w="4427" w:type="dxa"/>
          </w:tcPr>
          <w:p w:rsidR="00517D6A" w:rsidRPr="003E1C24" w:rsidRDefault="00517D6A" w:rsidP="008879B5">
            <w:pPr>
              <w:keepNext/>
              <w:spacing w:line="240" w:lineRule="auto"/>
              <w:rPr>
                <w:rFonts w:ascii="Verdana" w:hAnsi="Verdana"/>
                <w:b/>
                <w:sz w:val="20"/>
              </w:rPr>
            </w:pPr>
            <w:r w:rsidRPr="003E1C24">
              <w:rPr>
                <w:rFonts w:ascii="Verdana" w:hAnsi="Verdana"/>
                <w:b/>
                <w:sz w:val="20"/>
              </w:rPr>
              <w:t>Current system as % of new system</w:t>
            </w:r>
          </w:p>
        </w:tc>
        <w:tc>
          <w:tcPr>
            <w:tcW w:w="1112" w:type="dxa"/>
          </w:tcPr>
          <w:p w:rsidR="008879B5" w:rsidRDefault="00517D6A" w:rsidP="00012EE8">
            <w:pPr>
              <w:keepNext/>
              <w:spacing w:line="240" w:lineRule="auto"/>
              <w:rPr>
                <w:rFonts w:ascii="Verdana" w:hAnsi="Verdana"/>
                <w:b/>
                <w:sz w:val="20"/>
              </w:rPr>
            </w:pPr>
            <w:r w:rsidRPr="003E1C24">
              <w:rPr>
                <w:rFonts w:ascii="Verdana" w:hAnsi="Verdana"/>
                <w:b/>
                <w:sz w:val="20"/>
              </w:rPr>
              <w:t>5</w:t>
            </w:r>
            <w:r w:rsidR="00D62F3F">
              <w:rPr>
                <w:rFonts w:ascii="Verdana" w:hAnsi="Verdana"/>
                <w:b/>
                <w:sz w:val="20"/>
              </w:rPr>
              <w:t>4.</w:t>
            </w:r>
            <w:r w:rsidR="00012EE8">
              <w:rPr>
                <w:rFonts w:ascii="Verdana" w:hAnsi="Verdana"/>
                <w:b/>
                <w:sz w:val="20"/>
              </w:rPr>
              <w:t>0</w:t>
            </w:r>
            <w:r w:rsidRPr="003E1C24">
              <w:rPr>
                <w:rFonts w:ascii="Verdana" w:hAnsi="Verdana"/>
                <w:b/>
                <w:sz w:val="20"/>
              </w:rPr>
              <w:t>%</w:t>
            </w:r>
          </w:p>
        </w:tc>
      </w:tr>
    </w:tbl>
    <w:p w:rsidR="00517D6A" w:rsidRPr="003E1C24" w:rsidRDefault="00517D6A" w:rsidP="00517D6A">
      <w:pPr>
        <w:spacing w:after="240"/>
        <w:rPr>
          <w:rFonts w:ascii="Verdana" w:hAnsi="Verdana"/>
          <w:b/>
          <w:sz w:val="24"/>
          <w:szCs w:val="24"/>
        </w:rPr>
      </w:pPr>
    </w:p>
    <w:p w:rsidR="00517D6A" w:rsidRPr="003E1C24" w:rsidRDefault="00517D6A" w:rsidP="00517D6A">
      <w:pPr>
        <w:spacing w:after="240"/>
        <w:rPr>
          <w:rFonts w:ascii="Verdana" w:hAnsi="Verdana"/>
          <w:b/>
          <w:sz w:val="24"/>
          <w:szCs w:val="24"/>
        </w:rPr>
      </w:pPr>
      <w:r w:rsidRPr="003E1C24">
        <w:rPr>
          <w:rFonts w:ascii="Verdana" w:hAnsi="Verdana"/>
          <w:b/>
          <w:sz w:val="24"/>
          <w:szCs w:val="24"/>
        </w:rPr>
        <w:lastRenderedPageBreak/>
        <w:t>Summary of changes made to the RAB calculation</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Table A</w:t>
      </w:r>
      <w:r w:rsidR="00D52A5F">
        <w:rPr>
          <w:rFonts w:ascii="Verdana" w:hAnsi="Verdana"/>
          <w:sz w:val="22"/>
          <w:szCs w:val="22"/>
        </w:rPr>
        <w:t>7</w:t>
      </w:r>
      <w:r w:rsidRPr="003E1C24">
        <w:rPr>
          <w:rFonts w:ascii="Verdana" w:hAnsi="Verdana"/>
          <w:sz w:val="22"/>
          <w:szCs w:val="22"/>
        </w:rPr>
        <w:t xml:space="preserve"> provides a summary of how the changes to the calculation and the parameter used increased the RAB to the break-even value. Each version of the calculation is the same as the one in the previous row except for the changes described.</w:t>
      </w:r>
    </w:p>
    <w:p w:rsidR="00517D6A" w:rsidRPr="003E1C24" w:rsidRDefault="00517D6A" w:rsidP="00517D6A">
      <w:pPr>
        <w:spacing w:after="240"/>
        <w:rPr>
          <w:rFonts w:ascii="Verdana" w:hAnsi="Verdana"/>
          <w:sz w:val="22"/>
          <w:szCs w:val="22"/>
          <w:u w:val="single"/>
        </w:rPr>
      </w:pPr>
      <w:r w:rsidRPr="003E1C24">
        <w:rPr>
          <w:rFonts w:ascii="Verdana" w:hAnsi="Verdana"/>
          <w:sz w:val="22"/>
          <w:szCs w:val="22"/>
          <w:u w:val="single"/>
        </w:rPr>
        <w:t>Table A</w:t>
      </w:r>
      <w:r w:rsidR="00D52A5F">
        <w:rPr>
          <w:rFonts w:ascii="Verdana" w:hAnsi="Verdana"/>
          <w:sz w:val="22"/>
          <w:szCs w:val="22"/>
          <w:u w:val="single"/>
        </w:rPr>
        <w:t>7</w:t>
      </w:r>
      <w:r w:rsidRPr="003E1C24">
        <w:rPr>
          <w:rFonts w:ascii="Verdana" w:hAnsi="Verdana"/>
          <w:sz w:val="22"/>
          <w:szCs w:val="22"/>
          <w:u w:val="single"/>
        </w:rPr>
        <w:t>: Changes to the RAB calculation</w:t>
      </w:r>
    </w:p>
    <w:tbl>
      <w:tblPr>
        <w:tblStyle w:val="TableGrid"/>
        <w:tblW w:w="0" w:type="auto"/>
        <w:jc w:val="center"/>
        <w:tblLook w:val="04A0"/>
      </w:tblPr>
      <w:tblGrid>
        <w:gridCol w:w="4881"/>
        <w:gridCol w:w="1386"/>
        <w:gridCol w:w="1083"/>
      </w:tblGrid>
      <w:tr w:rsidR="00517D6A" w:rsidRPr="003E1C24" w:rsidTr="008879B5">
        <w:trPr>
          <w:jc w:val="center"/>
        </w:trPr>
        <w:tc>
          <w:tcPr>
            <w:tcW w:w="4881" w:type="dxa"/>
          </w:tcPr>
          <w:p w:rsidR="00517D6A" w:rsidRPr="003E1C24" w:rsidRDefault="00517D6A" w:rsidP="008879B5">
            <w:pPr>
              <w:keepNext/>
              <w:spacing w:line="240" w:lineRule="auto"/>
              <w:rPr>
                <w:rFonts w:ascii="Verdana" w:hAnsi="Verdana"/>
                <w:b/>
                <w:sz w:val="20"/>
              </w:rPr>
            </w:pPr>
            <w:r w:rsidRPr="003E1C24">
              <w:rPr>
                <w:rFonts w:ascii="Verdana" w:hAnsi="Verdana"/>
                <w:b/>
                <w:sz w:val="20"/>
              </w:rPr>
              <w:t>Calculation</w:t>
            </w:r>
          </w:p>
        </w:tc>
        <w:tc>
          <w:tcPr>
            <w:tcW w:w="1386" w:type="dxa"/>
          </w:tcPr>
          <w:p w:rsidR="00517D6A" w:rsidRPr="003E1C24" w:rsidRDefault="00517D6A" w:rsidP="008879B5">
            <w:pPr>
              <w:keepNext/>
              <w:spacing w:line="240" w:lineRule="auto"/>
              <w:rPr>
                <w:rFonts w:ascii="Verdana" w:hAnsi="Verdana"/>
                <w:b/>
                <w:sz w:val="20"/>
              </w:rPr>
            </w:pPr>
            <w:r w:rsidRPr="003E1C24">
              <w:rPr>
                <w:rFonts w:ascii="Verdana" w:hAnsi="Verdana"/>
                <w:b/>
                <w:sz w:val="20"/>
              </w:rPr>
              <w:t>Loan p.a.</w:t>
            </w:r>
          </w:p>
        </w:tc>
        <w:tc>
          <w:tcPr>
            <w:tcW w:w="1083" w:type="dxa"/>
          </w:tcPr>
          <w:p w:rsidR="00517D6A" w:rsidRPr="003E1C24" w:rsidRDefault="00517D6A" w:rsidP="008879B5">
            <w:pPr>
              <w:keepNext/>
              <w:spacing w:line="240" w:lineRule="auto"/>
              <w:rPr>
                <w:rFonts w:ascii="Verdana" w:hAnsi="Verdana"/>
                <w:b/>
                <w:sz w:val="20"/>
              </w:rPr>
            </w:pPr>
            <w:r w:rsidRPr="003E1C24">
              <w:rPr>
                <w:rFonts w:ascii="Verdana" w:hAnsi="Verdana"/>
                <w:b/>
                <w:sz w:val="20"/>
              </w:rPr>
              <w:t>RAB</w:t>
            </w:r>
          </w:p>
        </w:tc>
      </w:tr>
      <w:tr w:rsidR="00517D6A" w:rsidRPr="003E1C24" w:rsidTr="008879B5">
        <w:trPr>
          <w:jc w:val="center"/>
        </w:trPr>
        <w:tc>
          <w:tcPr>
            <w:tcW w:w="4881" w:type="dxa"/>
          </w:tcPr>
          <w:p w:rsidR="00517D6A" w:rsidRPr="003E1C24" w:rsidRDefault="00517D6A" w:rsidP="008879B5">
            <w:pPr>
              <w:keepNext/>
              <w:spacing w:line="240" w:lineRule="auto"/>
              <w:rPr>
                <w:rFonts w:ascii="Verdana" w:hAnsi="Verdana"/>
                <w:sz w:val="20"/>
              </w:rPr>
            </w:pPr>
            <w:r w:rsidRPr="003E1C24">
              <w:rPr>
                <w:rFonts w:ascii="Verdana" w:hAnsi="Verdana"/>
                <w:sz w:val="20"/>
              </w:rPr>
              <w:t xml:space="preserve">BRR </w:t>
            </w:r>
          </w:p>
        </w:tc>
        <w:tc>
          <w:tcPr>
            <w:tcW w:w="1386" w:type="dxa"/>
          </w:tcPr>
          <w:p w:rsidR="00517D6A" w:rsidRPr="003E1C24" w:rsidRDefault="00517D6A" w:rsidP="008879B5">
            <w:pPr>
              <w:keepNext/>
              <w:spacing w:line="240" w:lineRule="auto"/>
              <w:rPr>
                <w:rFonts w:ascii="Verdana" w:hAnsi="Verdana"/>
                <w:sz w:val="20"/>
              </w:rPr>
            </w:pPr>
            <w:r w:rsidRPr="003E1C24">
              <w:rPr>
                <w:rFonts w:ascii="Verdana" w:hAnsi="Verdana"/>
                <w:sz w:val="20"/>
              </w:rPr>
              <w:t>£10,000</w:t>
            </w:r>
          </w:p>
        </w:tc>
        <w:tc>
          <w:tcPr>
            <w:tcW w:w="1083" w:type="dxa"/>
          </w:tcPr>
          <w:p w:rsidR="00517D6A" w:rsidRPr="003E1C24" w:rsidRDefault="00517D6A" w:rsidP="008879B5">
            <w:pPr>
              <w:keepNext/>
              <w:spacing w:line="240" w:lineRule="auto"/>
              <w:rPr>
                <w:rFonts w:ascii="Verdana" w:hAnsi="Verdana"/>
                <w:sz w:val="20"/>
              </w:rPr>
            </w:pPr>
            <w:r w:rsidRPr="003E1C24">
              <w:rPr>
                <w:rFonts w:ascii="Verdana" w:hAnsi="Verdana"/>
                <w:sz w:val="20"/>
              </w:rPr>
              <w:t>24.3%</w:t>
            </w:r>
          </w:p>
        </w:tc>
      </w:tr>
      <w:tr w:rsidR="00517D6A" w:rsidRPr="003E1C24" w:rsidTr="008879B5">
        <w:trPr>
          <w:jc w:val="center"/>
        </w:trPr>
        <w:tc>
          <w:tcPr>
            <w:tcW w:w="4881" w:type="dxa"/>
          </w:tcPr>
          <w:p w:rsidR="00517D6A" w:rsidRPr="003E1C24" w:rsidRDefault="00517D6A" w:rsidP="008879B5">
            <w:pPr>
              <w:keepNext/>
              <w:spacing w:line="240" w:lineRule="auto"/>
              <w:rPr>
                <w:rFonts w:ascii="Verdana" w:hAnsi="Verdana"/>
                <w:sz w:val="20"/>
              </w:rPr>
            </w:pPr>
            <w:r w:rsidRPr="003E1C24">
              <w:rPr>
                <w:rFonts w:ascii="Verdana" w:hAnsi="Verdana"/>
                <w:sz w:val="20"/>
              </w:rPr>
              <w:t>MRR - 50.1% females</w:t>
            </w:r>
          </w:p>
        </w:tc>
        <w:tc>
          <w:tcPr>
            <w:tcW w:w="1386" w:type="dxa"/>
          </w:tcPr>
          <w:p w:rsidR="00517D6A" w:rsidRPr="003E1C24" w:rsidRDefault="00517D6A" w:rsidP="008879B5">
            <w:pPr>
              <w:keepNext/>
              <w:spacing w:line="240" w:lineRule="auto"/>
              <w:rPr>
                <w:rFonts w:ascii="Verdana" w:hAnsi="Verdana"/>
                <w:sz w:val="20"/>
              </w:rPr>
            </w:pPr>
            <w:r w:rsidRPr="003E1C24">
              <w:rPr>
                <w:rFonts w:ascii="Verdana" w:hAnsi="Verdana"/>
                <w:sz w:val="20"/>
              </w:rPr>
              <w:t>£10,000</w:t>
            </w:r>
          </w:p>
        </w:tc>
        <w:tc>
          <w:tcPr>
            <w:tcW w:w="1083" w:type="dxa"/>
          </w:tcPr>
          <w:p w:rsidR="00517D6A" w:rsidRPr="003E1C24" w:rsidRDefault="00517D6A" w:rsidP="00012EE8">
            <w:pPr>
              <w:keepNext/>
              <w:spacing w:line="240" w:lineRule="auto"/>
              <w:rPr>
                <w:rFonts w:ascii="Verdana" w:hAnsi="Verdana"/>
                <w:sz w:val="20"/>
              </w:rPr>
            </w:pPr>
            <w:r w:rsidRPr="003E1C24">
              <w:rPr>
                <w:rFonts w:ascii="Verdana" w:hAnsi="Verdana"/>
                <w:sz w:val="20"/>
              </w:rPr>
              <w:t>24.</w:t>
            </w:r>
            <w:r w:rsidR="00012EE8">
              <w:rPr>
                <w:rFonts w:ascii="Verdana" w:hAnsi="Verdana"/>
                <w:sz w:val="20"/>
              </w:rPr>
              <w:t>3</w:t>
            </w:r>
            <w:r w:rsidRPr="003E1C24">
              <w:rPr>
                <w:rFonts w:ascii="Verdana" w:hAnsi="Verdana"/>
                <w:sz w:val="20"/>
              </w:rPr>
              <w:t>%</w:t>
            </w:r>
          </w:p>
        </w:tc>
      </w:tr>
      <w:tr w:rsidR="00517D6A" w:rsidRPr="003E1C24" w:rsidTr="008879B5">
        <w:trPr>
          <w:jc w:val="center"/>
        </w:trPr>
        <w:tc>
          <w:tcPr>
            <w:tcW w:w="4881" w:type="dxa"/>
          </w:tcPr>
          <w:p w:rsidR="00517D6A" w:rsidRPr="003E1C24" w:rsidRDefault="00012EE8" w:rsidP="00012EE8">
            <w:pPr>
              <w:keepNext/>
              <w:spacing w:line="240" w:lineRule="auto"/>
              <w:rPr>
                <w:rFonts w:ascii="Verdana" w:hAnsi="Verdana"/>
                <w:sz w:val="20"/>
              </w:rPr>
            </w:pPr>
            <w:r>
              <w:rPr>
                <w:rFonts w:ascii="Verdana" w:hAnsi="Verdana"/>
                <w:sz w:val="20"/>
              </w:rPr>
              <w:t>MRR – 58.3</w:t>
            </w:r>
            <w:r w:rsidR="00517D6A" w:rsidRPr="003E1C24">
              <w:rPr>
                <w:rFonts w:ascii="Verdana" w:hAnsi="Verdana"/>
                <w:sz w:val="20"/>
              </w:rPr>
              <w:t xml:space="preserve">% females </w:t>
            </w:r>
          </w:p>
        </w:tc>
        <w:tc>
          <w:tcPr>
            <w:tcW w:w="1386" w:type="dxa"/>
          </w:tcPr>
          <w:p w:rsidR="00517D6A" w:rsidRPr="003E1C24" w:rsidRDefault="00517D6A" w:rsidP="008879B5">
            <w:pPr>
              <w:keepNext/>
              <w:spacing w:line="240" w:lineRule="auto"/>
              <w:rPr>
                <w:rFonts w:ascii="Verdana" w:hAnsi="Verdana"/>
                <w:sz w:val="20"/>
              </w:rPr>
            </w:pPr>
            <w:r w:rsidRPr="003E1C24">
              <w:rPr>
                <w:rFonts w:ascii="Verdana" w:hAnsi="Verdana"/>
                <w:sz w:val="20"/>
              </w:rPr>
              <w:t>£10,000</w:t>
            </w:r>
          </w:p>
        </w:tc>
        <w:tc>
          <w:tcPr>
            <w:tcW w:w="1083" w:type="dxa"/>
          </w:tcPr>
          <w:p w:rsidR="00517D6A" w:rsidRPr="003E1C24" w:rsidRDefault="00517D6A" w:rsidP="00012EE8">
            <w:pPr>
              <w:keepNext/>
              <w:spacing w:line="240" w:lineRule="auto"/>
              <w:rPr>
                <w:rFonts w:ascii="Verdana" w:hAnsi="Verdana"/>
                <w:sz w:val="20"/>
              </w:rPr>
            </w:pPr>
            <w:r w:rsidRPr="003E1C24">
              <w:rPr>
                <w:rFonts w:ascii="Verdana" w:hAnsi="Verdana"/>
                <w:sz w:val="20"/>
              </w:rPr>
              <w:t>27.</w:t>
            </w:r>
            <w:r w:rsidR="00012EE8">
              <w:rPr>
                <w:rFonts w:ascii="Verdana" w:hAnsi="Verdana"/>
                <w:sz w:val="20"/>
              </w:rPr>
              <w:t>7</w:t>
            </w:r>
            <w:r w:rsidRPr="003E1C24">
              <w:rPr>
                <w:rFonts w:ascii="Verdana" w:hAnsi="Verdana"/>
                <w:sz w:val="20"/>
              </w:rPr>
              <w:t>%</w:t>
            </w:r>
          </w:p>
        </w:tc>
      </w:tr>
      <w:tr w:rsidR="00517D6A" w:rsidRPr="003E1C24" w:rsidTr="008879B5">
        <w:trPr>
          <w:jc w:val="center"/>
        </w:trPr>
        <w:tc>
          <w:tcPr>
            <w:tcW w:w="4881" w:type="dxa"/>
          </w:tcPr>
          <w:p w:rsidR="00517D6A" w:rsidRPr="003E1C24" w:rsidRDefault="00517D6A" w:rsidP="00012EE8">
            <w:pPr>
              <w:keepNext/>
              <w:spacing w:line="240" w:lineRule="auto"/>
              <w:rPr>
                <w:rFonts w:ascii="Verdana" w:hAnsi="Verdana"/>
                <w:sz w:val="20"/>
              </w:rPr>
            </w:pPr>
            <w:r w:rsidRPr="003E1C24">
              <w:rPr>
                <w:rFonts w:ascii="Verdana" w:hAnsi="Verdana"/>
                <w:sz w:val="20"/>
              </w:rPr>
              <w:t>MRR - 5</w:t>
            </w:r>
            <w:r w:rsidR="00012EE8">
              <w:rPr>
                <w:rFonts w:ascii="Verdana" w:hAnsi="Verdana"/>
                <w:sz w:val="20"/>
              </w:rPr>
              <w:t>8</w:t>
            </w:r>
            <w:r w:rsidRPr="003E1C24">
              <w:rPr>
                <w:rFonts w:ascii="Verdana" w:hAnsi="Verdana"/>
                <w:sz w:val="20"/>
              </w:rPr>
              <w:t>.</w:t>
            </w:r>
            <w:r w:rsidR="00012EE8">
              <w:rPr>
                <w:rFonts w:ascii="Verdana" w:hAnsi="Verdana"/>
                <w:sz w:val="20"/>
              </w:rPr>
              <w:t>3</w:t>
            </w:r>
            <w:r w:rsidRPr="003E1C24">
              <w:rPr>
                <w:rFonts w:ascii="Verdana" w:hAnsi="Verdana"/>
                <w:sz w:val="20"/>
              </w:rPr>
              <w:t>% females</w:t>
            </w:r>
          </w:p>
        </w:tc>
        <w:tc>
          <w:tcPr>
            <w:tcW w:w="1386" w:type="dxa"/>
          </w:tcPr>
          <w:p w:rsidR="00517D6A" w:rsidRPr="003E1C24" w:rsidRDefault="00517D6A" w:rsidP="008879B5">
            <w:pPr>
              <w:keepNext/>
              <w:spacing w:line="240" w:lineRule="auto"/>
              <w:rPr>
                <w:rFonts w:ascii="Verdana" w:hAnsi="Verdana"/>
                <w:sz w:val="20"/>
              </w:rPr>
            </w:pPr>
            <w:r w:rsidRPr="003E1C24">
              <w:rPr>
                <w:rFonts w:ascii="Verdana" w:hAnsi="Verdana"/>
                <w:sz w:val="20"/>
              </w:rPr>
              <w:t>£12,850</w:t>
            </w:r>
          </w:p>
        </w:tc>
        <w:tc>
          <w:tcPr>
            <w:tcW w:w="1083" w:type="dxa"/>
          </w:tcPr>
          <w:p w:rsidR="00517D6A" w:rsidRPr="003E1C24" w:rsidRDefault="00517D6A" w:rsidP="00012EE8">
            <w:pPr>
              <w:keepNext/>
              <w:spacing w:line="240" w:lineRule="auto"/>
              <w:rPr>
                <w:rFonts w:ascii="Verdana" w:hAnsi="Verdana"/>
                <w:sz w:val="20"/>
              </w:rPr>
            </w:pPr>
            <w:r w:rsidRPr="003E1C24">
              <w:rPr>
                <w:rFonts w:ascii="Verdana" w:hAnsi="Verdana"/>
                <w:sz w:val="20"/>
              </w:rPr>
              <w:t>34.</w:t>
            </w:r>
            <w:r w:rsidR="00012EE8">
              <w:rPr>
                <w:rFonts w:ascii="Verdana" w:hAnsi="Verdana"/>
                <w:sz w:val="20"/>
              </w:rPr>
              <w:t>6</w:t>
            </w:r>
            <w:r w:rsidRPr="003E1C24">
              <w:rPr>
                <w:rFonts w:ascii="Verdana" w:hAnsi="Verdana"/>
                <w:sz w:val="20"/>
              </w:rPr>
              <w:t xml:space="preserve"> %</w:t>
            </w:r>
          </w:p>
        </w:tc>
      </w:tr>
      <w:tr w:rsidR="00517D6A" w:rsidRPr="003E1C24" w:rsidTr="008879B5">
        <w:trPr>
          <w:jc w:val="center"/>
        </w:trPr>
        <w:tc>
          <w:tcPr>
            <w:tcW w:w="4881" w:type="dxa"/>
          </w:tcPr>
          <w:p w:rsidR="00517D6A" w:rsidRPr="003E1C24" w:rsidRDefault="00517D6A" w:rsidP="00012EE8">
            <w:pPr>
              <w:keepNext/>
              <w:spacing w:line="240" w:lineRule="auto"/>
              <w:rPr>
                <w:rFonts w:ascii="Verdana" w:hAnsi="Verdana"/>
                <w:sz w:val="20"/>
              </w:rPr>
            </w:pPr>
            <w:r w:rsidRPr="003E1C24">
              <w:rPr>
                <w:rFonts w:ascii="Verdana" w:hAnsi="Verdana"/>
                <w:sz w:val="20"/>
              </w:rPr>
              <w:t>MRR - 5</w:t>
            </w:r>
            <w:r w:rsidR="00012EE8">
              <w:rPr>
                <w:rFonts w:ascii="Verdana" w:hAnsi="Verdana"/>
                <w:sz w:val="20"/>
              </w:rPr>
              <w:t>8</w:t>
            </w:r>
            <w:r w:rsidRPr="003E1C24">
              <w:rPr>
                <w:rFonts w:ascii="Verdana" w:hAnsi="Verdana"/>
                <w:sz w:val="20"/>
              </w:rPr>
              <w:t>.</w:t>
            </w:r>
            <w:r w:rsidR="00012EE8">
              <w:rPr>
                <w:rFonts w:ascii="Verdana" w:hAnsi="Verdana"/>
                <w:sz w:val="20"/>
              </w:rPr>
              <w:t>3</w:t>
            </w:r>
            <w:r w:rsidRPr="003E1C24">
              <w:rPr>
                <w:rFonts w:ascii="Verdana" w:hAnsi="Verdana"/>
                <w:sz w:val="20"/>
              </w:rPr>
              <w:t>% females - lower income growth</w:t>
            </w:r>
          </w:p>
        </w:tc>
        <w:tc>
          <w:tcPr>
            <w:tcW w:w="1386" w:type="dxa"/>
          </w:tcPr>
          <w:p w:rsidR="00517D6A" w:rsidRPr="003E1C24" w:rsidRDefault="00517D6A" w:rsidP="008879B5">
            <w:pPr>
              <w:keepNext/>
              <w:spacing w:line="240" w:lineRule="auto"/>
              <w:rPr>
                <w:rFonts w:ascii="Verdana" w:hAnsi="Verdana"/>
                <w:sz w:val="20"/>
              </w:rPr>
            </w:pPr>
            <w:r w:rsidRPr="003E1C24">
              <w:rPr>
                <w:rFonts w:ascii="Verdana" w:hAnsi="Verdana"/>
                <w:sz w:val="20"/>
              </w:rPr>
              <w:t>£12,850</w:t>
            </w:r>
          </w:p>
        </w:tc>
        <w:tc>
          <w:tcPr>
            <w:tcW w:w="1083" w:type="dxa"/>
          </w:tcPr>
          <w:p w:rsidR="00517D6A" w:rsidRPr="003E1C24" w:rsidRDefault="00517D6A" w:rsidP="008879B5">
            <w:pPr>
              <w:keepNext/>
              <w:spacing w:line="240" w:lineRule="auto"/>
              <w:rPr>
                <w:rFonts w:ascii="Verdana" w:hAnsi="Verdana"/>
                <w:sz w:val="20"/>
              </w:rPr>
            </w:pPr>
            <w:r w:rsidRPr="003E1C24">
              <w:rPr>
                <w:rFonts w:ascii="Verdana" w:hAnsi="Verdana"/>
                <w:sz w:val="20"/>
              </w:rPr>
              <w:t>47.0 %</w:t>
            </w:r>
          </w:p>
        </w:tc>
      </w:tr>
    </w:tbl>
    <w:p w:rsidR="00517D6A" w:rsidRDefault="00517D6A" w:rsidP="00517D6A">
      <w:pPr>
        <w:spacing w:before="120" w:after="240" w:line="240" w:lineRule="auto"/>
        <w:rPr>
          <w:rFonts w:ascii="Verdana" w:hAnsi="Verdana"/>
          <w:sz w:val="18"/>
          <w:szCs w:val="18"/>
        </w:rPr>
      </w:pPr>
      <w:r w:rsidRPr="003E1C24">
        <w:rPr>
          <w:rFonts w:ascii="Verdana" w:hAnsi="Verdana"/>
          <w:sz w:val="18"/>
          <w:szCs w:val="18"/>
        </w:rPr>
        <w:t xml:space="preserve">BRR – Unmodified BIS Ready </w:t>
      </w:r>
      <w:proofErr w:type="spellStart"/>
      <w:r w:rsidRPr="003E1C24">
        <w:rPr>
          <w:rFonts w:ascii="Verdana" w:hAnsi="Verdana"/>
          <w:sz w:val="18"/>
          <w:szCs w:val="18"/>
        </w:rPr>
        <w:t>Reckoner</w:t>
      </w:r>
      <w:proofErr w:type="spellEnd"/>
      <w:r w:rsidRPr="003E1C24">
        <w:rPr>
          <w:rFonts w:ascii="Verdana" w:hAnsi="Verdana"/>
          <w:sz w:val="18"/>
          <w:szCs w:val="18"/>
        </w:rPr>
        <w:t xml:space="preserve"> model with default parameters. MRR – Modified Ready </w:t>
      </w:r>
      <w:proofErr w:type="spellStart"/>
      <w:r w:rsidRPr="003E1C24">
        <w:rPr>
          <w:rFonts w:ascii="Verdana" w:hAnsi="Verdana"/>
          <w:sz w:val="18"/>
          <w:szCs w:val="18"/>
        </w:rPr>
        <w:t>Reckoner</w:t>
      </w:r>
      <w:proofErr w:type="spellEnd"/>
      <w:r w:rsidRPr="003E1C24">
        <w:rPr>
          <w:rFonts w:ascii="Verdana" w:hAnsi="Verdana"/>
          <w:sz w:val="18"/>
          <w:szCs w:val="18"/>
        </w:rPr>
        <w:t xml:space="preserve"> model with </w:t>
      </w:r>
      <w:r w:rsidR="00012EE8">
        <w:rPr>
          <w:rFonts w:ascii="Verdana" w:hAnsi="Verdana"/>
          <w:sz w:val="18"/>
          <w:szCs w:val="18"/>
        </w:rPr>
        <w:t xml:space="preserve">actual </w:t>
      </w:r>
      <w:r w:rsidRPr="003E1C24">
        <w:rPr>
          <w:rFonts w:ascii="Verdana" w:hAnsi="Verdana"/>
          <w:sz w:val="18"/>
          <w:szCs w:val="18"/>
        </w:rPr>
        <w:t>cost of borrowing</w:t>
      </w:r>
      <w:r w:rsidR="00012EE8">
        <w:rPr>
          <w:rFonts w:ascii="Verdana" w:hAnsi="Verdana"/>
          <w:sz w:val="18"/>
          <w:szCs w:val="18"/>
        </w:rPr>
        <w:t>,</w:t>
      </w:r>
      <w:r w:rsidRPr="003E1C24">
        <w:rPr>
          <w:rFonts w:ascii="Verdana" w:hAnsi="Verdana"/>
          <w:sz w:val="18"/>
          <w:szCs w:val="18"/>
        </w:rPr>
        <w:t xml:space="preserve"> income growth adjusted </w:t>
      </w:r>
      <w:r w:rsidR="00012EE8">
        <w:rPr>
          <w:rFonts w:ascii="Verdana" w:hAnsi="Verdana"/>
          <w:sz w:val="18"/>
          <w:szCs w:val="18"/>
        </w:rPr>
        <w:t xml:space="preserve">and interest charged set </w:t>
      </w:r>
      <w:r w:rsidR="006711AF">
        <w:rPr>
          <w:rFonts w:ascii="Verdana" w:hAnsi="Verdana"/>
          <w:sz w:val="18"/>
          <w:szCs w:val="18"/>
        </w:rPr>
        <w:t>to</w:t>
      </w:r>
      <w:r w:rsidRPr="003E1C24">
        <w:rPr>
          <w:rFonts w:ascii="Verdana" w:hAnsi="Verdana"/>
          <w:sz w:val="18"/>
          <w:szCs w:val="18"/>
        </w:rPr>
        <w:t xml:space="preserve"> 2.2%</w:t>
      </w:r>
      <w:r w:rsidR="00012EE8">
        <w:rPr>
          <w:rFonts w:ascii="Verdana" w:hAnsi="Verdana"/>
          <w:sz w:val="18"/>
          <w:szCs w:val="18"/>
        </w:rPr>
        <w:t>,</w:t>
      </w:r>
      <w:r w:rsidRPr="003E1C24">
        <w:rPr>
          <w:rFonts w:ascii="Verdana" w:hAnsi="Verdana"/>
          <w:sz w:val="18"/>
          <w:szCs w:val="18"/>
        </w:rPr>
        <w:t xml:space="preserve"> 2.0% </w:t>
      </w:r>
      <w:r w:rsidR="00012EE8">
        <w:rPr>
          <w:rFonts w:ascii="Verdana" w:hAnsi="Verdana"/>
          <w:sz w:val="18"/>
          <w:szCs w:val="18"/>
        </w:rPr>
        <w:t xml:space="preserve">and 3.0” </w:t>
      </w:r>
      <w:r w:rsidRPr="003E1C24">
        <w:rPr>
          <w:rFonts w:ascii="Verdana" w:hAnsi="Verdana"/>
          <w:sz w:val="18"/>
          <w:szCs w:val="18"/>
        </w:rPr>
        <w:t xml:space="preserve">pa. </w:t>
      </w:r>
    </w:p>
    <w:p w:rsidR="001465F8" w:rsidRPr="003E1C24" w:rsidRDefault="001465F8" w:rsidP="001465F8">
      <w:pPr>
        <w:keepNext/>
        <w:spacing w:after="240"/>
        <w:rPr>
          <w:rFonts w:ascii="Verdana" w:hAnsi="Verdana"/>
          <w:b/>
          <w:sz w:val="24"/>
          <w:szCs w:val="24"/>
        </w:rPr>
      </w:pPr>
      <w:r>
        <w:rPr>
          <w:rFonts w:ascii="Verdana" w:hAnsi="Verdana"/>
          <w:b/>
          <w:sz w:val="24"/>
          <w:szCs w:val="24"/>
        </w:rPr>
        <w:t>Former student</w:t>
      </w:r>
      <w:r w:rsidRPr="003E1C24">
        <w:rPr>
          <w:rFonts w:ascii="Verdana" w:hAnsi="Verdana"/>
          <w:b/>
          <w:sz w:val="24"/>
          <w:szCs w:val="24"/>
        </w:rPr>
        <w:t>s repaying more than they borrowed</w:t>
      </w:r>
    </w:p>
    <w:p w:rsidR="001465F8" w:rsidRPr="003E1C24" w:rsidRDefault="001465F8" w:rsidP="001465F8">
      <w:pPr>
        <w:numPr>
          <w:ilvl w:val="0"/>
          <w:numId w:val="1"/>
        </w:numPr>
        <w:spacing w:after="240"/>
        <w:rPr>
          <w:rFonts w:ascii="Verdana" w:hAnsi="Verdana"/>
          <w:sz w:val="22"/>
          <w:szCs w:val="22"/>
        </w:rPr>
      </w:pPr>
      <w:r w:rsidRPr="003E1C24">
        <w:rPr>
          <w:rFonts w:ascii="Verdana" w:hAnsi="Verdana"/>
          <w:sz w:val="22"/>
          <w:szCs w:val="22"/>
        </w:rPr>
        <w:t>For those students with a negative RAB, their total repayments when discounted by inflation and the government borrowing rate are greater than the sum they have borrowed. Table A</w:t>
      </w:r>
      <w:r w:rsidR="003F7D58">
        <w:rPr>
          <w:rFonts w:ascii="Verdana" w:hAnsi="Verdana"/>
          <w:sz w:val="22"/>
          <w:szCs w:val="22"/>
        </w:rPr>
        <w:t>8</w:t>
      </w:r>
      <w:r w:rsidRPr="003E1C24">
        <w:rPr>
          <w:rFonts w:ascii="Verdana" w:hAnsi="Verdana"/>
          <w:sz w:val="22"/>
          <w:szCs w:val="22"/>
        </w:rPr>
        <w:t xml:space="preserve"> shows how many former students make such a contribution and their impact on the RAB. These figures show that the scheme would be completely unviable without these contributions from those qualifiers whose income profile means that they pay at the highest rate.</w:t>
      </w:r>
    </w:p>
    <w:p w:rsidR="001465F8" w:rsidRPr="003E1C24" w:rsidRDefault="001465F8" w:rsidP="001465F8">
      <w:pPr>
        <w:spacing w:line="240" w:lineRule="auto"/>
        <w:rPr>
          <w:rFonts w:ascii="Verdana" w:hAnsi="Verdana"/>
          <w:sz w:val="22"/>
          <w:szCs w:val="22"/>
          <w:u w:val="single"/>
        </w:rPr>
      </w:pPr>
      <w:r w:rsidRPr="003E1C24">
        <w:rPr>
          <w:rFonts w:ascii="Verdana" w:hAnsi="Verdana"/>
          <w:sz w:val="22"/>
          <w:szCs w:val="22"/>
          <w:u w:val="single"/>
        </w:rPr>
        <w:t>Table A</w:t>
      </w:r>
      <w:r w:rsidR="003F7D58">
        <w:rPr>
          <w:rFonts w:ascii="Verdana" w:hAnsi="Verdana"/>
          <w:sz w:val="22"/>
          <w:szCs w:val="22"/>
          <w:u w:val="single"/>
        </w:rPr>
        <w:t>8</w:t>
      </w:r>
      <w:r w:rsidRPr="003E1C24">
        <w:rPr>
          <w:rFonts w:ascii="Verdana" w:hAnsi="Verdana"/>
          <w:sz w:val="22"/>
          <w:szCs w:val="22"/>
          <w:u w:val="single"/>
        </w:rPr>
        <w:t>:  Former students with negative RAB values</w:t>
      </w:r>
    </w:p>
    <w:p w:rsidR="001465F8" w:rsidRPr="003E1C24" w:rsidRDefault="001465F8" w:rsidP="001465F8">
      <w:pPr>
        <w:spacing w:line="240" w:lineRule="auto"/>
        <w:rPr>
          <w:rFonts w:ascii="Verdana" w:hAnsi="Verdana"/>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1498"/>
        <w:gridCol w:w="2111"/>
      </w:tblGrid>
      <w:tr w:rsidR="001465F8" w:rsidRPr="003E1C24" w:rsidTr="00D2662C">
        <w:trPr>
          <w:jc w:val="center"/>
        </w:trPr>
        <w:tc>
          <w:tcPr>
            <w:tcW w:w="4437" w:type="dxa"/>
          </w:tcPr>
          <w:p w:rsidR="001465F8" w:rsidRPr="003E1C24" w:rsidRDefault="001465F8" w:rsidP="00D2662C">
            <w:pPr>
              <w:spacing w:line="240" w:lineRule="auto"/>
              <w:rPr>
                <w:rFonts w:ascii="Verdana" w:hAnsi="Verdana"/>
                <w:sz w:val="20"/>
                <w:u w:val="single"/>
              </w:rPr>
            </w:pPr>
          </w:p>
        </w:tc>
        <w:tc>
          <w:tcPr>
            <w:tcW w:w="1498" w:type="dxa"/>
          </w:tcPr>
          <w:p w:rsidR="001465F8" w:rsidRPr="003E1C24" w:rsidRDefault="001465F8" w:rsidP="00D2662C">
            <w:pPr>
              <w:spacing w:line="240" w:lineRule="auto"/>
              <w:rPr>
                <w:rFonts w:ascii="Verdana" w:hAnsi="Verdana"/>
                <w:sz w:val="20"/>
              </w:rPr>
            </w:pPr>
            <w:r w:rsidRPr="003E1C24">
              <w:rPr>
                <w:rFonts w:ascii="Verdana" w:hAnsi="Verdana"/>
                <w:sz w:val="20"/>
              </w:rPr>
              <w:t>Break-even</w:t>
            </w:r>
          </w:p>
        </w:tc>
        <w:tc>
          <w:tcPr>
            <w:tcW w:w="2111" w:type="dxa"/>
          </w:tcPr>
          <w:p w:rsidR="001465F8" w:rsidRPr="003E1C24" w:rsidRDefault="001465F8" w:rsidP="00D2662C">
            <w:pPr>
              <w:spacing w:line="240" w:lineRule="auto"/>
              <w:rPr>
                <w:rFonts w:ascii="Verdana" w:hAnsi="Verdana"/>
                <w:sz w:val="20"/>
              </w:rPr>
            </w:pPr>
            <w:r w:rsidRPr="003E1C24">
              <w:rPr>
                <w:rFonts w:ascii="Verdana" w:hAnsi="Verdana"/>
                <w:sz w:val="20"/>
              </w:rPr>
              <w:t xml:space="preserve">BIS assumption </w:t>
            </w:r>
          </w:p>
        </w:tc>
      </w:tr>
      <w:tr w:rsidR="001465F8" w:rsidRPr="003E1C24" w:rsidTr="00D2662C">
        <w:trPr>
          <w:jc w:val="center"/>
        </w:trPr>
        <w:tc>
          <w:tcPr>
            <w:tcW w:w="4437" w:type="dxa"/>
          </w:tcPr>
          <w:p w:rsidR="001465F8" w:rsidRPr="003E1C24" w:rsidRDefault="001465F8" w:rsidP="004E2151">
            <w:pPr>
              <w:spacing w:line="240" w:lineRule="auto"/>
              <w:rPr>
                <w:rFonts w:ascii="Verdana" w:hAnsi="Verdana"/>
                <w:sz w:val="20"/>
              </w:rPr>
            </w:pPr>
            <w:r>
              <w:rPr>
                <w:rFonts w:ascii="Verdana" w:hAnsi="Verdana"/>
                <w:sz w:val="20"/>
              </w:rPr>
              <w:t>Former student</w:t>
            </w:r>
            <w:r w:rsidRPr="003E1C24">
              <w:rPr>
                <w:rFonts w:ascii="Verdana" w:hAnsi="Verdana"/>
                <w:sz w:val="20"/>
              </w:rPr>
              <w:t>s with negative RAB</w:t>
            </w:r>
          </w:p>
        </w:tc>
        <w:tc>
          <w:tcPr>
            <w:tcW w:w="1498" w:type="dxa"/>
          </w:tcPr>
          <w:p w:rsidR="001465F8" w:rsidRPr="003E1C24" w:rsidRDefault="001465F8" w:rsidP="00D2662C">
            <w:pPr>
              <w:spacing w:line="240" w:lineRule="auto"/>
              <w:rPr>
                <w:rFonts w:ascii="Verdana" w:hAnsi="Verdana"/>
                <w:sz w:val="20"/>
              </w:rPr>
            </w:pPr>
            <w:r w:rsidRPr="003E1C24">
              <w:rPr>
                <w:rFonts w:ascii="Verdana" w:hAnsi="Verdana"/>
                <w:sz w:val="20"/>
              </w:rPr>
              <w:t>55.</w:t>
            </w:r>
            <w:r>
              <w:rPr>
                <w:rFonts w:ascii="Verdana" w:hAnsi="Verdana"/>
                <w:sz w:val="20"/>
              </w:rPr>
              <w:t>5</w:t>
            </w:r>
            <w:r w:rsidRPr="003E1C24">
              <w:rPr>
                <w:rFonts w:ascii="Verdana" w:hAnsi="Verdana"/>
                <w:sz w:val="20"/>
              </w:rPr>
              <w:t>%</w:t>
            </w:r>
          </w:p>
        </w:tc>
        <w:tc>
          <w:tcPr>
            <w:tcW w:w="2111" w:type="dxa"/>
          </w:tcPr>
          <w:p w:rsidR="001465F8" w:rsidRPr="003E1C24" w:rsidRDefault="001465F8" w:rsidP="00D2662C">
            <w:pPr>
              <w:spacing w:line="240" w:lineRule="auto"/>
              <w:rPr>
                <w:rFonts w:ascii="Verdana" w:hAnsi="Verdana"/>
                <w:sz w:val="20"/>
              </w:rPr>
            </w:pPr>
            <w:r w:rsidRPr="003E1C24">
              <w:rPr>
                <w:rFonts w:ascii="Verdana" w:hAnsi="Verdana"/>
                <w:sz w:val="20"/>
              </w:rPr>
              <w:t>4</w:t>
            </w:r>
            <w:r>
              <w:rPr>
                <w:rFonts w:ascii="Verdana" w:hAnsi="Verdana"/>
                <w:sz w:val="20"/>
              </w:rPr>
              <w:t>9</w:t>
            </w:r>
            <w:r w:rsidRPr="003E1C24">
              <w:rPr>
                <w:rFonts w:ascii="Verdana" w:hAnsi="Verdana"/>
                <w:sz w:val="20"/>
              </w:rPr>
              <w:t>.</w:t>
            </w:r>
            <w:r>
              <w:rPr>
                <w:rFonts w:ascii="Verdana" w:hAnsi="Verdana"/>
                <w:sz w:val="20"/>
              </w:rPr>
              <w:t>8</w:t>
            </w:r>
            <w:r w:rsidRPr="003E1C24">
              <w:rPr>
                <w:rFonts w:ascii="Verdana" w:hAnsi="Verdana"/>
                <w:sz w:val="20"/>
              </w:rPr>
              <w:t>%</w:t>
            </w:r>
          </w:p>
        </w:tc>
      </w:tr>
      <w:tr w:rsidR="001465F8" w:rsidRPr="003E1C24" w:rsidTr="00D2662C">
        <w:trPr>
          <w:jc w:val="center"/>
        </w:trPr>
        <w:tc>
          <w:tcPr>
            <w:tcW w:w="4437" w:type="dxa"/>
          </w:tcPr>
          <w:p w:rsidR="001465F8" w:rsidRPr="003E1C24" w:rsidRDefault="001465F8" w:rsidP="00D2662C">
            <w:pPr>
              <w:spacing w:line="240" w:lineRule="auto"/>
              <w:rPr>
                <w:rFonts w:ascii="Verdana" w:hAnsi="Verdana"/>
                <w:sz w:val="20"/>
              </w:rPr>
            </w:pPr>
            <w:r w:rsidRPr="003E1C24">
              <w:rPr>
                <w:rFonts w:ascii="Verdana" w:hAnsi="Verdana"/>
                <w:sz w:val="20"/>
              </w:rPr>
              <w:t xml:space="preserve">RAB with all </w:t>
            </w:r>
            <w:r>
              <w:rPr>
                <w:rFonts w:ascii="Verdana" w:hAnsi="Verdana"/>
                <w:sz w:val="20"/>
              </w:rPr>
              <w:t>former student</w:t>
            </w:r>
            <w:r w:rsidRPr="003E1C24">
              <w:rPr>
                <w:rFonts w:ascii="Verdana" w:hAnsi="Verdana"/>
                <w:sz w:val="20"/>
              </w:rPr>
              <w:t>s</w:t>
            </w:r>
          </w:p>
        </w:tc>
        <w:tc>
          <w:tcPr>
            <w:tcW w:w="1498" w:type="dxa"/>
          </w:tcPr>
          <w:p w:rsidR="001465F8" w:rsidRPr="003E1C24" w:rsidRDefault="001465F8" w:rsidP="00D2662C">
            <w:pPr>
              <w:spacing w:line="240" w:lineRule="auto"/>
              <w:rPr>
                <w:rFonts w:ascii="Verdana" w:hAnsi="Verdana"/>
                <w:sz w:val="20"/>
              </w:rPr>
            </w:pPr>
            <w:r w:rsidRPr="003E1C24">
              <w:rPr>
                <w:rFonts w:ascii="Verdana" w:hAnsi="Verdana"/>
                <w:sz w:val="20"/>
              </w:rPr>
              <w:t>47.0%</w:t>
            </w:r>
          </w:p>
        </w:tc>
        <w:tc>
          <w:tcPr>
            <w:tcW w:w="2111" w:type="dxa"/>
          </w:tcPr>
          <w:p w:rsidR="001465F8" w:rsidRPr="003E1C24" w:rsidRDefault="001465F8" w:rsidP="00D2662C">
            <w:pPr>
              <w:spacing w:line="240" w:lineRule="auto"/>
              <w:rPr>
                <w:rFonts w:ascii="Verdana" w:hAnsi="Verdana"/>
                <w:sz w:val="20"/>
              </w:rPr>
            </w:pPr>
            <w:r w:rsidRPr="003E1C24">
              <w:rPr>
                <w:rFonts w:ascii="Verdana" w:hAnsi="Verdana"/>
                <w:sz w:val="20"/>
              </w:rPr>
              <w:t>34.</w:t>
            </w:r>
            <w:r>
              <w:rPr>
                <w:rFonts w:ascii="Verdana" w:hAnsi="Verdana"/>
                <w:sz w:val="20"/>
              </w:rPr>
              <w:t>6</w:t>
            </w:r>
            <w:r w:rsidRPr="003E1C24">
              <w:rPr>
                <w:rFonts w:ascii="Verdana" w:hAnsi="Verdana"/>
                <w:sz w:val="20"/>
              </w:rPr>
              <w:t>%</w:t>
            </w:r>
          </w:p>
        </w:tc>
      </w:tr>
      <w:tr w:rsidR="001465F8" w:rsidRPr="003E1C24" w:rsidTr="00D2662C">
        <w:trPr>
          <w:jc w:val="center"/>
        </w:trPr>
        <w:tc>
          <w:tcPr>
            <w:tcW w:w="4437" w:type="dxa"/>
          </w:tcPr>
          <w:p w:rsidR="001465F8" w:rsidRPr="003E1C24" w:rsidRDefault="001465F8" w:rsidP="00D2662C">
            <w:pPr>
              <w:spacing w:line="240" w:lineRule="auto"/>
              <w:rPr>
                <w:rFonts w:ascii="Verdana" w:hAnsi="Verdana"/>
                <w:sz w:val="20"/>
              </w:rPr>
            </w:pPr>
            <w:r w:rsidRPr="003E1C24">
              <w:rPr>
                <w:rFonts w:ascii="Verdana" w:hAnsi="Verdana"/>
                <w:sz w:val="20"/>
              </w:rPr>
              <w:t xml:space="preserve">Proportion </w:t>
            </w:r>
            <w:r w:rsidR="006711AF">
              <w:rPr>
                <w:rFonts w:ascii="Verdana" w:hAnsi="Verdana"/>
                <w:sz w:val="20"/>
              </w:rPr>
              <w:t xml:space="preserve">of </w:t>
            </w:r>
            <w:r>
              <w:rPr>
                <w:rFonts w:ascii="Verdana" w:hAnsi="Verdana"/>
                <w:sz w:val="20"/>
              </w:rPr>
              <w:t>former student</w:t>
            </w:r>
            <w:r w:rsidRPr="003E1C24">
              <w:rPr>
                <w:rFonts w:ascii="Verdana" w:hAnsi="Verdana"/>
                <w:sz w:val="20"/>
              </w:rPr>
              <w:t xml:space="preserve">s with negative RAB </w:t>
            </w:r>
          </w:p>
        </w:tc>
        <w:tc>
          <w:tcPr>
            <w:tcW w:w="1498" w:type="dxa"/>
          </w:tcPr>
          <w:p w:rsidR="001465F8" w:rsidRPr="003E1C24" w:rsidRDefault="001465F8" w:rsidP="00D2662C">
            <w:pPr>
              <w:spacing w:line="240" w:lineRule="auto"/>
              <w:rPr>
                <w:rFonts w:ascii="Verdana" w:hAnsi="Verdana"/>
                <w:sz w:val="20"/>
              </w:rPr>
            </w:pPr>
            <w:r w:rsidRPr="003E1C24">
              <w:rPr>
                <w:rFonts w:ascii="Verdana" w:hAnsi="Verdana"/>
                <w:sz w:val="20"/>
              </w:rPr>
              <w:t>1</w:t>
            </w:r>
            <w:r>
              <w:rPr>
                <w:rFonts w:ascii="Verdana" w:hAnsi="Verdana"/>
                <w:sz w:val="20"/>
              </w:rPr>
              <w:t>4</w:t>
            </w:r>
            <w:r w:rsidRPr="003E1C24">
              <w:rPr>
                <w:rFonts w:ascii="Verdana" w:hAnsi="Verdana"/>
                <w:sz w:val="20"/>
              </w:rPr>
              <w:t>%</w:t>
            </w:r>
          </w:p>
        </w:tc>
        <w:tc>
          <w:tcPr>
            <w:tcW w:w="2111" w:type="dxa"/>
          </w:tcPr>
          <w:p w:rsidR="001465F8" w:rsidRPr="003E1C24" w:rsidRDefault="001465F8" w:rsidP="00D2662C">
            <w:pPr>
              <w:spacing w:line="240" w:lineRule="auto"/>
              <w:rPr>
                <w:rFonts w:ascii="Verdana" w:hAnsi="Verdana"/>
                <w:sz w:val="20"/>
              </w:rPr>
            </w:pPr>
            <w:r>
              <w:rPr>
                <w:rFonts w:ascii="Verdana" w:hAnsi="Verdana"/>
                <w:sz w:val="20"/>
              </w:rPr>
              <w:t>28</w:t>
            </w:r>
            <w:r w:rsidRPr="003E1C24">
              <w:rPr>
                <w:rFonts w:ascii="Verdana" w:hAnsi="Verdana"/>
                <w:sz w:val="20"/>
              </w:rPr>
              <w:t>%.</w:t>
            </w:r>
          </w:p>
        </w:tc>
      </w:tr>
    </w:tbl>
    <w:p w:rsidR="001465F8" w:rsidRPr="003E1C24" w:rsidRDefault="001465F8" w:rsidP="001465F8">
      <w:pPr>
        <w:spacing w:before="120" w:after="240" w:line="240" w:lineRule="auto"/>
        <w:rPr>
          <w:rFonts w:ascii="Verdana" w:hAnsi="Verdana"/>
          <w:sz w:val="18"/>
          <w:szCs w:val="18"/>
        </w:rPr>
      </w:pPr>
      <w:r w:rsidRPr="003E1C24">
        <w:rPr>
          <w:rFonts w:ascii="Verdana" w:hAnsi="Verdana"/>
          <w:sz w:val="18"/>
          <w:szCs w:val="18"/>
        </w:rPr>
        <w:t xml:space="preserve">Using modified Ready </w:t>
      </w:r>
      <w:proofErr w:type="spellStart"/>
      <w:r w:rsidRPr="003E1C24">
        <w:rPr>
          <w:rFonts w:ascii="Verdana" w:hAnsi="Verdana"/>
          <w:sz w:val="18"/>
          <w:szCs w:val="18"/>
        </w:rPr>
        <w:t>Reckoner</w:t>
      </w:r>
      <w:proofErr w:type="spellEnd"/>
      <w:r>
        <w:rPr>
          <w:rFonts w:ascii="Verdana" w:hAnsi="Verdana"/>
          <w:sz w:val="18"/>
          <w:szCs w:val="18"/>
        </w:rPr>
        <w:t xml:space="preserve"> with parameters as shown in table A2.</w:t>
      </w:r>
    </w:p>
    <w:p w:rsidR="007C2D5A" w:rsidRDefault="007C2D5A" w:rsidP="00517D6A">
      <w:pPr>
        <w:keepNext/>
        <w:spacing w:after="240"/>
        <w:rPr>
          <w:rFonts w:ascii="Verdana" w:hAnsi="Verdana"/>
          <w:b/>
          <w:sz w:val="24"/>
          <w:szCs w:val="24"/>
        </w:rPr>
      </w:pPr>
      <w:r>
        <w:rPr>
          <w:rFonts w:ascii="Verdana" w:hAnsi="Verdana"/>
          <w:b/>
          <w:sz w:val="24"/>
          <w:szCs w:val="24"/>
        </w:rPr>
        <w:t>Government, IFS and ‘break-even’ RABs</w:t>
      </w:r>
    </w:p>
    <w:p w:rsidR="007C2D5A" w:rsidRDefault="007C2D5A" w:rsidP="005E1107">
      <w:pPr>
        <w:numPr>
          <w:ilvl w:val="0"/>
          <w:numId w:val="1"/>
        </w:numPr>
        <w:spacing w:after="240"/>
        <w:rPr>
          <w:rFonts w:ascii="Verdana" w:hAnsi="Verdana"/>
          <w:sz w:val="22"/>
          <w:szCs w:val="22"/>
        </w:rPr>
      </w:pPr>
      <w:r w:rsidRPr="005E1107">
        <w:rPr>
          <w:rFonts w:ascii="Verdana" w:hAnsi="Verdana"/>
          <w:sz w:val="22"/>
          <w:szCs w:val="22"/>
        </w:rPr>
        <w:t>Shortly after this analysis was first published, the Institute for Fiscal Studies published a commentary on the government’s proposals (</w:t>
      </w:r>
      <w:proofErr w:type="spellStart"/>
      <w:r w:rsidR="00E25FCD" w:rsidRPr="005E1107">
        <w:rPr>
          <w:rFonts w:ascii="Verdana" w:hAnsi="Verdana"/>
          <w:sz w:val="22"/>
          <w:szCs w:val="22"/>
        </w:rPr>
        <w:t>Dearden</w:t>
      </w:r>
      <w:proofErr w:type="spellEnd"/>
      <w:r w:rsidR="00E25FCD" w:rsidRPr="005E1107">
        <w:rPr>
          <w:rFonts w:ascii="Verdana" w:hAnsi="Verdana"/>
          <w:sz w:val="22"/>
          <w:szCs w:val="22"/>
        </w:rPr>
        <w:t xml:space="preserve"> et al, 2010c)</w:t>
      </w:r>
      <w:r w:rsidRPr="005E1107">
        <w:rPr>
          <w:rFonts w:ascii="Verdana" w:hAnsi="Verdana"/>
          <w:sz w:val="22"/>
          <w:szCs w:val="22"/>
        </w:rPr>
        <w:t xml:space="preserve">. </w:t>
      </w:r>
      <w:r w:rsidR="009F3ECF" w:rsidRPr="005E1107">
        <w:rPr>
          <w:rFonts w:ascii="Verdana" w:hAnsi="Verdana"/>
          <w:sz w:val="22"/>
          <w:szCs w:val="22"/>
        </w:rPr>
        <w:t xml:space="preserve">The </w:t>
      </w:r>
      <w:r w:rsidR="005E1107" w:rsidRPr="005E1107">
        <w:rPr>
          <w:rFonts w:ascii="Verdana" w:hAnsi="Verdana"/>
          <w:sz w:val="22"/>
          <w:szCs w:val="22"/>
        </w:rPr>
        <w:t xml:space="preserve">IFS analysis is based on courses of different lengths and a range of maintenance loans, so the RAB values cannot </w:t>
      </w:r>
      <w:r w:rsidR="000278B3">
        <w:rPr>
          <w:rFonts w:ascii="Verdana" w:hAnsi="Verdana"/>
          <w:sz w:val="22"/>
          <w:szCs w:val="22"/>
        </w:rPr>
        <w:t xml:space="preserve">easily </w:t>
      </w:r>
      <w:r w:rsidR="005E1107" w:rsidRPr="005E1107">
        <w:rPr>
          <w:rFonts w:ascii="Verdana" w:hAnsi="Verdana"/>
          <w:sz w:val="22"/>
          <w:szCs w:val="22"/>
        </w:rPr>
        <w:t xml:space="preserve">be compared with those produced from the Ready </w:t>
      </w:r>
      <w:proofErr w:type="spellStart"/>
      <w:r w:rsidR="005E1107" w:rsidRPr="005E1107">
        <w:rPr>
          <w:rFonts w:ascii="Verdana" w:hAnsi="Verdana"/>
          <w:sz w:val="22"/>
          <w:szCs w:val="22"/>
        </w:rPr>
        <w:t>Reckoner</w:t>
      </w:r>
      <w:proofErr w:type="spellEnd"/>
      <w:r w:rsidR="005E1107" w:rsidRPr="005E1107">
        <w:rPr>
          <w:rFonts w:ascii="Verdana" w:hAnsi="Verdana"/>
          <w:sz w:val="22"/>
          <w:szCs w:val="22"/>
        </w:rPr>
        <w:t xml:space="preserve">. Also IFS plan to redo their calculations after clarifying some of the details behind the proposals with government. These </w:t>
      </w:r>
      <w:r w:rsidR="00AF0FC0">
        <w:rPr>
          <w:rFonts w:ascii="Verdana" w:hAnsi="Verdana"/>
          <w:sz w:val="22"/>
          <w:szCs w:val="22"/>
        </w:rPr>
        <w:t xml:space="preserve">revisions </w:t>
      </w:r>
      <w:r w:rsidR="005E1107" w:rsidRPr="005E1107">
        <w:rPr>
          <w:rFonts w:ascii="Verdana" w:hAnsi="Verdana"/>
          <w:sz w:val="22"/>
          <w:szCs w:val="22"/>
        </w:rPr>
        <w:t xml:space="preserve">will </w:t>
      </w:r>
      <w:r w:rsidR="00AF0FC0">
        <w:rPr>
          <w:rFonts w:ascii="Verdana" w:hAnsi="Verdana"/>
          <w:sz w:val="22"/>
          <w:szCs w:val="22"/>
        </w:rPr>
        <w:t xml:space="preserve">probably </w:t>
      </w:r>
      <w:r w:rsidR="005E1107" w:rsidRPr="005E1107">
        <w:rPr>
          <w:rFonts w:ascii="Verdana" w:hAnsi="Verdana"/>
          <w:sz w:val="22"/>
          <w:szCs w:val="22"/>
        </w:rPr>
        <w:t xml:space="preserve">increase contributions from former students and decrease the RAB costs to government. </w:t>
      </w:r>
    </w:p>
    <w:p w:rsidR="005E1107" w:rsidRDefault="005E1107" w:rsidP="005E1107">
      <w:pPr>
        <w:numPr>
          <w:ilvl w:val="0"/>
          <w:numId w:val="1"/>
        </w:numPr>
        <w:spacing w:after="240"/>
        <w:rPr>
          <w:rFonts w:ascii="Verdana" w:hAnsi="Verdana"/>
          <w:sz w:val="22"/>
          <w:szCs w:val="22"/>
        </w:rPr>
      </w:pPr>
      <w:r>
        <w:rPr>
          <w:rFonts w:ascii="Verdana" w:hAnsi="Verdana"/>
          <w:sz w:val="22"/>
          <w:szCs w:val="22"/>
        </w:rPr>
        <w:lastRenderedPageBreak/>
        <w:t xml:space="preserve">So this difference between government and IFS is less than might appear. However, IFS do comment that their estimate of the annual earnings at the top of the distribution is lower than that assumed by government, and to that extent they support our contention that government income growth assumptions look optimistic. </w:t>
      </w:r>
    </w:p>
    <w:p w:rsidR="005E1107" w:rsidRDefault="00C166FA" w:rsidP="007C2D5A">
      <w:pPr>
        <w:numPr>
          <w:ilvl w:val="0"/>
          <w:numId w:val="1"/>
        </w:numPr>
        <w:spacing w:after="240"/>
        <w:rPr>
          <w:rFonts w:ascii="Verdana" w:hAnsi="Verdana"/>
          <w:sz w:val="22"/>
          <w:szCs w:val="22"/>
        </w:rPr>
      </w:pPr>
      <w:r w:rsidRPr="000278B3">
        <w:rPr>
          <w:rFonts w:ascii="Verdana" w:hAnsi="Verdana"/>
          <w:sz w:val="22"/>
          <w:szCs w:val="22"/>
        </w:rPr>
        <w:t xml:space="preserve">The recent </w:t>
      </w:r>
      <w:r w:rsidR="000278B3" w:rsidRPr="000278B3">
        <w:rPr>
          <w:rFonts w:ascii="Verdana" w:hAnsi="Verdana"/>
          <w:sz w:val="22"/>
          <w:szCs w:val="22"/>
        </w:rPr>
        <w:t xml:space="preserve">IFS </w:t>
      </w:r>
      <w:r w:rsidRPr="000278B3">
        <w:rPr>
          <w:rFonts w:ascii="Verdana" w:hAnsi="Verdana"/>
          <w:sz w:val="22"/>
          <w:szCs w:val="22"/>
        </w:rPr>
        <w:t xml:space="preserve">calculations </w:t>
      </w:r>
      <w:r w:rsidR="000278B3" w:rsidRPr="000278B3">
        <w:rPr>
          <w:rFonts w:ascii="Verdana" w:hAnsi="Verdana"/>
          <w:sz w:val="22"/>
          <w:szCs w:val="22"/>
        </w:rPr>
        <w:t>use the same earning profiles as in their earlier work (</w:t>
      </w:r>
      <w:proofErr w:type="spellStart"/>
      <w:r w:rsidR="000278B3" w:rsidRPr="000278B3">
        <w:rPr>
          <w:rFonts w:ascii="Verdana" w:hAnsi="Verdana"/>
          <w:sz w:val="22"/>
          <w:szCs w:val="22"/>
        </w:rPr>
        <w:t>Dearden</w:t>
      </w:r>
      <w:proofErr w:type="spellEnd"/>
      <w:r w:rsidR="000278B3" w:rsidRPr="000278B3">
        <w:rPr>
          <w:rFonts w:ascii="Verdana" w:hAnsi="Verdana"/>
          <w:sz w:val="22"/>
          <w:szCs w:val="22"/>
        </w:rPr>
        <w:t xml:space="preserve"> et al, 2010b) and though these calculations have clearly been carried out with care, there are good reasons for concluding that their income growth forecasts may also turn out to be optimistic</w:t>
      </w:r>
      <w:r w:rsidR="000278B3">
        <w:rPr>
          <w:rStyle w:val="FootnoteReference"/>
          <w:rFonts w:ascii="Verdana" w:hAnsi="Verdana"/>
          <w:sz w:val="22"/>
          <w:szCs w:val="22"/>
        </w:rPr>
        <w:footnoteReference w:id="3"/>
      </w:r>
      <w:r w:rsidR="000278B3" w:rsidRPr="000278B3">
        <w:rPr>
          <w:rFonts w:ascii="Verdana" w:hAnsi="Verdana"/>
          <w:sz w:val="22"/>
          <w:szCs w:val="22"/>
        </w:rPr>
        <w:t xml:space="preserve">. </w:t>
      </w:r>
    </w:p>
    <w:p w:rsidR="00AD6258" w:rsidRPr="00280675" w:rsidRDefault="00AD6258" w:rsidP="00AD6258">
      <w:pPr>
        <w:spacing w:after="240"/>
        <w:rPr>
          <w:rFonts w:ascii="Verdana" w:hAnsi="Verdana"/>
          <w:b/>
          <w:sz w:val="24"/>
          <w:szCs w:val="24"/>
        </w:rPr>
      </w:pPr>
      <w:r w:rsidRPr="00280675">
        <w:rPr>
          <w:rFonts w:ascii="Verdana" w:hAnsi="Verdana"/>
          <w:b/>
          <w:sz w:val="24"/>
          <w:szCs w:val="24"/>
        </w:rPr>
        <w:t>Reporting uncertainty</w:t>
      </w:r>
    </w:p>
    <w:p w:rsidR="00AD6258" w:rsidRDefault="007C2D5A" w:rsidP="007C2D5A">
      <w:pPr>
        <w:numPr>
          <w:ilvl w:val="0"/>
          <w:numId w:val="1"/>
        </w:numPr>
        <w:spacing w:after="240"/>
        <w:rPr>
          <w:rFonts w:ascii="Verdana" w:hAnsi="Verdana"/>
          <w:sz w:val="22"/>
          <w:szCs w:val="22"/>
        </w:rPr>
      </w:pPr>
      <w:r w:rsidRPr="000278B3">
        <w:rPr>
          <w:rFonts w:ascii="Verdana" w:hAnsi="Verdana"/>
          <w:sz w:val="22"/>
          <w:szCs w:val="22"/>
        </w:rPr>
        <w:t xml:space="preserve"> Our break-even values are the result of ‘what if’ analyses, they are not estimates as such, but we argue that the income growth rates that are consistent with these break-even figures are plausible.</w:t>
      </w:r>
      <w:r w:rsidR="006711AF">
        <w:rPr>
          <w:rFonts w:ascii="Verdana" w:hAnsi="Verdana"/>
          <w:sz w:val="22"/>
          <w:szCs w:val="22"/>
        </w:rPr>
        <w:t xml:space="preserve"> Making a judgement as to the credibility of the income growth profiles is appropriate given the uncertainties that the estimates involve.</w:t>
      </w:r>
      <w:r w:rsidRPr="000278B3">
        <w:rPr>
          <w:rFonts w:ascii="Verdana" w:hAnsi="Verdana"/>
          <w:sz w:val="22"/>
          <w:szCs w:val="22"/>
        </w:rPr>
        <w:t xml:space="preserve"> </w:t>
      </w:r>
    </w:p>
    <w:p w:rsidR="00AA1A64" w:rsidRDefault="00AD6258" w:rsidP="007C2D5A">
      <w:pPr>
        <w:numPr>
          <w:ilvl w:val="0"/>
          <w:numId w:val="1"/>
        </w:numPr>
        <w:spacing w:after="240"/>
        <w:rPr>
          <w:rFonts w:ascii="Verdana" w:hAnsi="Verdana"/>
          <w:sz w:val="22"/>
          <w:szCs w:val="22"/>
        </w:rPr>
      </w:pPr>
      <w:r>
        <w:rPr>
          <w:rFonts w:ascii="Verdana" w:hAnsi="Verdana"/>
          <w:sz w:val="22"/>
          <w:szCs w:val="22"/>
        </w:rPr>
        <w:t>We have give</w:t>
      </w:r>
      <w:r w:rsidR="006711AF">
        <w:rPr>
          <w:rFonts w:ascii="Verdana" w:hAnsi="Verdana"/>
          <w:sz w:val="22"/>
          <w:szCs w:val="22"/>
        </w:rPr>
        <w:t>n</w:t>
      </w:r>
      <w:r>
        <w:rPr>
          <w:rFonts w:ascii="Verdana" w:hAnsi="Verdana"/>
          <w:sz w:val="22"/>
          <w:szCs w:val="22"/>
        </w:rPr>
        <w:t xml:space="preserve"> some specific reasons as to why we think the income project</w:t>
      </w:r>
      <w:r w:rsidR="006711AF">
        <w:rPr>
          <w:rFonts w:ascii="Verdana" w:hAnsi="Verdana"/>
          <w:sz w:val="22"/>
          <w:szCs w:val="22"/>
        </w:rPr>
        <w:t>ion</w:t>
      </w:r>
      <w:r>
        <w:rPr>
          <w:rFonts w:ascii="Verdana" w:hAnsi="Verdana"/>
          <w:sz w:val="22"/>
          <w:szCs w:val="22"/>
        </w:rPr>
        <w:t>s of government and IFS may prove to be optimistic, but, more importantly, we would argue that estimating the costs of any long term loan system is difficult</w:t>
      </w:r>
      <w:r w:rsidR="009F7C80">
        <w:rPr>
          <w:rFonts w:ascii="Verdana" w:hAnsi="Verdana"/>
          <w:sz w:val="22"/>
          <w:szCs w:val="22"/>
        </w:rPr>
        <w:t xml:space="preserve">, and estimating costs </w:t>
      </w:r>
      <w:r w:rsidR="007A53D4">
        <w:rPr>
          <w:rFonts w:ascii="Verdana" w:hAnsi="Verdana"/>
          <w:sz w:val="22"/>
          <w:szCs w:val="22"/>
        </w:rPr>
        <w:t xml:space="preserve">for the new proposed system is </w:t>
      </w:r>
      <w:r w:rsidR="001B74C5">
        <w:rPr>
          <w:rFonts w:ascii="Verdana" w:hAnsi="Verdana"/>
          <w:sz w:val="22"/>
          <w:szCs w:val="22"/>
        </w:rPr>
        <w:t xml:space="preserve">particularly </w:t>
      </w:r>
      <w:r w:rsidR="007A53D4">
        <w:rPr>
          <w:rFonts w:ascii="Verdana" w:hAnsi="Verdana"/>
          <w:sz w:val="22"/>
          <w:szCs w:val="22"/>
        </w:rPr>
        <w:t xml:space="preserve">difficult </w:t>
      </w:r>
      <w:r>
        <w:rPr>
          <w:rFonts w:ascii="Verdana" w:hAnsi="Verdana"/>
          <w:sz w:val="22"/>
          <w:szCs w:val="22"/>
        </w:rPr>
        <w:t xml:space="preserve">for two reasons. </w:t>
      </w:r>
      <w:r w:rsidR="007A53D4">
        <w:rPr>
          <w:rFonts w:ascii="Verdana" w:hAnsi="Verdana"/>
          <w:sz w:val="22"/>
          <w:szCs w:val="22"/>
        </w:rPr>
        <w:t>Firstly, a high proportion of the NPV collected is collected in the second half of the repayment period</w:t>
      </w:r>
      <w:r w:rsidR="00A6009B">
        <w:rPr>
          <w:rFonts w:ascii="Verdana" w:hAnsi="Verdana"/>
          <w:sz w:val="22"/>
          <w:szCs w:val="22"/>
        </w:rPr>
        <w:t>.</w:t>
      </w:r>
      <w:r w:rsidR="007A53D4">
        <w:rPr>
          <w:rFonts w:ascii="Verdana" w:hAnsi="Verdana"/>
          <w:sz w:val="22"/>
          <w:szCs w:val="22"/>
        </w:rPr>
        <w:t xml:space="preserve"> To estimate the growth rate of salaries in general, and for former students in particular</w:t>
      </w:r>
      <w:r w:rsidR="00A6009B">
        <w:rPr>
          <w:rFonts w:ascii="Verdana" w:hAnsi="Verdana"/>
          <w:sz w:val="22"/>
          <w:szCs w:val="22"/>
        </w:rPr>
        <w:t>,</w:t>
      </w:r>
      <w:r w:rsidR="007A53D4">
        <w:rPr>
          <w:rFonts w:ascii="Verdana" w:hAnsi="Verdana"/>
          <w:sz w:val="22"/>
          <w:szCs w:val="22"/>
        </w:rPr>
        <w:t xml:space="preserve"> so far in the future</w:t>
      </w:r>
      <w:r w:rsidR="001B74C5">
        <w:rPr>
          <w:rFonts w:ascii="Verdana" w:hAnsi="Verdana"/>
          <w:sz w:val="22"/>
          <w:szCs w:val="22"/>
        </w:rPr>
        <w:t xml:space="preserve"> is </w:t>
      </w:r>
      <w:r w:rsidR="007A53D4">
        <w:rPr>
          <w:rFonts w:ascii="Verdana" w:hAnsi="Verdana"/>
          <w:sz w:val="22"/>
          <w:szCs w:val="22"/>
        </w:rPr>
        <w:t xml:space="preserve">impossible to do with any </w:t>
      </w:r>
      <w:r w:rsidR="001B74C5">
        <w:rPr>
          <w:rFonts w:ascii="Verdana" w:hAnsi="Verdana"/>
          <w:sz w:val="22"/>
          <w:szCs w:val="22"/>
        </w:rPr>
        <w:t>certainty</w:t>
      </w:r>
      <w:r w:rsidR="007A53D4">
        <w:rPr>
          <w:rFonts w:ascii="Verdana" w:hAnsi="Verdana"/>
          <w:sz w:val="22"/>
          <w:szCs w:val="22"/>
        </w:rPr>
        <w:t xml:space="preserve">. To make matters worse, it is important to </w:t>
      </w:r>
      <w:r w:rsidR="00A6009B">
        <w:rPr>
          <w:rFonts w:ascii="Verdana" w:hAnsi="Verdana"/>
          <w:sz w:val="22"/>
          <w:szCs w:val="22"/>
        </w:rPr>
        <w:t>know the</w:t>
      </w:r>
      <w:r w:rsidR="007A53D4">
        <w:rPr>
          <w:rFonts w:ascii="Verdana" w:hAnsi="Verdana"/>
          <w:sz w:val="22"/>
          <w:szCs w:val="22"/>
        </w:rPr>
        <w:t xml:space="preserve"> growth</w:t>
      </w:r>
      <w:r w:rsidR="00A6009B">
        <w:rPr>
          <w:rFonts w:ascii="Verdana" w:hAnsi="Verdana"/>
          <w:sz w:val="22"/>
          <w:szCs w:val="22"/>
        </w:rPr>
        <w:t xml:space="preserve"> rates</w:t>
      </w:r>
      <w:r w:rsidR="007A53D4">
        <w:rPr>
          <w:rFonts w:ascii="Verdana" w:hAnsi="Verdana"/>
          <w:sz w:val="22"/>
          <w:szCs w:val="22"/>
        </w:rPr>
        <w:t xml:space="preserve"> across the distribution of incomes, not just the average, to be able to accurately estimate the RAB. Secondly, the sensitivity of the RAB to changes in the income growth is much higher than for the current system. So the income growth estimation has to be more accurate, even though it has to be made far into the future. </w:t>
      </w:r>
    </w:p>
    <w:p w:rsidR="00B04EEF" w:rsidRDefault="007A53D4" w:rsidP="007C2D5A">
      <w:pPr>
        <w:numPr>
          <w:ilvl w:val="0"/>
          <w:numId w:val="1"/>
        </w:numPr>
        <w:spacing w:after="240"/>
        <w:rPr>
          <w:rFonts w:ascii="Verdana" w:hAnsi="Verdana"/>
          <w:sz w:val="22"/>
          <w:szCs w:val="22"/>
        </w:rPr>
      </w:pPr>
      <w:r>
        <w:rPr>
          <w:rFonts w:ascii="Verdana" w:hAnsi="Verdana"/>
          <w:sz w:val="22"/>
          <w:szCs w:val="22"/>
        </w:rPr>
        <w:t>Table A</w:t>
      </w:r>
      <w:r w:rsidR="00A53C2B">
        <w:rPr>
          <w:rFonts w:ascii="Verdana" w:hAnsi="Verdana"/>
          <w:sz w:val="22"/>
          <w:szCs w:val="22"/>
        </w:rPr>
        <w:t>9</w:t>
      </w:r>
      <w:r>
        <w:rPr>
          <w:rFonts w:ascii="Verdana" w:hAnsi="Verdana"/>
          <w:sz w:val="22"/>
          <w:szCs w:val="22"/>
        </w:rPr>
        <w:t xml:space="preserve"> shows the </w:t>
      </w:r>
      <w:r w:rsidR="00B04EEF">
        <w:rPr>
          <w:rFonts w:ascii="Verdana" w:hAnsi="Verdana"/>
          <w:sz w:val="22"/>
          <w:szCs w:val="22"/>
        </w:rPr>
        <w:t>proportion of NPV collected after 15 years, and the change in the RAB per percentage point change in average income growth, for current and propose</w:t>
      </w:r>
      <w:r w:rsidR="001B74C5">
        <w:rPr>
          <w:rFonts w:ascii="Verdana" w:hAnsi="Verdana"/>
          <w:sz w:val="22"/>
          <w:szCs w:val="22"/>
        </w:rPr>
        <w:t>d loan systems, and for the BIS</w:t>
      </w:r>
      <w:r w:rsidR="00B04EEF">
        <w:rPr>
          <w:rFonts w:ascii="Verdana" w:hAnsi="Verdana"/>
          <w:sz w:val="22"/>
          <w:szCs w:val="22"/>
        </w:rPr>
        <w:t xml:space="preserve"> assumed income growth and the growth required for the break-even RAB.</w:t>
      </w:r>
    </w:p>
    <w:p w:rsidR="001B74C5" w:rsidRDefault="001B74C5">
      <w:pPr>
        <w:spacing w:after="200" w:line="276" w:lineRule="auto"/>
        <w:rPr>
          <w:rFonts w:ascii="Verdana" w:hAnsi="Verdana"/>
          <w:sz w:val="22"/>
          <w:szCs w:val="22"/>
          <w:u w:val="single"/>
        </w:rPr>
      </w:pPr>
      <w:r>
        <w:rPr>
          <w:rFonts w:ascii="Verdana" w:hAnsi="Verdana"/>
          <w:sz w:val="22"/>
          <w:szCs w:val="22"/>
          <w:u w:val="single"/>
        </w:rPr>
        <w:br w:type="page"/>
      </w:r>
    </w:p>
    <w:p w:rsidR="00170D53" w:rsidRPr="00170D53" w:rsidRDefault="00170D53" w:rsidP="00170D53">
      <w:pPr>
        <w:spacing w:after="240"/>
        <w:rPr>
          <w:rFonts w:ascii="Verdana" w:hAnsi="Verdana"/>
          <w:sz w:val="22"/>
          <w:szCs w:val="22"/>
          <w:u w:val="single"/>
        </w:rPr>
      </w:pPr>
      <w:r w:rsidRPr="00170D53">
        <w:rPr>
          <w:rFonts w:ascii="Verdana" w:hAnsi="Verdana"/>
          <w:sz w:val="22"/>
          <w:szCs w:val="22"/>
          <w:u w:val="single"/>
        </w:rPr>
        <w:lastRenderedPageBreak/>
        <w:t>Table A</w:t>
      </w:r>
      <w:r w:rsidR="00A53C2B">
        <w:rPr>
          <w:rFonts w:ascii="Verdana" w:hAnsi="Verdana"/>
          <w:sz w:val="22"/>
          <w:szCs w:val="22"/>
          <w:u w:val="single"/>
        </w:rPr>
        <w:t>9</w:t>
      </w:r>
      <w:r w:rsidRPr="00170D53">
        <w:rPr>
          <w:rFonts w:ascii="Verdana" w:hAnsi="Verdana"/>
          <w:sz w:val="22"/>
          <w:szCs w:val="22"/>
          <w:u w:val="single"/>
        </w:rPr>
        <w:t>: Per cent NPV collected from year 16 (2032) and               Change in RAB with change in income growth</w:t>
      </w:r>
    </w:p>
    <w:tbl>
      <w:tblPr>
        <w:tblStyle w:val="TableGrid"/>
        <w:tblW w:w="0" w:type="auto"/>
        <w:tblLook w:val="04A0"/>
      </w:tblPr>
      <w:tblGrid>
        <w:gridCol w:w="4536"/>
        <w:gridCol w:w="851"/>
        <w:gridCol w:w="953"/>
        <w:gridCol w:w="953"/>
        <w:gridCol w:w="953"/>
      </w:tblGrid>
      <w:tr w:rsidR="001D5083" w:rsidTr="001D5083">
        <w:tc>
          <w:tcPr>
            <w:tcW w:w="4536" w:type="dxa"/>
            <w:tcBorders>
              <w:top w:val="nil"/>
              <w:left w:val="nil"/>
            </w:tcBorders>
          </w:tcPr>
          <w:p w:rsidR="001D5083" w:rsidRPr="00321564" w:rsidRDefault="001D5083" w:rsidP="00321564">
            <w:pPr>
              <w:spacing w:line="240" w:lineRule="auto"/>
              <w:rPr>
                <w:rFonts w:ascii="Verdana" w:hAnsi="Verdana"/>
                <w:sz w:val="20"/>
              </w:rPr>
            </w:pPr>
          </w:p>
        </w:tc>
        <w:tc>
          <w:tcPr>
            <w:tcW w:w="1804" w:type="dxa"/>
            <w:gridSpan w:val="2"/>
          </w:tcPr>
          <w:p w:rsidR="001D5083" w:rsidRPr="00321564" w:rsidRDefault="001D5083" w:rsidP="00321564">
            <w:pPr>
              <w:spacing w:line="240" w:lineRule="auto"/>
              <w:jc w:val="center"/>
              <w:rPr>
                <w:rFonts w:ascii="Verdana" w:hAnsi="Verdana"/>
                <w:b/>
                <w:sz w:val="20"/>
              </w:rPr>
            </w:pPr>
            <w:r w:rsidRPr="00321564">
              <w:rPr>
                <w:rFonts w:ascii="Verdana" w:hAnsi="Verdana"/>
                <w:b/>
                <w:sz w:val="20"/>
              </w:rPr>
              <w:t>Current</w:t>
            </w:r>
          </w:p>
        </w:tc>
        <w:tc>
          <w:tcPr>
            <w:tcW w:w="1906" w:type="dxa"/>
            <w:gridSpan w:val="2"/>
          </w:tcPr>
          <w:p w:rsidR="001D5083" w:rsidRPr="00321564" w:rsidRDefault="001D5083" w:rsidP="00321564">
            <w:pPr>
              <w:spacing w:line="240" w:lineRule="auto"/>
              <w:jc w:val="center"/>
              <w:rPr>
                <w:rFonts w:ascii="Verdana" w:hAnsi="Verdana"/>
                <w:b/>
                <w:sz w:val="20"/>
              </w:rPr>
            </w:pPr>
            <w:r w:rsidRPr="00321564">
              <w:rPr>
                <w:rFonts w:ascii="Verdana" w:hAnsi="Verdana"/>
                <w:b/>
                <w:sz w:val="20"/>
              </w:rPr>
              <w:t>New</w:t>
            </w:r>
          </w:p>
        </w:tc>
      </w:tr>
      <w:tr w:rsidR="00B04EEF" w:rsidTr="001D5083">
        <w:tc>
          <w:tcPr>
            <w:tcW w:w="4536" w:type="dxa"/>
          </w:tcPr>
          <w:p w:rsidR="00B04EEF" w:rsidRPr="00321564" w:rsidRDefault="001D5083" w:rsidP="00321564">
            <w:pPr>
              <w:spacing w:line="240" w:lineRule="auto"/>
              <w:rPr>
                <w:rFonts w:ascii="Verdana" w:hAnsi="Verdana"/>
                <w:b/>
                <w:sz w:val="20"/>
              </w:rPr>
            </w:pPr>
            <w:r w:rsidRPr="00321564">
              <w:rPr>
                <w:rFonts w:ascii="Verdana" w:hAnsi="Verdana"/>
                <w:b/>
                <w:sz w:val="20"/>
              </w:rPr>
              <w:t>Average i</w:t>
            </w:r>
            <w:r w:rsidR="00B04EEF" w:rsidRPr="00321564">
              <w:rPr>
                <w:rFonts w:ascii="Verdana" w:hAnsi="Verdana"/>
                <w:b/>
                <w:sz w:val="20"/>
              </w:rPr>
              <w:t>ncome growth</w:t>
            </w:r>
            <w:r w:rsidRPr="00321564">
              <w:rPr>
                <w:rFonts w:ascii="Verdana" w:hAnsi="Verdana"/>
                <w:b/>
                <w:sz w:val="20"/>
              </w:rPr>
              <w:t xml:space="preserve"> pa</w:t>
            </w:r>
          </w:p>
        </w:tc>
        <w:tc>
          <w:tcPr>
            <w:tcW w:w="851" w:type="dxa"/>
          </w:tcPr>
          <w:p w:rsidR="00B04EEF" w:rsidRPr="00321564" w:rsidRDefault="00B04EEF" w:rsidP="00321564">
            <w:pPr>
              <w:spacing w:line="240" w:lineRule="auto"/>
              <w:jc w:val="center"/>
              <w:rPr>
                <w:rFonts w:ascii="Verdana" w:hAnsi="Verdana"/>
                <w:sz w:val="20"/>
              </w:rPr>
            </w:pPr>
            <w:r w:rsidRPr="00321564">
              <w:rPr>
                <w:rFonts w:ascii="Verdana" w:hAnsi="Verdana"/>
                <w:sz w:val="20"/>
              </w:rPr>
              <w:t>High</w:t>
            </w:r>
          </w:p>
        </w:tc>
        <w:tc>
          <w:tcPr>
            <w:tcW w:w="953" w:type="dxa"/>
          </w:tcPr>
          <w:p w:rsidR="00B04EEF" w:rsidRPr="00321564" w:rsidRDefault="00B04EEF" w:rsidP="00321564">
            <w:pPr>
              <w:spacing w:line="240" w:lineRule="auto"/>
              <w:jc w:val="center"/>
              <w:rPr>
                <w:rFonts w:ascii="Verdana" w:hAnsi="Verdana"/>
                <w:sz w:val="20"/>
              </w:rPr>
            </w:pPr>
            <w:r w:rsidRPr="00321564">
              <w:rPr>
                <w:rFonts w:ascii="Verdana" w:hAnsi="Verdana"/>
                <w:sz w:val="20"/>
              </w:rPr>
              <w:t>Low</w:t>
            </w:r>
          </w:p>
        </w:tc>
        <w:tc>
          <w:tcPr>
            <w:tcW w:w="953" w:type="dxa"/>
          </w:tcPr>
          <w:p w:rsidR="00B04EEF" w:rsidRPr="00321564" w:rsidRDefault="00B04EEF" w:rsidP="00321564">
            <w:pPr>
              <w:spacing w:line="240" w:lineRule="auto"/>
              <w:jc w:val="center"/>
              <w:rPr>
                <w:rFonts w:ascii="Verdana" w:hAnsi="Verdana"/>
                <w:sz w:val="20"/>
              </w:rPr>
            </w:pPr>
            <w:r w:rsidRPr="00321564">
              <w:rPr>
                <w:rFonts w:ascii="Verdana" w:hAnsi="Verdana"/>
                <w:sz w:val="20"/>
              </w:rPr>
              <w:t>High</w:t>
            </w:r>
          </w:p>
        </w:tc>
        <w:tc>
          <w:tcPr>
            <w:tcW w:w="953" w:type="dxa"/>
          </w:tcPr>
          <w:p w:rsidR="00B04EEF" w:rsidRPr="00321564" w:rsidRDefault="00B04EEF" w:rsidP="00321564">
            <w:pPr>
              <w:spacing w:line="240" w:lineRule="auto"/>
              <w:jc w:val="center"/>
              <w:rPr>
                <w:rFonts w:ascii="Verdana" w:hAnsi="Verdana"/>
                <w:sz w:val="20"/>
              </w:rPr>
            </w:pPr>
            <w:r w:rsidRPr="00321564">
              <w:rPr>
                <w:rFonts w:ascii="Verdana" w:hAnsi="Verdana"/>
                <w:sz w:val="20"/>
              </w:rPr>
              <w:t>Low</w:t>
            </w:r>
          </w:p>
        </w:tc>
      </w:tr>
      <w:tr w:rsidR="001D5083" w:rsidTr="001D5083">
        <w:tc>
          <w:tcPr>
            <w:tcW w:w="4536" w:type="dxa"/>
          </w:tcPr>
          <w:p w:rsidR="001D5083" w:rsidRPr="00321564" w:rsidRDefault="001D5083" w:rsidP="00321564">
            <w:pPr>
              <w:spacing w:line="240" w:lineRule="auto"/>
              <w:rPr>
                <w:rFonts w:ascii="Verdana" w:hAnsi="Verdana"/>
                <w:b/>
                <w:sz w:val="20"/>
              </w:rPr>
            </w:pPr>
            <w:r w:rsidRPr="00321564">
              <w:rPr>
                <w:rFonts w:ascii="Verdana" w:hAnsi="Verdana"/>
                <w:b/>
                <w:sz w:val="20"/>
              </w:rPr>
              <w:t>% NPV collected from year 16 (2032)</w:t>
            </w:r>
          </w:p>
        </w:tc>
        <w:tc>
          <w:tcPr>
            <w:tcW w:w="851"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7.9%</w:t>
            </w: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10.3%</w:t>
            </w:r>
          </w:p>
          <w:p w:rsidR="001D5083" w:rsidRPr="00321564" w:rsidRDefault="001D5083" w:rsidP="00321564">
            <w:pPr>
              <w:spacing w:line="240" w:lineRule="auto"/>
              <w:jc w:val="right"/>
              <w:rPr>
                <w:rFonts w:ascii="Verdana" w:hAnsi="Verdana"/>
                <w:sz w:val="20"/>
              </w:rPr>
            </w:pP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40.5%</w:t>
            </w:r>
          </w:p>
          <w:p w:rsidR="001D5083" w:rsidRPr="00321564" w:rsidRDefault="001D5083" w:rsidP="00321564">
            <w:pPr>
              <w:spacing w:line="240" w:lineRule="auto"/>
              <w:jc w:val="right"/>
              <w:rPr>
                <w:rFonts w:ascii="Verdana" w:hAnsi="Verdana"/>
                <w:sz w:val="20"/>
              </w:rPr>
            </w:pP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36.6%</w:t>
            </w:r>
          </w:p>
        </w:tc>
      </w:tr>
      <w:tr w:rsidR="001D5083" w:rsidTr="001D5083">
        <w:tc>
          <w:tcPr>
            <w:tcW w:w="4536" w:type="dxa"/>
          </w:tcPr>
          <w:p w:rsidR="001D5083" w:rsidRPr="00321564" w:rsidRDefault="001D5083" w:rsidP="00321564">
            <w:pPr>
              <w:spacing w:line="240" w:lineRule="auto"/>
              <w:rPr>
                <w:rFonts w:ascii="Verdana" w:hAnsi="Verdana"/>
                <w:b/>
                <w:sz w:val="20"/>
              </w:rPr>
            </w:pPr>
            <w:r w:rsidRPr="00321564">
              <w:rPr>
                <w:rFonts w:ascii="Verdana" w:hAnsi="Verdana"/>
                <w:b/>
                <w:sz w:val="20"/>
              </w:rPr>
              <w:t>Change in RAB per percentage point change in income growth pa</w:t>
            </w:r>
          </w:p>
        </w:tc>
        <w:tc>
          <w:tcPr>
            <w:tcW w:w="851"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1.2</w:t>
            </w:r>
            <w:r w:rsidR="00A6009B" w:rsidRPr="00321564">
              <w:rPr>
                <w:rFonts w:ascii="Verdana" w:hAnsi="Verdana"/>
                <w:sz w:val="20"/>
              </w:rPr>
              <w:t>%</w:t>
            </w:r>
          </w:p>
          <w:p w:rsidR="001D5083" w:rsidRPr="00321564" w:rsidRDefault="001D5083" w:rsidP="00321564">
            <w:pPr>
              <w:spacing w:line="240" w:lineRule="auto"/>
              <w:jc w:val="right"/>
              <w:rPr>
                <w:rFonts w:ascii="Verdana" w:hAnsi="Verdana"/>
                <w:sz w:val="20"/>
              </w:rPr>
            </w:pP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1.8</w:t>
            </w:r>
            <w:r w:rsidR="00A6009B" w:rsidRPr="00321564">
              <w:rPr>
                <w:rFonts w:ascii="Verdana" w:hAnsi="Verdana"/>
                <w:sz w:val="20"/>
              </w:rPr>
              <w:t>%</w:t>
            </w: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9.2</w:t>
            </w:r>
            <w:r w:rsidR="00A6009B" w:rsidRPr="00321564">
              <w:rPr>
                <w:rFonts w:ascii="Verdana" w:hAnsi="Verdana"/>
                <w:sz w:val="20"/>
              </w:rPr>
              <w:t>%</w:t>
            </w:r>
          </w:p>
        </w:tc>
        <w:tc>
          <w:tcPr>
            <w:tcW w:w="953" w:type="dxa"/>
          </w:tcPr>
          <w:p w:rsidR="001D5083" w:rsidRPr="00321564" w:rsidRDefault="001D5083" w:rsidP="00321564">
            <w:pPr>
              <w:spacing w:line="240" w:lineRule="auto"/>
              <w:jc w:val="right"/>
              <w:rPr>
                <w:rFonts w:ascii="Verdana" w:hAnsi="Verdana"/>
                <w:sz w:val="20"/>
              </w:rPr>
            </w:pPr>
            <w:r w:rsidRPr="00321564">
              <w:rPr>
                <w:rFonts w:ascii="Verdana" w:hAnsi="Verdana"/>
                <w:sz w:val="20"/>
              </w:rPr>
              <w:t>12.1</w:t>
            </w:r>
            <w:r w:rsidR="00A6009B" w:rsidRPr="00321564">
              <w:rPr>
                <w:rFonts w:ascii="Verdana" w:hAnsi="Verdana"/>
                <w:sz w:val="20"/>
              </w:rPr>
              <w:t>%</w:t>
            </w:r>
          </w:p>
          <w:p w:rsidR="001D5083" w:rsidRPr="00321564" w:rsidRDefault="001D5083" w:rsidP="00321564">
            <w:pPr>
              <w:spacing w:line="240" w:lineRule="auto"/>
              <w:jc w:val="right"/>
              <w:rPr>
                <w:rFonts w:ascii="Verdana" w:hAnsi="Verdana"/>
                <w:sz w:val="20"/>
              </w:rPr>
            </w:pPr>
          </w:p>
        </w:tc>
      </w:tr>
    </w:tbl>
    <w:p w:rsidR="00280675" w:rsidRPr="003E1C24" w:rsidRDefault="00280675" w:rsidP="00280675">
      <w:pPr>
        <w:spacing w:before="120" w:after="240" w:line="240" w:lineRule="auto"/>
        <w:rPr>
          <w:rFonts w:ascii="Verdana" w:hAnsi="Verdana"/>
          <w:sz w:val="18"/>
          <w:szCs w:val="18"/>
        </w:rPr>
      </w:pPr>
      <w:r w:rsidRPr="003E1C24">
        <w:rPr>
          <w:rFonts w:ascii="Verdana" w:hAnsi="Verdana"/>
          <w:sz w:val="18"/>
          <w:szCs w:val="18"/>
        </w:rPr>
        <w:t xml:space="preserve">Using modified Ready </w:t>
      </w:r>
      <w:proofErr w:type="spellStart"/>
      <w:r w:rsidRPr="003E1C24">
        <w:rPr>
          <w:rFonts w:ascii="Verdana" w:hAnsi="Verdana"/>
          <w:sz w:val="18"/>
          <w:szCs w:val="18"/>
        </w:rPr>
        <w:t>Reckoner</w:t>
      </w:r>
      <w:proofErr w:type="spellEnd"/>
      <w:r>
        <w:rPr>
          <w:rFonts w:ascii="Verdana" w:hAnsi="Verdana"/>
          <w:sz w:val="18"/>
          <w:szCs w:val="18"/>
        </w:rPr>
        <w:t xml:space="preserve"> with parameters as shown in tables A5</w:t>
      </w:r>
      <w:r w:rsidR="00A6009B">
        <w:rPr>
          <w:rFonts w:ascii="Verdana" w:hAnsi="Verdana"/>
          <w:sz w:val="18"/>
          <w:szCs w:val="18"/>
        </w:rPr>
        <w:t xml:space="preserve"> </w:t>
      </w:r>
      <w:r>
        <w:rPr>
          <w:rFonts w:ascii="Verdana" w:hAnsi="Verdana"/>
          <w:sz w:val="18"/>
          <w:szCs w:val="18"/>
        </w:rPr>
        <w:t xml:space="preserve">(current) and </w:t>
      </w:r>
      <w:proofErr w:type="gramStart"/>
      <w:r>
        <w:rPr>
          <w:rFonts w:ascii="Verdana" w:hAnsi="Verdana"/>
          <w:sz w:val="18"/>
          <w:szCs w:val="18"/>
        </w:rPr>
        <w:t>A2(</w:t>
      </w:r>
      <w:proofErr w:type="gramEnd"/>
      <w:r>
        <w:rPr>
          <w:rFonts w:ascii="Verdana" w:hAnsi="Verdana"/>
          <w:sz w:val="18"/>
          <w:szCs w:val="18"/>
        </w:rPr>
        <w:t xml:space="preserve">new). </w:t>
      </w:r>
      <w:proofErr w:type="gramStart"/>
      <w:r>
        <w:rPr>
          <w:rFonts w:ascii="Verdana" w:hAnsi="Verdana"/>
          <w:sz w:val="18"/>
          <w:szCs w:val="18"/>
        </w:rPr>
        <w:t>NPV after 15 years calculated by setting the repayment term to 15.</w:t>
      </w:r>
      <w:proofErr w:type="gramEnd"/>
      <w:r>
        <w:rPr>
          <w:rFonts w:ascii="Verdana" w:hAnsi="Verdana"/>
          <w:sz w:val="18"/>
          <w:szCs w:val="18"/>
        </w:rPr>
        <w:t xml:space="preserve"> </w:t>
      </w:r>
      <w:r w:rsidRPr="00280675">
        <w:rPr>
          <w:rFonts w:ascii="Verdana" w:hAnsi="Verdana"/>
          <w:sz w:val="18"/>
          <w:szCs w:val="18"/>
        </w:rPr>
        <w:t>Change in RAB per percentage point change in income growth pa</w:t>
      </w:r>
      <w:r>
        <w:rPr>
          <w:rFonts w:ascii="Verdana" w:hAnsi="Verdana"/>
          <w:sz w:val="18"/>
          <w:szCs w:val="18"/>
        </w:rPr>
        <w:t xml:space="preserve"> </w:t>
      </w:r>
      <w:r w:rsidR="00A6009B">
        <w:rPr>
          <w:rFonts w:ascii="Verdana" w:hAnsi="Verdana"/>
          <w:sz w:val="18"/>
          <w:szCs w:val="18"/>
        </w:rPr>
        <w:t xml:space="preserve">was </w:t>
      </w:r>
      <w:r>
        <w:rPr>
          <w:rFonts w:ascii="Verdana" w:hAnsi="Verdana"/>
          <w:sz w:val="18"/>
          <w:szCs w:val="18"/>
        </w:rPr>
        <w:t xml:space="preserve">measured by making a small decrease in average total income growth pa. </w:t>
      </w:r>
      <w:proofErr w:type="gramStart"/>
      <w:r>
        <w:rPr>
          <w:rFonts w:ascii="Verdana" w:hAnsi="Verdana"/>
          <w:sz w:val="18"/>
          <w:szCs w:val="18"/>
        </w:rPr>
        <w:t>High income growth following BIS estimates and assumptions.</w:t>
      </w:r>
      <w:proofErr w:type="gramEnd"/>
      <w:r>
        <w:rPr>
          <w:rFonts w:ascii="Verdana" w:hAnsi="Verdana"/>
          <w:sz w:val="18"/>
          <w:szCs w:val="18"/>
        </w:rPr>
        <w:t xml:space="preserve"> </w:t>
      </w:r>
      <w:proofErr w:type="gramStart"/>
      <w:r>
        <w:rPr>
          <w:rFonts w:ascii="Verdana" w:hAnsi="Verdana"/>
          <w:sz w:val="18"/>
          <w:szCs w:val="18"/>
        </w:rPr>
        <w:t>Low income growth using income growth for the break-even RAB.</w:t>
      </w:r>
      <w:proofErr w:type="gramEnd"/>
      <w:r>
        <w:rPr>
          <w:rFonts w:ascii="Verdana" w:hAnsi="Verdana"/>
          <w:sz w:val="18"/>
          <w:szCs w:val="18"/>
        </w:rPr>
        <w:t xml:space="preserve"> </w:t>
      </w:r>
    </w:p>
    <w:p w:rsidR="00AA1A64" w:rsidRDefault="00170D53" w:rsidP="007C2D5A">
      <w:pPr>
        <w:numPr>
          <w:ilvl w:val="0"/>
          <w:numId w:val="1"/>
        </w:numPr>
        <w:spacing w:after="240"/>
        <w:rPr>
          <w:rFonts w:ascii="Verdana" w:hAnsi="Verdana"/>
          <w:sz w:val="22"/>
          <w:szCs w:val="22"/>
        </w:rPr>
      </w:pPr>
      <w:r>
        <w:rPr>
          <w:rFonts w:ascii="Verdana" w:hAnsi="Verdana"/>
          <w:sz w:val="22"/>
          <w:szCs w:val="22"/>
        </w:rPr>
        <w:t>The characteristics of the new system, as illustrated in Table A</w:t>
      </w:r>
      <w:r w:rsidR="00A53C2B">
        <w:rPr>
          <w:rFonts w:ascii="Verdana" w:hAnsi="Verdana"/>
          <w:sz w:val="22"/>
          <w:szCs w:val="22"/>
        </w:rPr>
        <w:t>9</w:t>
      </w:r>
      <w:r w:rsidR="00A6009B">
        <w:rPr>
          <w:rFonts w:ascii="Verdana" w:hAnsi="Verdana"/>
          <w:sz w:val="22"/>
          <w:szCs w:val="22"/>
        </w:rPr>
        <w:t>,</w:t>
      </w:r>
      <w:r>
        <w:rPr>
          <w:rFonts w:ascii="Verdana" w:hAnsi="Verdana"/>
          <w:sz w:val="22"/>
          <w:szCs w:val="22"/>
        </w:rPr>
        <w:t xml:space="preserve"> mean that any estimate of the RAB will entail a large degree of judgement </w:t>
      </w:r>
      <w:r w:rsidR="001B74C5">
        <w:rPr>
          <w:rFonts w:ascii="Verdana" w:hAnsi="Verdana"/>
          <w:sz w:val="22"/>
          <w:szCs w:val="22"/>
        </w:rPr>
        <w:t>about</w:t>
      </w:r>
      <w:r>
        <w:rPr>
          <w:rFonts w:ascii="Verdana" w:hAnsi="Verdana"/>
          <w:sz w:val="22"/>
          <w:szCs w:val="22"/>
        </w:rPr>
        <w:t xml:space="preserve"> the trends in income over the next twenty years and beyond. It is important that </w:t>
      </w:r>
      <w:r w:rsidR="00280675">
        <w:rPr>
          <w:rFonts w:ascii="Verdana" w:hAnsi="Verdana"/>
          <w:sz w:val="22"/>
          <w:szCs w:val="22"/>
        </w:rPr>
        <w:t>the uncertainties in the RAB estimates are made clear</w:t>
      </w:r>
      <w:r w:rsidR="001B74C5">
        <w:rPr>
          <w:rFonts w:ascii="Verdana" w:hAnsi="Verdana"/>
          <w:sz w:val="22"/>
          <w:szCs w:val="22"/>
        </w:rPr>
        <w:t>,</w:t>
      </w:r>
      <w:r w:rsidR="00280675">
        <w:rPr>
          <w:rFonts w:ascii="Verdana" w:hAnsi="Verdana"/>
          <w:sz w:val="22"/>
          <w:szCs w:val="22"/>
        </w:rPr>
        <w:t xml:space="preserve"> with ranges of values rather than a single figure. </w:t>
      </w:r>
    </w:p>
    <w:p w:rsidR="00517D6A" w:rsidRPr="003E1C24" w:rsidRDefault="00517D6A" w:rsidP="00517D6A">
      <w:pPr>
        <w:spacing w:after="240" w:line="240" w:lineRule="auto"/>
        <w:rPr>
          <w:rFonts w:ascii="Verdana" w:hAnsi="Verdana"/>
          <w:b/>
          <w:sz w:val="24"/>
          <w:szCs w:val="24"/>
        </w:rPr>
      </w:pPr>
      <w:r w:rsidRPr="003E1C24">
        <w:rPr>
          <w:rFonts w:ascii="Verdana" w:hAnsi="Verdana"/>
          <w:b/>
          <w:sz w:val="24"/>
          <w:szCs w:val="24"/>
        </w:rPr>
        <w:t>References</w:t>
      </w:r>
    </w:p>
    <w:p w:rsidR="00517D6A" w:rsidRPr="003E1C24" w:rsidRDefault="00517D6A" w:rsidP="00517D6A">
      <w:pPr>
        <w:numPr>
          <w:ilvl w:val="0"/>
          <w:numId w:val="1"/>
        </w:numPr>
        <w:spacing w:after="240"/>
        <w:rPr>
          <w:rFonts w:ascii="Verdana" w:hAnsi="Verdana"/>
          <w:sz w:val="22"/>
          <w:szCs w:val="22"/>
        </w:rPr>
      </w:pPr>
      <w:r w:rsidRPr="003E1C24">
        <w:rPr>
          <w:rFonts w:ascii="Verdana" w:hAnsi="Verdana"/>
          <w:sz w:val="22"/>
          <w:szCs w:val="22"/>
        </w:rPr>
        <w:t xml:space="preserve"> See the main section of the report for the references in Annex A. </w:t>
      </w:r>
    </w:p>
    <w:p w:rsidR="00517D6A" w:rsidRPr="003E1C24" w:rsidRDefault="00517D6A" w:rsidP="00517D6A">
      <w:pPr>
        <w:spacing w:line="240" w:lineRule="auto"/>
        <w:rPr>
          <w:rFonts w:ascii="Verdana" w:hAnsi="Verdana"/>
          <w:b/>
          <w:sz w:val="24"/>
          <w:szCs w:val="24"/>
        </w:rPr>
        <w:sectPr w:rsidR="00517D6A" w:rsidRPr="003E1C24" w:rsidSect="008879B5">
          <w:pgSz w:w="11906" w:h="16838"/>
          <w:pgMar w:top="1440" w:right="1800" w:bottom="1440" w:left="1800" w:header="720" w:footer="720" w:gutter="0"/>
          <w:paperSrc w:first="264" w:other="264"/>
          <w:cols w:space="720"/>
          <w:docGrid w:linePitch="286"/>
        </w:sectPr>
      </w:pPr>
    </w:p>
    <w:p w:rsidR="00517D6A" w:rsidRPr="00DB5337" w:rsidRDefault="00517D6A" w:rsidP="00517D6A">
      <w:pPr>
        <w:spacing w:after="240"/>
        <w:rPr>
          <w:rFonts w:ascii="Verdana" w:hAnsi="Verdana"/>
          <w:b/>
          <w:sz w:val="24"/>
        </w:rPr>
      </w:pPr>
      <w:r w:rsidRPr="00DB5337">
        <w:rPr>
          <w:rFonts w:ascii="Verdana" w:hAnsi="Verdana"/>
          <w:b/>
          <w:sz w:val="24"/>
        </w:rPr>
        <w:lastRenderedPageBreak/>
        <w:t>Annex B: Differences between the Browne Review and Government policies</w:t>
      </w:r>
    </w:p>
    <w:p w:rsidR="00517D6A" w:rsidRPr="003E1C24" w:rsidRDefault="00517D6A" w:rsidP="00517D6A">
      <w:pPr>
        <w:numPr>
          <w:ilvl w:val="0"/>
          <w:numId w:val="4"/>
        </w:numPr>
        <w:spacing w:after="240"/>
        <w:rPr>
          <w:rFonts w:ascii="Verdana" w:hAnsi="Verdana"/>
          <w:sz w:val="22"/>
          <w:szCs w:val="22"/>
        </w:rPr>
      </w:pPr>
      <w:r w:rsidRPr="003E1C24">
        <w:rPr>
          <w:rFonts w:ascii="Verdana" w:hAnsi="Verdana"/>
          <w:sz w:val="22"/>
          <w:szCs w:val="22"/>
        </w:rPr>
        <w:t>The proposals of the Browne Review are all contained within one document. Information for this comparison has been drawn from the following sources:</w:t>
      </w:r>
    </w:p>
    <w:p w:rsidR="00517D6A" w:rsidRPr="003E1C24" w:rsidRDefault="00517D6A" w:rsidP="00517D6A">
      <w:pPr>
        <w:numPr>
          <w:ilvl w:val="0"/>
          <w:numId w:val="2"/>
        </w:numPr>
        <w:spacing w:after="240"/>
        <w:rPr>
          <w:rFonts w:ascii="Verdana" w:hAnsi="Verdana"/>
          <w:sz w:val="22"/>
          <w:szCs w:val="22"/>
        </w:rPr>
      </w:pPr>
      <w:r w:rsidRPr="003E1C24">
        <w:rPr>
          <w:rFonts w:ascii="Verdana" w:hAnsi="Verdana"/>
          <w:sz w:val="22"/>
          <w:szCs w:val="22"/>
        </w:rPr>
        <w:t xml:space="preserve">The Press Release, “Progressive plans for higher education”, 3 November 2010. </w:t>
      </w:r>
    </w:p>
    <w:p w:rsidR="00517D6A" w:rsidRPr="003E1C24" w:rsidRDefault="00517D6A" w:rsidP="00517D6A">
      <w:pPr>
        <w:numPr>
          <w:ilvl w:val="0"/>
          <w:numId w:val="2"/>
        </w:numPr>
        <w:spacing w:after="240"/>
        <w:rPr>
          <w:rFonts w:ascii="Verdana" w:hAnsi="Verdana"/>
          <w:sz w:val="22"/>
          <w:szCs w:val="22"/>
        </w:rPr>
      </w:pPr>
      <w:r w:rsidRPr="003E1C24">
        <w:rPr>
          <w:rFonts w:ascii="Verdana" w:hAnsi="Verdana"/>
          <w:sz w:val="22"/>
          <w:szCs w:val="22"/>
        </w:rPr>
        <w:t xml:space="preserve">The Written Statement, “Statement on Higher Education Funding and Student Finance”, 3 November 2010. </w:t>
      </w:r>
    </w:p>
    <w:p w:rsidR="00517D6A" w:rsidRPr="003E1C24" w:rsidRDefault="00517D6A" w:rsidP="00517D6A">
      <w:pPr>
        <w:numPr>
          <w:ilvl w:val="0"/>
          <w:numId w:val="2"/>
        </w:numPr>
        <w:spacing w:after="240"/>
        <w:rPr>
          <w:rFonts w:ascii="Verdana" w:hAnsi="Verdana"/>
          <w:sz w:val="22"/>
          <w:szCs w:val="22"/>
        </w:rPr>
      </w:pPr>
      <w:r w:rsidRPr="003E1C24">
        <w:rPr>
          <w:rFonts w:ascii="Verdana" w:hAnsi="Verdana"/>
          <w:sz w:val="22"/>
          <w:szCs w:val="22"/>
        </w:rPr>
        <w:t xml:space="preserve">BIS Research and Analysis note, “Background on </w:t>
      </w:r>
      <w:proofErr w:type="gramStart"/>
      <w:r w:rsidRPr="003E1C24">
        <w:rPr>
          <w:rFonts w:ascii="Verdana" w:hAnsi="Verdana"/>
          <w:sz w:val="22"/>
          <w:szCs w:val="22"/>
        </w:rPr>
        <w:t>the  Government</w:t>
      </w:r>
      <w:proofErr w:type="gramEnd"/>
      <w:r w:rsidRPr="003E1C24">
        <w:rPr>
          <w:rFonts w:ascii="Verdana" w:hAnsi="Verdana"/>
          <w:sz w:val="22"/>
          <w:szCs w:val="22"/>
        </w:rPr>
        <w:t xml:space="preserve"> Student Finance Proposals”.</w:t>
      </w:r>
    </w:p>
    <w:p w:rsidR="00517D6A" w:rsidRPr="003E1C24" w:rsidRDefault="00517D6A" w:rsidP="00517D6A">
      <w:pPr>
        <w:numPr>
          <w:ilvl w:val="0"/>
          <w:numId w:val="2"/>
        </w:numPr>
        <w:spacing w:after="240"/>
        <w:rPr>
          <w:rFonts w:ascii="Verdana" w:hAnsi="Verdana"/>
          <w:sz w:val="22"/>
          <w:szCs w:val="22"/>
        </w:rPr>
      </w:pPr>
      <w:r w:rsidRPr="003E1C24">
        <w:rPr>
          <w:rFonts w:ascii="Verdana" w:hAnsi="Verdana"/>
          <w:sz w:val="22"/>
          <w:szCs w:val="22"/>
        </w:rPr>
        <w:t xml:space="preserve">The answers to questions by </w:t>
      </w:r>
      <w:r w:rsidRPr="003E1C24">
        <w:rPr>
          <w:rFonts w:ascii="Verdana" w:hAnsi="Verdana" w:cs="Arial"/>
          <w:sz w:val="22"/>
          <w:szCs w:val="22"/>
        </w:rPr>
        <w:t xml:space="preserve">David </w:t>
      </w:r>
      <w:proofErr w:type="spellStart"/>
      <w:r w:rsidRPr="003E1C24">
        <w:rPr>
          <w:rFonts w:ascii="Verdana" w:hAnsi="Verdana" w:cs="Arial"/>
          <w:sz w:val="22"/>
          <w:szCs w:val="22"/>
        </w:rPr>
        <w:t>Willetts</w:t>
      </w:r>
      <w:proofErr w:type="spellEnd"/>
      <w:r w:rsidRPr="003E1C24">
        <w:rPr>
          <w:rFonts w:ascii="Verdana" w:hAnsi="Verdana" w:cs="Arial"/>
          <w:sz w:val="22"/>
          <w:szCs w:val="22"/>
        </w:rPr>
        <w:t xml:space="preserve"> following his Statement to the Commons on 3 November 2010.</w:t>
      </w:r>
    </w:p>
    <w:p w:rsidR="00517D6A" w:rsidRPr="003E1C24" w:rsidRDefault="00517D6A" w:rsidP="00517D6A">
      <w:pPr>
        <w:numPr>
          <w:ilvl w:val="0"/>
          <w:numId w:val="4"/>
        </w:numPr>
        <w:spacing w:after="240"/>
        <w:rPr>
          <w:rFonts w:ascii="Verdana" w:hAnsi="Verdana"/>
          <w:sz w:val="22"/>
          <w:szCs w:val="22"/>
        </w:rPr>
      </w:pPr>
      <w:r w:rsidRPr="003E1C24">
        <w:rPr>
          <w:rFonts w:ascii="Verdana" w:hAnsi="Verdana"/>
          <w:sz w:val="22"/>
          <w:szCs w:val="22"/>
        </w:rPr>
        <w:t>The Brown</w:t>
      </w:r>
      <w:r>
        <w:rPr>
          <w:rFonts w:ascii="Verdana" w:hAnsi="Verdana"/>
          <w:sz w:val="22"/>
          <w:szCs w:val="22"/>
        </w:rPr>
        <w:t>e</w:t>
      </w:r>
      <w:r w:rsidRPr="003E1C24">
        <w:rPr>
          <w:rFonts w:ascii="Verdana" w:hAnsi="Verdana"/>
          <w:sz w:val="22"/>
          <w:szCs w:val="22"/>
        </w:rPr>
        <w:t xml:space="preserve"> Review, Written Statement and Press Rel</w:t>
      </w:r>
      <w:r>
        <w:rPr>
          <w:rFonts w:ascii="Verdana" w:hAnsi="Verdana"/>
          <w:sz w:val="22"/>
          <w:szCs w:val="22"/>
        </w:rPr>
        <w:t>ease can be found (5/11/10) at:</w:t>
      </w:r>
    </w:p>
    <w:p w:rsidR="00517D6A" w:rsidRPr="003E1C24" w:rsidRDefault="00517D6A" w:rsidP="00517D6A">
      <w:pPr>
        <w:spacing w:after="240"/>
        <w:rPr>
          <w:rFonts w:ascii="Verdana" w:hAnsi="Verdana"/>
          <w:sz w:val="22"/>
          <w:szCs w:val="22"/>
        </w:rPr>
      </w:pPr>
      <w:r w:rsidRPr="003E1C24">
        <w:rPr>
          <w:rFonts w:ascii="Verdana" w:hAnsi="Verdana"/>
          <w:sz w:val="22"/>
          <w:szCs w:val="22"/>
        </w:rPr>
        <w:t>www.bis.gov.uk/news/topstories/2010/Nov/student-finance</w:t>
      </w:r>
    </w:p>
    <w:p w:rsidR="00517D6A" w:rsidRPr="003E1C24" w:rsidRDefault="00517D6A" w:rsidP="00517D6A">
      <w:pPr>
        <w:numPr>
          <w:ilvl w:val="0"/>
          <w:numId w:val="4"/>
        </w:numPr>
        <w:spacing w:after="240"/>
        <w:rPr>
          <w:rFonts w:ascii="Verdana" w:hAnsi="Verdana"/>
          <w:sz w:val="22"/>
          <w:szCs w:val="22"/>
        </w:rPr>
      </w:pPr>
      <w:r w:rsidRPr="003E1C24">
        <w:rPr>
          <w:rFonts w:ascii="Verdana" w:hAnsi="Verdana"/>
          <w:sz w:val="22"/>
          <w:szCs w:val="22"/>
        </w:rPr>
        <w:t>The BIS Research and Analysis  notes can be found (5/11/10) at</w:t>
      </w:r>
    </w:p>
    <w:p w:rsidR="00517D6A" w:rsidRPr="003E1C24" w:rsidRDefault="00517D6A" w:rsidP="00517D6A">
      <w:pPr>
        <w:spacing w:after="240"/>
        <w:rPr>
          <w:rFonts w:ascii="Verdana" w:hAnsi="Verdana"/>
          <w:sz w:val="22"/>
          <w:szCs w:val="22"/>
        </w:rPr>
      </w:pPr>
      <w:r w:rsidRPr="003E1C24">
        <w:rPr>
          <w:rFonts w:ascii="Verdana" w:hAnsi="Verdana"/>
          <w:sz w:val="22"/>
          <w:szCs w:val="22"/>
        </w:rPr>
        <w:t>www.bis.gov.uk/policies/higher-education/research-analysis</w:t>
      </w:r>
    </w:p>
    <w:p w:rsidR="00517D6A" w:rsidRPr="003E1C24" w:rsidRDefault="00517D6A" w:rsidP="00517D6A">
      <w:pPr>
        <w:numPr>
          <w:ilvl w:val="0"/>
          <w:numId w:val="4"/>
        </w:numPr>
        <w:spacing w:after="240"/>
        <w:rPr>
          <w:rFonts w:ascii="Verdana" w:hAnsi="Verdana"/>
          <w:sz w:val="22"/>
          <w:szCs w:val="22"/>
        </w:rPr>
      </w:pPr>
      <w:r w:rsidRPr="003E1C24">
        <w:rPr>
          <w:rFonts w:ascii="Verdana" w:hAnsi="Verdana"/>
          <w:sz w:val="22"/>
          <w:szCs w:val="22"/>
        </w:rPr>
        <w:t>The Commons exchange (6/11/10) at:</w:t>
      </w:r>
    </w:p>
    <w:p w:rsidR="00517D6A" w:rsidRPr="003E1C24" w:rsidRDefault="00517D6A" w:rsidP="00517D6A">
      <w:pPr>
        <w:spacing w:after="240"/>
        <w:rPr>
          <w:rFonts w:ascii="Verdana" w:hAnsi="Verdana"/>
          <w:sz w:val="22"/>
          <w:szCs w:val="22"/>
        </w:rPr>
      </w:pPr>
      <w:r w:rsidRPr="003E1C24">
        <w:rPr>
          <w:rFonts w:ascii="Verdana" w:hAnsi="Verdana"/>
          <w:sz w:val="22"/>
          <w:szCs w:val="22"/>
        </w:rPr>
        <w:t>www.publications.parliament.uk/pa/cm201011/cmhansrd/cm101103/debtext/101103-0001.htm</w:t>
      </w:r>
    </w:p>
    <w:p w:rsidR="00517D6A" w:rsidRPr="003E1C24" w:rsidRDefault="00517D6A" w:rsidP="00517D6A">
      <w:pPr>
        <w:spacing w:after="240"/>
        <w:rPr>
          <w:rFonts w:ascii="Verdana" w:hAnsi="Verdana"/>
          <w:sz w:val="22"/>
          <w:szCs w:val="22"/>
        </w:rPr>
        <w:sectPr w:rsidR="00517D6A" w:rsidRPr="003E1C24" w:rsidSect="008879B5">
          <w:pgSz w:w="11906" w:h="16838"/>
          <w:pgMar w:top="1440" w:right="1800" w:bottom="1440" w:left="1800" w:header="720" w:footer="720" w:gutter="0"/>
          <w:paperSrc w:first="264" w:other="264"/>
          <w:cols w:space="720"/>
          <w:docGrid w:linePitch="28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827"/>
        <w:gridCol w:w="6695"/>
      </w:tblGrid>
      <w:tr w:rsidR="00517D6A" w:rsidRPr="00751D68" w:rsidTr="008879B5">
        <w:tc>
          <w:tcPr>
            <w:tcW w:w="3652" w:type="dxa"/>
          </w:tcPr>
          <w:p w:rsidR="00517D6A" w:rsidRPr="00751D68" w:rsidRDefault="00517D6A" w:rsidP="008879B5">
            <w:pPr>
              <w:spacing w:line="240" w:lineRule="auto"/>
              <w:rPr>
                <w:rFonts w:ascii="Verdana" w:hAnsi="Verdana"/>
                <w:sz w:val="20"/>
              </w:rPr>
            </w:pPr>
          </w:p>
        </w:tc>
        <w:tc>
          <w:tcPr>
            <w:tcW w:w="3827" w:type="dxa"/>
          </w:tcPr>
          <w:p w:rsidR="00517D6A" w:rsidRPr="00751D68" w:rsidRDefault="00517D6A" w:rsidP="008879B5">
            <w:pPr>
              <w:spacing w:line="240" w:lineRule="auto"/>
              <w:rPr>
                <w:rFonts w:ascii="Verdana" w:hAnsi="Verdana"/>
                <w:b/>
                <w:sz w:val="20"/>
              </w:rPr>
            </w:pPr>
            <w:r w:rsidRPr="00751D68">
              <w:rPr>
                <w:rFonts w:ascii="Verdana" w:hAnsi="Verdana"/>
                <w:b/>
                <w:sz w:val="20"/>
              </w:rPr>
              <w:t>Browne</w:t>
            </w:r>
          </w:p>
        </w:tc>
        <w:tc>
          <w:tcPr>
            <w:tcW w:w="6695" w:type="dxa"/>
          </w:tcPr>
          <w:p w:rsidR="00517D6A" w:rsidRPr="00751D68" w:rsidRDefault="00517D6A" w:rsidP="008879B5">
            <w:pPr>
              <w:spacing w:line="240" w:lineRule="auto"/>
              <w:rPr>
                <w:rFonts w:ascii="Verdana" w:hAnsi="Verdana"/>
                <w:b/>
                <w:sz w:val="20"/>
              </w:rPr>
            </w:pPr>
            <w:r w:rsidRPr="00751D68">
              <w:rPr>
                <w:rFonts w:ascii="Verdana" w:hAnsi="Verdana"/>
                <w:b/>
                <w:sz w:val="20"/>
              </w:rPr>
              <w:t>Government</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Maximum fee</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 xml:space="preserve">No limit </w:t>
            </w:r>
          </w:p>
        </w:tc>
        <w:tc>
          <w:tcPr>
            <w:tcW w:w="6695" w:type="dxa"/>
          </w:tcPr>
          <w:p w:rsidR="00517D6A" w:rsidRPr="00751D68" w:rsidRDefault="00517D6A" w:rsidP="008879B5">
            <w:pPr>
              <w:spacing w:line="240" w:lineRule="auto"/>
              <w:rPr>
                <w:rFonts w:ascii="Verdana" w:hAnsi="Verdana"/>
                <w:b/>
                <w:sz w:val="20"/>
              </w:rPr>
            </w:pPr>
            <w:r w:rsidRPr="00751D68">
              <w:rPr>
                <w:rFonts w:ascii="Verdana" w:hAnsi="Verdana"/>
                <w:b/>
                <w:sz w:val="20"/>
              </w:rPr>
              <w:t>£9</w:t>
            </w:r>
            <w:r>
              <w:rPr>
                <w:rFonts w:ascii="Verdana" w:hAnsi="Verdana"/>
                <w:b/>
                <w:sz w:val="20"/>
              </w:rPr>
              <w:t>,</w:t>
            </w:r>
            <w:r w:rsidRPr="00751D68">
              <w:rPr>
                <w:rFonts w:ascii="Verdana" w:hAnsi="Verdana"/>
                <w:b/>
                <w:sz w:val="20"/>
              </w:rPr>
              <w:t xml:space="preserve">000 </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 xml:space="preserve">Maximum fee without access conditions </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£0</w:t>
            </w:r>
          </w:p>
        </w:tc>
        <w:tc>
          <w:tcPr>
            <w:tcW w:w="6695" w:type="dxa"/>
          </w:tcPr>
          <w:p w:rsidR="00517D6A" w:rsidRPr="00751D68" w:rsidRDefault="00517D6A" w:rsidP="008879B5">
            <w:pPr>
              <w:spacing w:line="240" w:lineRule="auto"/>
              <w:rPr>
                <w:rFonts w:ascii="Verdana" w:hAnsi="Verdana"/>
                <w:b/>
                <w:sz w:val="20"/>
              </w:rPr>
            </w:pPr>
            <w:r w:rsidRPr="00751D68">
              <w:rPr>
                <w:rFonts w:ascii="Verdana" w:hAnsi="Verdana"/>
                <w:b/>
                <w:sz w:val="20"/>
              </w:rPr>
              <w:t>£6</w:t>
            </w:r>
            <w:r>
              <w:rPr>
                <w:rFonts w:ascii="Verdana" w:hAnsi="Verdana"/>
                <w:b/>
                <w:sz w:val="20"/>
              </w:rPr>
              <w:t>,</w:t>
            </w:r>
            <w:r w:rsidRPr="00751D68">
              <w:rPr>
                <w:rFonts w:ascii="Verdana" w:hAnsi="Verdana"/>
                <w:b/>
                <w:sz w:val="20"/>
              </w:rPr>
              <w:t xml:space="preserve">000 </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Institutional levy on fees</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Levy on fees over £6</w:t>
            </w:r>
            <w:r>
              <w:rPr>
                <w:rFonts w:ascii="Verdana" w:hAnsi="Verdana"/>
                <w:sz w:val="20"/>
              </w:rPr>
              <w:t>,</w:t>
            </w:r>
            <w:r w:rsidRPr="00751D68">
              <w:rPr>
                <w:rFonts w:ascii="Verdana" w:hAnsi="Verdana"/>
                <w:sz w:val="20"/>
              </w:rPr>
              <w:t xml:space="preserve">000 </w:t>
            </w:r>
          </w:p>
        </w:tc>
        <w:tc>
          <w:tcPr>
            <w:tcW w:w="6695" w:type="dxa"/>
          </w:tcPr>
          <w:p w:rsidR="00517D6A" w:rsidRPr="00751D68" w:rsidRDefault="00517D6A" w:rsidP="008879B5">
            <w:pPr>
              <w:spacing w:line="240" w:lineRule="auto"/>
              <w:rPr>
                <w:rFonts w:ascii="Verdana" w:hAnsi="Verdana"/>
                <w:b/>
                <w:sz w:val="20"/>
              </w:rPr>
            </w:pPr>
            <w:r w:rsidRPr="00751D68">
              <w:rPr>
                <w:rFonts w:ascii="Verdana" w:hAnsi="Verdana"/>
                <w:b/>
                <w:sz w:val="20"/>
              </w:rPr>
              <w:t>No levy</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Threshold income for repayment</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£21,000 linked to average earnings</w:t>
            </w:r>
          </w:p>
        </w:tc>
        <w:tc>
          <w:tcPr>
            <w:tcW w:w="6695" w:type="dxa"/>
          </w:tcPr>
          <w:p w:rsidR="00517D6A" w:rsidRPr="00751D68" w:rsidRDefault="00517D6A" w:rsidP="008879B5">
            <w:pPr>
              <w:spacing w:line="240" w:lineRule="auto"/>
              <w:rPr>
                <w:rFonts w:ascii="Verdana" w:hAnsi="Verdana"/>
                <w:sz w:val="20"/>
              </w:rPr>
            </w:pPr>
            <w:r w:rsidRPr="00751D68">
              <w:rPr>
                <w:rFonts w:ascii="Verdana" w:hAnsi="Verdana"/>
                <w:sz w:val="20"/>
              </w:rPr>
              <w:t>£21,000 linked to average earnings</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Frequency of threshold updates</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Reviewed regularly</w:t>
            </w:r>
          </w:p>
        </w:tc>
        <w:tc>
          <w:tcPr>
            <w:tcW w:w="6695" w:type="dxa"/>
          </w:tcPr>
          <w:p w:rsidR="00517D6A" w:rsidRPr="00751D68" w:rsidRDefault="00517D6A" w:rsidP="008879B5">
            <w:pPr>
              <w:spacing w:line="240" w:lineRule="auto"/>
              <w:rPr>
                <w:rFonts w:ascii="Verdana" w:hAnsi="Verdana"/>
                <w:b/>
                <w:sz w:val="20"/>
              </w:rPr>
            </w:pPr>
            <w:r w:rsidRPr="00751D68">
              <w:rPr>
                <w:rFonts w:ascii="Verdana" w:hAnsi="Verdana"/>
                <w:b/>
                <w:sz w:val="20"/>
              </w:rPr>
              <w:t>BIS model updates every five years</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 xml:space="preserve">Real interest rate </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Cost of government borrowing (2.2</w:t>
            </w:r>
            <w:r>
              <w:rPr>
                <w:rFonts w:ascii="Verdana" w:hAnsi="Verdana"/>
                <w:sz w:val="20"/>
              </w:rPr>
              <w:t xml:space="preserve"> per cent</w:t>
            </w:r>
            <w:r w:rsidRPr="00751D68">
              <w:rPr>
                <w:rFonts w:ascii="Verdana" w:hAnsi="Verdana"/>
                <w:sz w:val="20"/>
              </w:rPr>
              <w:t>)</w:t>
            </w:r>
          </w:p>
        </w:tc>
        <w:tc>
          <w:tcPr>
            <w:tcW w:w="6695" w:type="dxa"/>
          </w:tcPr>
          <w:p w:rsidR="00517D6A" w:rsidRPr="00751D68" w:rsidRDefault="00517D6A" w:rsidP="00697798">
            <w:pPr>
              <w:spacing w:line="240" w:lineRule="auto"/>
              <w:rPr>
                <w:rFonts w:ascii="Verdana" w:hAnsi="Verdana"/>
                <w:b/>
                <w:sz w:val="20"/>
              </w:rPr>
            </w:pPr>
            <w:r>
              <w:rPr>
                <w:rFonts w:ascii="Verdana" w:hAnsi="Verdana"/>
                <w:b/>
                <w:sz w:val="20"/>
              </w:rPr>
              <w:t>3.0 per cent</w:t>
            </w:r>
            <w:r w:rsidR="000C03A8">
              <w:rPr>
                <w:rFonts w:ascii="Verdana" w:hAnsi="Verdana"/>
                <w:b/>
                <w:sz w:val="20"/>
              </w:rPr>
              <w:t xml:space="preserve"> </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 xml:space="preserve">Real interest rate with income below threshold income for repayment </w:t>
            </w:r>
          </w:p>
        </w:tc>
        <w:tc>
          <w:tcPr>
            <w:tcW w:w="3827" w:type="dxa"/>
          </w:tcPr>
          <w:p w:rsidR="00517D6A" w:rsidRPr="00751D68" w:rsidRDefault="00517D6A" w:rsidP="008879B5">
            <w:pPr>
              <w:spacing w:line="240" w:lineRule="auto"/>
              <w:rPr>
                <w:rFonts w:ascii="Verdana" w:hAnsi="Verdana"/>
                <w:sz w:val="20"/>
              </w:rPr>
            </w:pPr>
            <w:r>
              <w:rPr>
                <w:rFonts w:ascii="Verdana" w:hAnsi="Verdana"/>
                <w:sz w:val="20"/>
              </w:rPr>
              <w:t>0 per cent</w:t>
            </w:r>
          </w:p>
        </w:tc>
        <w:tc>
          <w:tcPr>
            <w:tcW w:w="6695" w:type="dxa"/>
          </w:tcPr>
          <w:p w:rsidR="00517D6A" w:rsidRPr="00751D68" w:rsidRDefault="00517D6A" w:rsidP="008879B5">
            <w:pPr>
              <w:spacing w:line="240" w:lineRule="auto"/>
              <w:rPr>
                <w:rFonts w:ascii="Verdana" w:hAnsi="Verdana"/>
                <w:sz w:val="20"/>
              </w:rPr>
            </w:pPr>
            <w:r>
              <w:rPr>
                <w:rFonts w:ascii="Verdana" w:hAnsi="Verdana"/>
                <w:sz w:val="20"/>
              </w:rPr>
              <w:t>0 per cent</w:t>
            </w:r>
          </w:p>
        </w:tc>
      </w:tr>
      <w:tr w:rsidR="00517D6A" w:rsidRPr="00751D68" w:rsidTr="008879B5">
        <w:tc>
          <w:tcPr>
            <w:tcW w:w="3652" w:type="dxa"/>
          </w:tcPr>
          <w:p w:rsidR="00517D6A" w:rsidRPr="00751D68" w:rsidRDefault="00517D6A" w:rsidP="008879B5">
            <w:pPr>
              <w:spacing w:line="240" w:lineRule="auto"/>
              <w:rPr>
                <w:rFonts w:ascii="Verdana" w:hAnsi="Verdana"/>
                <w:sz w:val="20"/>
              </w:rPr>
            </w:pPr>
            <w:r w:rsidRPr="00751D68">
              <w:rPr>
                <w:rFonts w:ascii="Verdana" w:hAnsi="Verdana"/>
                <w:sz w:val="20"/>
              </w:rPr>
              <w:t>Real interest rate with income above threshold income for repayment but below some other level.</w:t>
            </w:r>
          </w:p>
        </w:tc>
        <w:tc>
          <w:tcPr>
            <w:tcW w:w="3827" w:type="dxa"/>
          </w:tcPr>
          <w:p w:rsidR="00517D6A" w:rsidRPr="00751D68" w:rsidRDefault="00517D6A" w:rsidP="008879B5">
            <w:pPr>
              <w:spacing w:line="240" w:lineRule="auto"/>
              <w:rPr>
                <w:rFonts w:ascii="Verdana" w:hAnsi="Verdana"/>
                <w:sz w:val="20"/>
              </w:rPr>
            </w:pPr>
            <w:r w:rsidRPr="00751D68">
              <w:rPr>
                <w:rFonts w:ascii="Verdana" w:hAnsi="Verdana"/>
                <w:sz w:val="20"/>
              </w:rPr>
              <w:t>Interest reduced where repayment does not cover full (2.2</w:t>
            </w:r>
            <w:r>
              <w:rPr>
                <w:rFonts w:ascii="Verdana" w:hAnsi="Verdana"/>
                <w:sz w:val="20"/>
              </w:rPr>
              <w:t xml:space="preserve"> per cent</w:t>
            </w:r>
            <w:r w:rsidRPr="00751D68">
              <w:rPr>
                <w:rFonts w:ascii="Verdana" w:hAnsi="Verdana"/>
                <w:sz w:val="20"/>
              </w:rPr>
              <w:t xml:space="preserve"> p</w:t>
            </w:r>
            <w:r>
              <w:rPr>
                <w:rFonts w:ascii="Verdana" w:hAnsi="Verdana"/>
                <w:sz w:val="20"/>
              </w:rPr>
              <w:t xml:space="preserve">er </w:t>
            </w:r>
            <w:r w:rsidRPr="00751D68">
              <w:rPr>
                <w:rFonts w:ascii="Verdana" w:hAnsi="Verdana"/>
                <w:sz w:val="20"/>
              </w:rPr>
              <w:t>a</w:t>
            </w:r>
            <w:r>
              <w:rPr>
                <w:rFonts w:ascii="Verdana" w:hAnsi="Verdana"/>
                <w:sz w:val="20"/>
              </w:rPr>
              <w:t>nnum</w:t>
            </w:r>
            <w:r w:rsidRPr="00751D68">
              <w:rPr>
                <w:rFonts w:ascii="Verdana" w:hAnsi="Verdana"/>
                <w:sz w:val="20"/>
              </w:rPr>
              <w:t>) interest charge. No income limit to this interest reduction.</w:t>
            </w:r>
          </w:p>
        </w:tc>
        <w:tc>
          <w:tcPr>
            <w:tcW w:w="6695" w:type="dxa"/>
          </w:tcPr>
          <w:p w:rsidR="00517D6A" w:rsidRDefault="00517D6A" w:rsidP="008879B5">
            <w:pPr>
              <w:spacing w:line="240" w:lineRule="auto"/>
              <w:rPr>
                <w:rFonts w:ascii="Verdana" w:hAnsi="Verdana"/>
                <w:b/>
                <w:sz w:val="20"/>
              </w:rPr>
            </w:pPr>
            <w:r w:rsidRPr="00751D68">
              <w:rPr>
                <w:rFonts w:ascii="Verdana" w:hAnsi="Verdana"/>
                <w:b/>
                <w:sz w:val="20"/>
              </w:rPr>
              <w:t>For incomes up to “around £41,000” interest reduced to maximum of 3</w:t>
            </w:r>
            <w:r>
              <w:rPr>
                <w:rFonts w:ascii="Verdana" w:hAnsi="Verdana"/>
                <w:b/>
                <w:sz w:val="20"/>
              </w:rPr>
              <w:t xml:space="preserve"> per cent per annum</w:t>
            </w:r>
            <w:r w:rsidRPr="00751D68">
              <w:rPr>
                <w:rFonts w:ascii="Verdana" w:hAnsi="Verdana"/>
                <w:b/>
                <w:sz w:val="20"/>
              </w:rPr>
              <w:t>. Not clear whether the £41,000 is a firm threshold or an estimate of what the highest income would be in practice. If it is a threshold then those above £41,000 would see debts of over £60,000 increase. With maximum fees of £9</w:t>
            </w:r>
            <w:r>
              <w:rPr>
                <w:rFonts w:ascii="Verdana" w:hAnsi="Verdana"/>
                <w:b/>
                <w:sz w:val="20"/>
              </w:rPr>
              <w:t>,</w:t>
            </w:r>
            <w:r w:rsidRPr="00751D68">
              <w:rPr>
                <w:rFonts w:ascii="Verdana" w:hAnsi="Verdana"/>
                <w:b/>
                <w:sz w:val="20"/>
              </w:rPr>
              <w:t>000</w:t>
            </w:r>
            <w:r w:rsidR="000C03A8">
              <w:rPr>
                <w:rFonts w:ascii="Verdana" w:hAnsi="Verdana"/>
                <w:b/>
                <w:sz w:val="20"/>
              </w:rPr>
              <w:t xml:space="preserve"> pa</w:t>
            </w:r>
            <w:r w:rsidRPr="00751D68">
              <w:rPr>
                <w:rFonts w:ascii="Verdana" w:hAnsi="Verdana"/>
                <w:b/>
                <w:sz w:val="20"/>
              </w:rPr>
              <w:t xml:space="preserve"> and maintenance loans of £5,500</w:t>
            </w:r>
            <w:r>
              <w:rPr>
                <w:rFonts w:ascii="Verdana" w:hAnsi="Verdana"/>
                <w:b/>
                <w:sz w:val="20"/>
              </w:rPr>
              <w:t>,</w:t>
            </w:r>
            <w:r w:rsidRPr="00751D68">
              <w:rPr>
                <w:rFonts w:ascii="Verdana" w:hAnsi="Verdana"/>
                <w:b/>
                <w:sz w:val="20"/>
              </w:rPr>
              <w:t xml:space="preserve"> loans greater than £60,000 can only occur for students studying for more than four years. </w:t>
            </w:r>
          </w:p>
          <w:p w:rsidR="00D2662C" w:rsidRDefault="00D2662C" w:rsidP="008879B5">
            <w:pPr>
              <w:spacing w:line="240" w:lineRule="auto"/>
              <w:rPr>
                <w:rFonts w:ascii="Verdana" w:hAnsi="Verdana"/>
                <w:b/>
                <w:sz w:val="20"/>
              </w:rPr>
            </w:pPr>
          </w:p>
          <w:p w:rsidR="00D2662C" w:rsidRDefault="00D2662C" w:rsidP="008879B5">
            <w:pPr>
              <w:spacing w:line="240" w:lineRule="auto"/>
              <w:rPr>
                <w:rFonts w:ascii="Verdana" w:hAnsi="Verdana"/>
                <w:b/>
                <w:sz w:val="20"/>
              </w:rPr>
            </w:pPr>
            <w:r>
              <w:rPr>
                <w:rFonts w:ascii="Verdana" w:hAnsi="Verdana"/>
                <w:b/>
                <w:sz w:val="20"/>
              </w:rPr>
              <w:t>Details of the interest taper have not been announced but the BIS model includes a system whereby r</w:t>
            </w:r>
            <w:r w:rsidRPr="00D2662C">
              <w:rPr>
                <w:rFonts w:ascii="Verdana" w:hAnsi="Verdana"/>
                <w:b/>
                <w:sz w:val="20"/>
              </w:rPr>
              <w:t xml:space="preserve">eal interest </w:t>
            </w:r>
            <w:r>
              <w:rPr>
                <w:rFonts w:ascii="Verdana" w:hAnsi="Verdana"/>
                <w:b/>
                <w:sz w:val="20"/>
              </w:rPr>
              <w:t>is</w:t>
            </w:r>
            <w:r w:rsidRPr="00D2662C">
              <w:rPr>
                <w:rFonts w:ascii="Verdana" w:hAnsi="Verdana"/>
                <w:b/>
                <w:sz w:val="20"/>
              </w:rPr>
              <w:t xml:space="preserve"> linearly based on income</w:t>
            </w:r>
            <w:r>
              <w:rPr>
                <w:rFonts w:ascii="Verdana" w:hAnsi="Verdana"/>
                <w:b/>
                <w:sz w:val="20"/>
              </w:rPr>
              <w:t xml:space="preserve"> and independent of debt. The real interest charged would be </w:t>
            </w:r>
            <w:r w:rsidR="000C03A8">
              <w:rPr>
                <w:rFonts w:ascii="Verdana" w:hAnsi="Verdana"/>
                <w:b/>
                <w:sz w:val="20"/>
              </w:rPr>
              <w:t xml:space="preserve">                      </w:t>
            </w:r>
            <w:r>
              <w:rPr>
                <w:rFonts w:ascii="Verdana" w:hAnsi="Verdana"/>
                <w:b/>
                <w:sz w:val="20"/>
              </w:rPr>
              <w:t>3%</w:t>
            </w:r>
            <w:r w:rsidR="000C03A8">
              <w:rPr>
                <w:rFonts w:ascii="Verdana" w:hAnsi="Verdana"/>
                <w:b/>
                <w:sz w:val="20"/>
              </w:rPr>
              <w:t xml:space="preserve"> </w:t>
            </w:r>
            <w:r>
              <w:rPr>
                <w:rFonts w:ascii="Verdana" w:hAnsi="Verdana"/>
                <w:b/>
                <w:sz w:val="20"/>
              </w:rPr>
              <w:t>x</w:t>
            </w:r>
            <w:r w:rsidR="000C03A8">
              <w:rPr>
                <w:rFonts w:ascii="Verdana" w:hAnsi="Verdana"/>
                <w:b/>
                <w:sz w:val="20"/>
              </w:rPr>
              <w:t xml:space="preserve"> </w:t>
            </w:r>
            <w:r>
              <w:rPr>
                <w:rFonts w:ascii="Verdana" w:hAnsi="Verdana"/>
                <w:b/>
                <w:sz w:val="20"/>
              </w:rPr>
              <w:t>(</w:t>
            </w:r>
            <w:r w:rsidR="000C03A8">
              <w:rPr>
                <w:rFonts w:ascii="Verdana" w:hAnsi="Verdana"/>
                <w:b/>
                <w:sz w:val="20"/>
              </w:rPr>
              <w:t>£</w:t>
            </w:r>
            <w:r>
              <w:rPr>
                <w:rFonts w:ascii="Verdana" w:hAnsi="Verdana"/>
                <w:b/>
                <w:sz w:val="20"/>
              </w:rPr>
              <w:t>41</w:t>
            </w:r>
            <w:r w:rsidR="000C03A8">
              <w:rPr>
                <w:rFonts w:ascii="Verdana" w:hAnsi="Verdana"/>
                <w:b/>
                <w:sz w:val="20"/>
              </w:rPr>
              <w:t>,000</w:t>
            </w:r>
            <w:r>
              <w:rPr>
                <w:rFonts w:ascii="Verdana" w:hAnsi="Verdana"/>
                <w:b/>
                <w:sz w:val="20"/>
              </w:rPr>
              <w:t>–</w:t>
            </w:r>
            <w:r w:rsidR="000C03A8">
              <w:rPr>
                <w:rFonts w:ascii="Verdana" w:hAnsi="Verdana"/>
                <w:b/>
                <w:sz w:val="20"/>
              </w:rPr>
              <w:t>Income</w:t>
            </w:r>
            <w:r>
              <w:rPr>
                <w:rFonts w:ascii="Verdana" w:hAnsi="Verdana"/>
                <w:b/>
                <w:sz w:val="20"/>
              </w:rPr>
              <w:t>)</w:t>
            </w:r>
            <w:proofErr w:type="gramStart"/>
            <w:r>
              <w:rPr>
                <w:rFonts w:ascii="Verdana" w:hAnsi="Verdana"/>
                <w:b/>
                <w:sz w:val="20"/>
              </w:rPr>
              <w:t>/(</w:t>
            </w:r>
            <w:proofErr w:type="gramEnd"/>
            <w:r w:rsidR="000C03A8">
              <w:rPr>
                <w:rFonts w:ascii="Verdana" w:hAnsi="Verdana"/>
                <w:b/>
                <w:sz w:val="20"/>
              </w:rPr>
              <w:t>£</w:t>
            </w:r>
            <w:r>
              <w:rPr>
                <w:rFonts w:ascii="Verdana" w:hAnsi="Verdana"/>
                <w:b/>
                <w:sz w:val="20"/>
              </w:rPr>
              <w:t>41</w:t>
            </w:r>
            <w:r w:rsidR="000C03A8">
              <w:rPr>
                <w:rFonts w:ascii="Verdana" w:hAnsi="Verdana"/>
                <w:b/>
                <w:sz w:val="20"/>
              </w:rPr>
              <w:t>,000</w:t>
            </w:r>
            <w:r>
              <w:rPr>
                <w:rFonts w:ascii="Verdana" w:hAnsi="Verdana"/>
                <w:b/>
                <w:sz w:val="20"/>
              </w:rPr>
              <w:t>-</w:t>
            </w:r>
            <w:r w:rsidR="000C03A8">
              <w:rPr>
                <w:rFonts w:ascii="Verdana" w:hAnsi="Verdana"/>
                <w:b/>
                <w:sz w:val="20"/>
              </w:rPr>
              <w:t>£21,000pa</w:t>
            </w:r>
            <w:r>
              <w:rPr>
                <w:rFonts w:ascii="Verdana" w:hAnsi="Verdana"/>
                <w:b/>
                <w:sz w:val="20"/>
              </w:rPr>
              <w:t>)</w:t>
            </w:r>
            <w:r w:rsidR="000C03A8">
              <w:rPr>
                <w:rFonts w:ascii="Verdana" w:hAnsi="Verdana"/>
                <w:b/>
                <w:sz w:val="20"/>
              </w:rPr>
              <w:t xml:space="preserve"> </w:t>
            </w:r>
            <w:r w:rsidR="00697798">
              <w:rPr>
                <w:rFonts w:ascii="Verdana" w:hAnsi="Verdana"/>
                <w:b/>
                <w:sz w:val="20"/>
              </w:rPr>
              <w:t xml:space="preserve">for Income </w:t>
            </w:r>
            <w:r w:rsidR="000C03A8">
              <w:rPr>
                <w:rFonts w:ascii="Verdana" w:hAnsi="Verdana"/>
                <w:b/>
                <w:sz w:val="20"/>
              </w:rPr>
              <w:t>between first (£21,000) and second (£41,000) thresholds.</w:t>
            </w:r>
            <w:r>
              <w:rPr>
                <w:rFonts w:ascii="Verdana" w:hAnsi="Verdana"/>
                <w:b/>
                <w:sz w:val="20"/>
              </w:rPr>
              <w:t xml:space="preserve"> </w:t>
            </w:r>
          </w:p>
          <w:p w:rsidR="00D2662C" w:rsidRDefault="00D2662C" w:rsidP="008879B5">
            <w:pPr>
              <w:spacing w:line="240" w:lineRule="auto"/>
              <w:rPr>
                <w:rFonts w:ascii="Verdana" w:hAnsi="Verdana"/>
                <w:b/>
                <w:sz w:val="20"/>
              </w:rPr>
            </w:pPr>
          </w:p>
          <w:p w:rsidR="00D2662C" w:rsidRPr="00751D68" w:rsidRDefault="00D2662C" w:rsidP="008879B5">
            <w:pPr>
              <w:spacing w:line="240" w:lineRule="auto"/>
              <w:rPr>
                <w:rFonts w:ascii="Verdana" w:hAnsi="Verdana"/>
                <w:b/>
                <w:sz w:val="20"/>
              </w:rPr>
            </w:pPr>
          </w:p>
        </w:tc>
      </w:tr>
    </w:tbl>
    <w:p w:rsidR="00517D6A" w:rsidRPr="00751D68" w:rsidRDefault="00517D6A" w:rsidP="00517D6A">
      <w:pPr>
        <w:spacing w:line="240" w:lineRule="auto"/>
        <w:rPr>
          <w:rFonts w:ascii="Verdana" w:hAnsi="Verdana"/>
          <w:sz w:val="20"/>
        </w:rPr>
      </w:pPr>
      <w:r w:rsidRPr="00751D68">
        <w:rPr>
          <w:rFonts w:ascii="Verdana" w:hAnsi="Verdan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394"/>
        <w:gridCol w:w="284"/>
        <w:gridCol w:w="6411"/>
      </w:tblGrid>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lastRenderedPageBreak/>
              <w:t>Maximum repayment period</w:t>
            </w:r>
          </w:p>
        </w:tc>
        <w:tc>
          <w:tcPr>
            <w:tcW w:w="4394" w:type="dxa"/>
          </w:tcPr>
          <w:p w:rsidR="00517D6A" w:rsidRPr="00751D68" w:rsidRDefault="00517D6A" w:rsidP="008879B5">
            <w:pPr>
              <w:spacing w:line="240" w:lineRule="auto"/>
              <w:rPr>
                <w:rFonts w:ascii="Verdana" w:hAnsi="Verdana"/>
                <w:sz w:val="20"/>
              </w:rPr>
            </w:pPr>
            <w:r w:rsidRPr="00751D68">
              <w:rPr>
                <w:rFonts w:ascii="Verdana" w:hAnsi="Verdana"/>
                <w:sz w:val="20"/>
              </w:rPr>
              <w:t>30 years</w:t>
            </w:r>
          </w:p>
        </w:tc>
        <w:tc>
          <w:tcPr>
            <w:tcW w:w="6695" w:type="dxa"/>
            <w:gridSpan w:val="2"/>
          </w:tcPr>
          <w:p w:rsidR="00517D6A" w:rsidRPr="00751D68" w:rsidRDefault="00517D6A" w:rsidP="008879B5">
            <w:pPr>
              <w:spacing w:line="240" w:lineRule="auto"/>
              <w:rPr>
                <w:rFonts w:ascii="Verdana" w:hAnsi="Verdana"/>
                <w:sz w:val="20"/>
              </w:rPr>
            </w:pPr>
            <w:r w:rsidRPr="00751D68">
              <w:rPr>
                <w:rFonts w:ascii="Verdana" w:hAnsi="Verdana"/>
                <w:sz w:val="20"/>
              </w:rPr>
              <w:t>30 years</w:t>
            </w: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Charges for early repayment</w:t>
            </w:r>
          </w:p>
        </w:tc>
        <w:tc>
          <w:tcPr>
            <w:tcW w:w="4394" w:type="dxa"/>
          </w:tcPr>
          <w:p w:rsidR="00517D6A" w:rsidRPr="00751D68" w:rsidRDefault="00517D6A" w:rsidP="008879B5">
            <w:pPr>
              <w:spacing w:line="240" w:lineRule="auto"/>
              <w:rPr>
                <w:rFonts w:ascii="Verdana" w:hAnsi="Verdana"/>
                <w:sz w:val="20"/>
              </w:rPr>
            </w:pPr>
            <w:r w:rsidRPr="00751D68">
              <w:rPr>
                <w:rFonts w:ascii="Verdana" w:hAnsi="Verdana"/>
                <w:sz w:val="20"/>
              </w:rPr>
              <w:t>No charges</w:t>
            </w:r>
          </w:p>
        </w:tc>
        <w:tc>
          <w:tcPr>
            <w:tcW w:w="6695" w:type="dxa"/>
            <w:gridSpan w:val="2"/>
          </w:tcPr>
          <w:p w:rsidR="00517D6A" w:rsidRPr="00751D68" w:rsidRDefault="00517D6A" w:rsidP="008879B5">
            <w:pPr>
              <w:spacing w:line="240" w:lineRule="auto"/>
              <w:rPr>
                <w:rFonts w:ascii="Verdana" w:hAnsi="Verdana"/>
                <w:b/>
                <w:sz w:val="20"/>
              </w:rPr>
            </w:pPr>
            <w:r w:rsidRPr="00751D68">
              <w:rPr>
                <w:rFonts w:ascii="Verdana" w:hAnsi="Verdana"/>
                <w:b/>
                <w:sz w:val="20"/>
              </w:rPr>
              <w:t>Consultation on early repayment charges</w:t>
            </w:r>
            <w:r w:rsidR="00A6009B">
              <w:rPr>
                <w:rFonts w:ascii="Verdana" w:hAnsi="Verdana"/>
                <w:b/>
                <w:sz w:val="20"/>
              </w:rPr>
              <w:t>.</w:t>
            </w:r>
            <w:r w:rsidRPr="00751D68">
              <w:rPr>
                <w:rFonts w:ascii="Verdana" w:hAnsi="Verdana"/>
                <w:b/>
                <w:sz w:val="20"/>
              </w:rPr>
              <w:t xml:space="preserve"> </w:t>
            </w:r>
          </w:p>
          <w:p w:rsidR="00517D6A" w:rsidRPr="00751D68" w:rsidRDefault="00517D6A" w:rsidP="00A6009B">
            <w:pPr>
              <w:spacing w:line="240" w:lineRule="auto"/>
              <w:rPr>
                <w:rFonts w:ascii="Verdana" w:hAnsi="Verdana"/>
                <w:b/>
                <w:sz w:val="20"/>
              </w:rPr>
            </w:pPr>
            <w:r w:rsidRPr="00751D68">
              <w:rPr>
                <w:rFonts w:ascii="Verdana" w:hAnsi="Verdana"/>
                <w:b/>
                <w:sz w:val="20"/>
              </w:rPr>
              <w:t>A 5</w:t>
            </w:r>
            <w:r>
              <w:rPr>
                <w:rFonts w:ascii="Verdana" w:hAnsi="Verdana"/>
                <w:b/>
                <w:sz w:val="20"/>
              </w:rPr>
              <w:t xml:space="preserve"> per cent</w:t>
            </w:r>
            <w:r w:rsidRPr="00751D68">
              <w:rPr>
                <w:rFonts w:ascii="Verdana" w:hAnsi="Verdana"/>
                <w:b/>
                <w:sz w:val="20"/>
              </w:rPr>
              <w:t xml:space="preserve"> levy might be charged on additional repayments each year over a specified amount such as £1,000 or £3,000. Alternatively, those on higher incomes</w:t>
            </w:r>
            <w:r w:rsidR="00A6009B">
              <w:rPr>
                <w:rFonts w:ascii="Verdana" w:hAnsi="Verdana"/>
                <w:b/>
                <w:sz w:val="20"/>
              </w:rPr>
              <w:t xml:space="preserve">, </w:t>
            </w:r>
            <w:r w:rsidRPr="00751D68">
              <w:rPr>
                <w:rFonts w:ascii="Verdana" w:hAnsi="Verdana"/>
                <w:b/>
                <w:sz w:val="20"/>
              </w:rPr>
              <w:t>for example over £60,000</w:t>
            </w:r>
            <w:r w:rsidR="00A6009B">
              <w:rPr>
                <w:rFonts w:ascii="Verdana" w:hAnsi="Verdana"/>
                <w:b/>
                <w:sz w:val="20"/>
              </w:rPr>
              <w:t xml:space="preserve">, </w:t>
            </w:r>
            <w:r w:rsidRPr="00751D68">
              <w:rPr>
                <w:rFonts w:ascii="Verdana" w:hAnsi="Verdana"/>
                <w:b/>
                <w:sz w:val="20"/>
              </w:rPr>
              <w:t xml:space="preserve">who made an additional </w:t>
            </w:r>
            <w:proofErr w:type="gramStart"/>
            <w:r w:rsidRPr="00751D68">
              <w:rPr>
                <w:rFonts w:ascii="Verdana" w:hAnsi="Verdana"/>
                <w:b/>
                <w:sz w:val="20"/>
              </w:rPr>
              <w:t>repayment</w:t>
            </w:r>
            <w:proofErr w:type="gramEnd"/>
            <w:r w:rsidRPr="00751D68">
              <w:rPr>
                <w:rFonts w:ascii="Verdana" w:hAnsi="Verdana"/>
                <w:b/>
                <w:sz w:val="20"/>
              </w:rPr>
              <w:t xml:space="preserve"> could be required to pay a 5</w:t>
            </w:r>
            <w:r>
              <w:rPr>
                <w:rFonts w:ascii="Verdana" w:hAnsi="Verdana"/>
                <w:b/>
                <w:sz w:val="20"/>
              </w:rPr>
              <w:t xml:space="preserve"> per cent</w:t>
            </w:r>
            <w:r w:rsidRPr="00751D68">
              <w:rPr>
                <w:rFonts w:ascii="Verdana" w:hAnsi="Verdana"/>
                <w:b/>
                <w:sz w:val="20"/>
              </w:rPr>
              <w:t xml:space="preserve"> levy on that sum. </w:t>
            </w:r>
          </w:p>
        </w:tc>
      </w:tr>
      <w:tr w:rsidR="00517D6A" w:rsidRPr="00751D68" w:rsidTr="008879B5">
        <w:trPr>
          <w:trHeight w:val="679"/>
        </w:trPr>
        <w:tc>
          <w:tcPr>
            <w:tcW w:w="14174" w:type="dxa"/>
            <w:gridSpan w:val="4"/>
          </w:tcPr>
          <w:p w:rsidR="00517D6A" w:rsidRPr="00751D68" w:rsidRDefault="00517D6A" w:rsidP="008879B5">
            <w:pPr>
              <w:spacing w:line="240" w:lineRule="auto"/>
              <w:rPr>
                <w:rFonts w:ascii="Verdana" w:hAnsi="Verdana"/>
                <w:sz w:val="20"/>
                <w:u w:val="single"/>
              </w:rPr>
            </w:pPr>
            <w:r w:rsidRPr="00751D68">
              <w:rPr>
                <w:rFonts w:ascii="Verdana" w:hAnsi="Verdana"/>
                <w:sz w:val="20"/>
                <w:u w:val="single"/>
              </w:rPr>
              <w:t>Maintenance grants and loans (HI = Household Income)</w:t>
            </w: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Maintenance grants</w:t>
            </w:r>
          </w:p>
        </w:tc>
        <w:tc>
          <w:tcPr>
            <w:tcW w:w="4678" w:type="dxa"/>
            <w:gridSpan w:val="2"/>
          </w:tcPr>
          <w:p w:rsidR="00517D6A" w:rsidRPr="00751D68" w:rsidRDefault="00517D6A" w:rsidP="008879B5">
            <w:pPr>
              <w:spacing w:line="240" w:lineRule="auto"/>
              <w:rPr>
                <w:rFonts w:ascii="Verdana" w:hAnsi="Verdana"/>
                <w:sz w:val="20"/>
              </w:rPr>
            </w:pPr>
            <w:r w:rsidRPr="00751D68">
              <w:rPr>
                <w:rFonts w:ascii="Verdana" w:hAnsi="Verdana"/>
                <w:sz w:val="20"/>
              </w:rPr>
              <w:t>(=&lt; £25K HI) -  £3</w:t>
            </w:r>
            <w:r>
              <w:rPr>
                <w:rFonts w:ascii="Verdana" w:hAnsi="Verdana"/>
                <w:sz w:val="20"/>
              </w:rPr>
              <w:t>,250</w:t>
            </w:r>
          </w:p>
          <w:p w:rsidR="00517D6A" w:rsidRPr="00751D68" w:rsidRDefault="00517D6A" w:rsidP="008879B5">
            <w:pPr>
              <w:spacing w:line="240" w:lineRule="auto"/>
              <w:rPr>
                <w:rFonts w:ascii="Verdana" w:hAnsi="Verdana"/>
                <w:sz w:val="20"/>
              </w:rPr>
            </w:pPr>
            <w:r w:rsidRPr="00751D68">
              <w:rPr>
                <w:rFonts w:ascii="Verdana" w:hAnsi="Verdana"/>
                <w:sz w:val="20"/>
              </w:rPr>
              <w:t>(&gt;£25K HI - &lt; £62</w:t>
            </w:r>
            <w:r>
              <w:rPr>
                <w:rFonts w:ascii="Verdana" w:hAnsi="Verdana"/>
                <w:sz w:val="20"/>
              </w:rPr>
              <w:t>,</w:t>
            </w:r>
            <w:r w:rsidRPr="00751D68">
              <w:rPr>
                <w:rFonts w:ascii="Verdana" w:hAnsi="Verdana"/>
                <w:sz w:val="20"/>
              </w:rPr>
              <w:t>500 HI) – tapered reducing</w:t>
            </w:r>
          </w:p>
          <w:p w:rsidR="00517D6A" w:rsidRPr="00751D68" w:rsidRDefault="00517D6A" w:rsidP="008879B5">
            <w:pPr>
              <w:spacing w:line="240" w:lineRule="auto"/>
              <w:rPr>
                <w:rFonts w:ascii="Verdana" w:hAnsi="Verdana"/>
                <w:sz w:val="20"/>
              </w:rPr>
            </w:pPr>
            <w:r w:rsidRPr="00751D68">
              <w:rPr>
                <w:rFonts w:ascii="Verdana" w:hAnsi="Verdana"/>
                <w:sz w:val="20"/>
              </w:rPr>
              <w:t>(&gt;=£62,500 HI) - £0</w:t>
            </w:r>
          </w:p>
        </w:tc>
        <w:tc>
          <w:tcPr>
            <w:tcW w:w="6411" w:type="dxa"/>
          </w:tcPr>
          <w:p w:rsidR="00517D6A" w:rsidRPr="00751D68" w:rsidRDefault="00517D6A" w:rsidP="008879B5">
            <w:pPr>
              <w:spacing w:line="240" w:lineRule="auto"/>
              <w:rPr>
                <w:rFonts w:ascii="Verdana" w:hAnsi="Verdana"/>
                <w:sz w:val="20"/>
              </w:rPr>
            </w:pPr>
            <w:r w:rsidRPr="00751D68">
              <w:rPr>
                <w:rFonts w:ascii="Verdana" w:hAnsi="Verdana"/>
                <w:sz w:val="20"/>
              </w:rPr>
              <w:t>(=&lt; £25K HI) -  £3</w:t>
            </w:r>
            <w:r>
              <w:rPr>
                <w:rFonts w:ascii="Verdana" w:hAnsi="Verdana"/>
                <w:sz w:val="20"/>
              </w:rPr>
              <w:t>,</w:t>
            </w:r>
            <w:r w:rsidRPr="00751D68">
              <w:rPr>
                <w:rFonts w:ascii="Verdana" w:hAnsi="Verdana"/>
                <w:sz w:val="20"/>
              </w:rPr>
              <w:t xml:space="preserve">250 </w:t>
            </w:r>
          </w:p>
          <w:p w:rsidR="00517D6A" w:rsidRPr="00751D68" w:rsidRDefault="00517D6A" w:rsidP="008879B5">
            <w:pPr>
              <w:spacing w:line="240" w:lineRule="auto"/>
              <w:rPr>
                <w:rFonts w:ascii="Verdana" w:hAnsi="Verdana"/>
                <w:sz w:val="20"/>
              </w:rPr>
            </w:pPr>
            <w:r w:rsidRPr="00751D68">
              <w:rPr>
                <w:rFonts w:ascii="Verdana" w:hAnsi="Verdana"/>
                <w:sz w:val="20"/>
              </w:rPr>
              <w:t>(&gt;£25K - &lt; £42</w:t>
            </w:r>
            <w:r>
              <w:rPr>
                <w:rFonts w:ascii="Verdana" w:hAnsi="Verdana"/>
                <w:sz w:val="20"/>
              </w:rPr>
              <w:t>,</w:t>
            </w:r>
            <w:r w:rsidRPr="00751D68">
              <w:rPr>
                <w:rFonts w:ascii="Verdana" w:hAnsi="Verdana"/>
                <w:sz w:val="20"/>
              </w:rPr>
              <w:t>600) – tapered reducing</w:t>
            </w:r>
          </w:p>
          <w:p w:rsidR="00517D6A" w:rsidRPr="00751D68" w:rsidRDefault="00517D6A" w:rsidP="008879B5">
            <w:pPr>
              <w:spacing w:line="240" w:lineRule="auto"/>
              <w:rPr>
                <w:rFonts w:ascii="Verdana" w:hAnsi="Verdana"/>
                <w:sz w:val="20"/>
              </w:rPr>
            </w:pPr>
            <w:r w:rsidRPr="00751D68">
              <w:rPr>
                <w:rFonts w:ascii="Verdana" w:hAnsi="Verdana"/>
                <w:sz w:val="20"/>
              </w:rPr>
              <w:t>(&gt;=£42</w:t>
            </w:r>
            <w:r>
              <w:rPr>
                <w:rFonts w:ascii="Verdana" w:hAnsi="Verdana"/>
                <w:sz w:val="20"/>
              </w:rPr>
              <w:t>,600</w:t>
            </w:r>
            <w:r w:rsidRPr="00751D68">
              <w:rPr>
                <w:rFonts w:ascii="Verdana" w:hAnsi="Verdana"/>
                <w:sz w:val="20"/>
              </w:rPr>
              <w:t xml:space="preserve">) - £0 </w:t>
            </w: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Maintenance loans</w:t>
            </w:r>
          </w:p>
        </w:tc>
        <w:tc>
          <w:tcPr>
            <w:tcW w:w="4678" w:type="dxa"/>
            <w:gridSpan w:val="2"/>
          </w:tcPr>
          <w:p w:rsidR="00517D6A" w:rsidRPr="00751D68" w:rsidRDefault="00517D6A" w:rsidP="008879B5">
            <w:pPr>
              <w:spacing w:line="240" w:lineRule="auto"/>
              <w:rPr>
                <w:rFonts w:ascii="Verdana" w:hAnsi="Verdana"/>
                <w:sz w:val="20"/>
              </w:rPr>
            </w:pPr>
            <w:r w:rsidRPr="00751D68">
              <w:rPr>
                <w:rFonts w:ascii="Verdana" w:hAnsi="Verdana"/>
                <w:sz w:val="20"/>
              </w:rPr>
              <w:t>Income independent loan of £3</w:t>
            </w:r>
            <w:r>
              <w:rPr>
                <w:rFonts w:ascii="Verdana" w:hAnsi="Verdana"/>
                <w:sz w:val="20"/>
              </w:rPr>
              <w:t>,</w:t>
            </w:r>
            <w:r w:rsidRPr="00751D68">
              <w:rPr>
                <w:rFonts w:ascii="Verdana" w:hAnsi="Verdana"/>
                <w:sz w:val="20"/>
              </w:rPr>
              <w:t>750</w:t>
            </w:r>
            <w:r>
              <w:rPr>
                <w:rFonts w:ascii="Verdana" w:hAnsi="Verdana"/>
                <w:sz w:val="20"/>
              </w:rPr>
              <w:t xml:space="preserve"> per annum</w:t>
            </w:r>
          </w:p>
        </w:tc>
        <w:tc>
          <w:tcPr>
            <w:tcW w:w="6411" w:type="dxa"/>
          </w:tcPr>
          <w:p w:rsidR="00517D6A" w:rsidRPr="00751D68" w:rsidRDefault="00517D6A" w:rsidP="008879B5">
            <w:pPr>
              <w:spacing w:line="240" w:lineRule="auto"/>
              <w:rPr>
                <w:rFonts w:ascii="Verdana" w:hAnsi="Verdana"/>
                <w:sz w:val="20"/>
              </w:rPr>
            </w:pPr>
            <w:r w:rsidRPr="00751D68">
              <w:rPr>
                <w:rFonts w:ascii="Verdana" w:hAnsi="Verdana"/>
                <w:sz w:val="20"/>
              </w:rPr>
              <w:t>(=&lt; £25K HI) -  £3</w:t>
            </w:r>
            <w:r>
              <w:rPr>
                <w:rFonts w:ascii="Verdana" w:hAnsi="Verdana"/>
                <w:sz w:val="20"/>
              </w:rPr>
              <w:t>,</w:t>
            </w:r>
            <w:r w:rsidRPr="00751D68">
              <w:rPr>
                <w:rFonts w:ascii="Verdana" w:hAnsi="Verdana"/>
                <w:sz w:val="20"/>
              </w:rPr>
              <w:t xml:space="preserve">250 </w:t>
            </w:r>
          </w:p>
          <w:p w:rsidR="00517D6A" w:rsidRPr="00751D68" w:rsidRDefault="00517D6A" w:rsidP="008879B5">
            <w:pPr>
              <w:spacing w:line="240" w:lineRule="auto"/>
              <w:rPr>
                <w:rFonts w:ascii="Verdana" w:hAnsi="Verdana"/>
                <w:sz w:val="20"/>
              </w:rPr>
            </w:pPr>
            <w:r w:rsidRPr="00751D68">
              <w:rPr>
                <w:rFonts w:ascii="Verdana" w:hAnsi="Verdana"/>
                <w:sz w:val="20"/>
              </w:rPr>
              <w:t>(&gt;£25K - =&lt; £42</w:t>
            </w:r>
            <w:r>
              <w:rPr>
                <w:rFonts w:ascii="Verdana" w:hAnsi="Verdana"/>
                <w:sz w:val="20"/>
              </w:rPr>
              <w:t>,</w:t>
            </w:r>
            <w:r w:rsidRPr="00751D68">
              <w:rPr>
                <w:rFonts w:ascii="Verdana" w:hAnsi="Verdana"/>
                <w:sz w:val="20"/>
              </w:rPr>
              <w:t>600) – tapered increasing to £5</w:t>
            </w:r>
            <w:r>
              <w:rPr>
                <w:rFonts w:ascii="Verdana" w:hAnsi="Verdana"/>
                <w:sz w:val="20"/>
              </w:rPr>
              <w:t>,</w:t>
            </w:r>
            <w:r w:rsidRPr="00751D68">
              <w:rPr>
                <w:rFonts w:ascii="Verdana" w:hAnsi="Verdana"/>
                <w:sz w:val="20"/>
              </w:rPr>
              <w:t>500</w:t>
            </w:r>
          </w:p>
          <w:p w:rsidR="00517D6A" w:rsidRPr="00751D68" w:rsidRDefault="00517D6A" w:rsidP="008879B5">
            <w:pPr>
              <w:spacing w:line="240" w:lineRule="auto"/>
              <w:rPr>
                <w:rFonts w:ascii="Verdana" w:hAnsi="Verdana"/>
                <w:sz w:val="20"/>
              </w:rPr>
            </w:pPr>
            <w:r w:rsidRPr="00751D68">
              <w:rPr>
                <w:rFonts w:ascii="Verdana" w:hAnsi="Verdana"/>
                <w:sz w:val="20"/>
              </w:rPr>
              <w:t>(&gt;</w:t>
            </w:r>
            <w:r>
              <w:rPr>
                <w:rFonts w:ascii="Verdana" w:hAnsi="Verdana"/>
                <w:sz w:val="20"/>
              </w:rPr>
              <w:t>£</w:t>
            </w:r>
            <w:r w:rsidRPr="00751D68">
              <w:rPr>
                <w:rFonts w:ascii="Verdana" w:hAnsi="Verdana"/>
                <w:sz w:val="20"/>
              </w:rPr>
              <w:t>42</w:t>
            </w:r>
            <w:r>
              <w:rPr>
                <w:rFonts w:ascii="Verdana" w:hAnsi="Verdana"/>
                <w:sz w:val="20"/>
              </w:rPr>
              <w:t>,</w:t>
            </w:r>
            <w:r w:rsidRPr="00751D68">
              <w:rPr>
                <w:rFonts w:ascii="Verdana" w:hAnsi="Verdana"/>
                <w:sz w:val="20"/>
              </w:rPr>
              <w:t>600 - =&lt; £42</w:t>
            </w:r>
            <w:r>
              <w:rPr>
                <w:rFonts w:ascii="Verdana" w:hAnsi="Verdana"/>
                <w:sz w:val="20"/>
              </w:rPr>
              <w:t>,</w:t>
            </w:r>
            <w:r w:rsidRPr="00751D68">
              <w:rPr>
                <w:rFonts w:ascii="Verdana" w:hAnsi="Verdana"/>
                <w:sz w:val="20"/>
              </w:rPr>
              <w:t>600) – tapered decreasing  to £3</w:t>
            </w:r>
            <w:r>
              <w:rPr>
                <w:rFonts w:ascii="Verdana" w:hAnsi="Verdana"/>
                <w:sz w:val="20"/>
              </w:rPr>
              <w:t>,</w:t>
            </w:r>
            <w:r w:rsidRPr="00751D68">
              <w:rPr>
                <w:rFonts w:ascii="Verdana" w:hAnsi="Verdana"/>
                <w:sz w:val="20"/>
              </w:rPr>
              <w:t>575</w:t>
            </w:r>
          </w:p>
          <w:p w:rsidR="00517D6A" w:rsidRPr="00751D68" w:rsidRDefault="00517D6A" w:rsidP="008879B5">
            <w:pPr>
              <w:spacing w:line="240" w:lineRule="auto"/>
              <w:rPr>
                <w:rFonts w:ascii="Verdana" w:hAnsi="Verdana"/>
                <w:sz w:val="20"/>
              </w:rPr>
            </w:pPr>
            <w:r w:rsidRPr="00751D68">
              <w:rPr>
                <w:rFonts w:ascii="Verdana" w:hAnsi="Verdana"/>
                <w:sz w:val="20"/>
              </w:rPr>
              <w:t>(&gt;=£61</w:t>
            </w:r>
            <w:r>
              <w:rPr>
                <w:rFonts w:ascii="Verdana" w:hAnsi="Verdana"/>
                <w:sz w:val="20"/>
              </w:rPr>
              <w:t>,250</w:t>
            </w:r>
            <w:r w:rsidRPr="00751D68">
              <w:rPr>
                <w:rFonts w:ascii="Verdana" w:hAnsi="Verdana"/>
                <w:sz w:val="20"/>
              </w:rPr>
              <w:t>) - £3</w:t>
            </w:r>
            <w:r>
              <w:rPr>
                <w:rFonts w:ascii="Verdana" w:hAnsi="Verdana"/>
                <w:sz w:val="20"/>
              </w:rPr>
              <w:t>,</w:t>
            </w:r>
            <w:r w:rsidRPr="00751D68">
              <w:rPr>
                <w:rFonts w:ascii="Verdana" w:hAnsi="Verdana"/>
                <w:sz w:val="20"/>
              </w:rPr>
              <w:t xml:space="preserve">575 </w:t>
            </w:r>
          </w:p>
        </w:tc>
      </w:tr>
    </w:tbl>
    <w:p w:rsidR="00517D6A" w:rsidRPr="00751D68" w:rsidRDefault="00517D6A" w:rsidP="00517D6A">
      <w:pPr>
        <w:spacing w:line="240" w:lineRule="auto"/>
        <w:rPr>
          <w:rFonts w:ascii="Verdana" w:hAnsi="Verdana"/>
          <w:sz w:val="20"/>
        </w:rPr>
      </w:pPr>
      <w:r w:rsidRPr="00751D68">
        <w:rPr>
          <w:rFonts w:ascii="Verdana" w:hAnsi="Verdan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678"/>
        <w:gridCol w:w="6411"/>
      </w:tblGrid>
      <w:tr w:rsidR="00517D6A" w:rsidRPr="00751D68" w:rsidTr="008879B5">
        <w:tc>
          <w:tcPr>
            <w:tcW w:w="14174" w:type="dxa"/>
            <w:gridSpan w:val="3"/>
          </w:tcPr>
          <w:p w:rsidR="00517D6A" w:rsidRPr="00751D68" w:rsidRDefault="00517D6A" w:rsidP="008879B5">
            <w:pPr>
              <w:spacing w:line="240" w:lineRule="auto"/>
              <w:rPr>
                <w:rFonts w:ascii="Verdana" w:hAnsi="Verdana"/>
                <w:sz w:val="20"/>
              </w:rPr>
            </w:pP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Control of student numbers</w:t>
            </w:r>
          </w:p>
        </w:tc>
        <w:tc>
          <w:tcPr>
            <w:tcW w:w="4678" w:type="dxa"/>
          </w:tcPr>
          <w:p w:rsidR="00517D6A" w:rsidRPr="00751D68" w:rsidRDefault="00517D6A" w:rsidP="008879B5">
            <w:pPr>
              <w:spacing w:line="240" w:lineRule="auto"/>
              <w:rPr>
                <w:rFonts w:ascii="Verdana" w:hAnsi="Verdana"/>
                <w:sz w:val="20"/>
              </w:rPr>
            </w:pPr>
            <w:r w:rsidRPr="00751D68">
              <w:rPr>
                <w:rFonts w:ascii="Verdana" w:hAnsi="Verdana"/>
                <w:sz w:val="20"/>
              </w:rPr>
              <w:t>No control for students not using the finance plan.</w:t>
            </w:r>
          </w:p>
          <w:p w:rsidR="00517D6A" w:rsidRPr="00751D68" w:rsidRDefault="00517D6A" w:rsidP="008879B5">
            <w:pPr>
              <w:spacing w:line="240" w:lineRule="auto"/>
              <w:rPr>
                <w:rFonts w:ascii="Verdana" w:hAnsi="Verdana"/>
                <w:sz w:val="20"/>
              </w:rPr>
            </w:pPr>
            <w:r w:rsidRPr="00751D68">
              <w:rPr>
                <w:rFonts w:ascii="Verdana" w:hAnsi="Verdana"/>
                <w:sz w:val="20"/>
              </w:rPr>
              <w:t>Minimum tariff set by government.</w:t>
            </w:r>
          </w:p>
          <w:p w:rsidR="00517D6A" w:rsidRPr="00751D68" w:rsidRDefault="00517D6A" w:rsidP="008879B5">
            <w:pPr>
              <w:spacing w:line="240" w:lineRule="auto"/>
              <w:rPr>
                <w:rFonts w:ascii="Verdana" w:hAnsi="Verdana"/>
                <w:sz w:val="20"/>
              </w:rPr>
            </w:pPr>
            <w:r w:rsidRPr="00751D68">
              <w:rPr>
                <w:rFonts w:ascii="Verdana" w:hAnsi="Verdana"/>
                <w:sz w:val="20"/>
              </w:rPr>
              <w:t>Small number of allocated places</w:t>
            </w:r>
            <w:r>
              <w:rPr>
                <w:rFonts w:ascii="Verdana" w:hAnsi="Verdana"/>
                <w:sz w:val="20"/>
              </w:rPr>
              <w:t>.</w:t>
            </w:r>
          </w:p>
        </w:tc>
        <w:tc>
          <w:tcPr>
            <w:tcW w:w="6411" w:type="dxa"/>
          </w:tcPr>
          <w:p w:rsidR="00517D6A" w:rsidRPr="00751D68" w:rsidRDefault="00517D6A" w:rsidP="008879B5">
            <w:pPr>
              <w:spacing w:line="240" w:lineRule="auto"/>
              <w:rPr>
                <w:rFonts w:ascii="Verdana" w:hAnsi="Verdana"/>
                <w:sz w:val="20"/>
              </w:rPr>
            </w:pPr>
            <w:r w:rsidRPr="00751D68">
              <w:rPr>
                <w:rFonts w:ascii="Verdana" w:hAnsi="Verdana"/>
                <w:b/>
                <w:sz w:val="20"/>
              </w:rPr>
              <w:t>More consideration is required, and that will lead into the White Paper</w:t>
            </w:r>
            <w:r>
              <w:rPr>
                <w:rFonts w:ascii="Verdana" w:hAnsi="Verdana"/>
                <w:b/>
                <w:sz w:val="20"/>
              </w:rPr>
              <w:t>.</w:t>
            </w:r>
          </w:p>
          <w:p w:rsidR="00517D6A" w:rsidRPr="00751D68" w:rsidRDefault="00517D6A" w:rsidP="008879B5">
            <w:pPr>
              <w:spacing w:line="240" w:lineRule="auto"/>
              <w:rPr>
                <w:rFonts w:ascii="Verdana" w:hAnsi="Verdana"/>
                <w:b/>
                <w:sz w:val="20"/>
              </w:rPr>
            </w:pPr>
            <w:r w:rsidRPr="00751D68">
              <w:rPr>
                <w:rFonts w:ascii="Verdana" w:hAnsi="Verdana"/>
                <w:b/>
                <w:sz w:val="20"/>
              </w:rPr>
              <w:t>The absolute number of students expected to remain “broadly flat” over the next 10 years</w:t>
            </w:r>
            <w:r w:rsidRPr="00751D68">
              <w:rPr>
                <w:rFonts w:ascii="Verdana" w:hAnsi="Verdana"/>
                <w:sz w:val="20"/>
              </w:rPr>
              <w:t>.</w:t>
            </w:r>
            <w:r w:rsidRPr="00751D68">
              <w:rPr>
                <w:rFonts w:ascii="Verdana" w:hAnsi="Verdana"/>
                <w:b/>
                <w:sz w:val="20"/>
              </w:rPr>
              <w:t xml:space="preserve"> </w:t>
            </w:r>
          </w:p>
        </w:tc>
      </w:tr>
      <w:tr w:rsidR="00517D6A" w:rsidRPr="00751D68" w:rsidTr="008879B5">
        <w:tc>
          <w:tcPr>
            <w:tcW w:w="14174" w:type="dxa"/>
            <w:gridSpan w:val="3"/>
          </w:tcPr>
          <w:p w:rsidR="00517D6A" w:rsidRPr="00751D68" w:rsidRDefault="00517D6A" w:rsidP="008879B5">
            <w:pPr>
              <w:spacing w:line="240" w:lineRule="auto"/>
              <w:rPr>
                <w:rFonts w:ascii="Verdana" w:hAnsi="Verdana"/>
                <w:sz w:val="20"/>
              </w:rPr>
            </w:pP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Loans for part-time course fees</w:t>
            </w:r>
          </w:p>
        </w:tc>
        <w:tc>
          <w:tcPr>
            <w:tcW w:w="4678" w:type="dxa"/>
          </w:tcPr>
          <w:p w:rsidR="00517D6A" w:rsidRPr="00751D68" w:rsidRDefault="00517D6A" w:rsidP="008879B5">
            <w:pPr>
              <w:spacing w:line="240" w:lineRule="auto"/>
              <w:rPr>
                <w:rFonts w:ascii="Verdana" w:hAnsi="Verdana"/>
                <w:sz w:val="20"/>
              </w:rPr>
            </w:pPr>
            <w:r w:rsidRPr="00751D68">
              <w:rPr>
                <w:rFonts w:ascii="Verdana" w:hAnsi="Verdana"/>
                <w:sz w:val="20"/>
              </w:rPr>
              <w:t>Loans for FTE of one third or more.</w:t>
            </w:r>
          </w:p>
        </w:tc>
        <w:tc>
          <w:tcPr>
            <w:tcW w:w="6411" w:type="dxa"/>
          </w:tcPr>
          <w:p w:rsidR="00517D6A" w:rsidRPr="00751D68" w:rsidRDefault="00517D6A" w:rsidP="00A6009B">
            <w:pPr>
              <w:spacing w:line="240" w:lineRule="auto"/>
              <w:rPr>
                <w:rFonts w:ascii="Verdana" w:hAnsi="Verdana"/>
                <w:sz w:val="20"/>
              </w:rPr>
            </w:pPr>
            <w:r w:rsidRPr="00751D68">
              <w:rPr>
                <w:rFonts w:ascii="Verdana" w:hAnsi="Verdana"/>
                <w:sz w:val="20"/>
              </w:rPr>
              <w:t xml:space="preserve">Loans for FTE of one third or more </w:t>
            </w:r>
          </w:p>
        </w:tc>
      </w:tr>
      <w:tr w:rsidR="00517D6A" w:rsidRPr="00751D68" w:rsidTr="008879B5">
        <w:tc>
          <w:tcPr>
            <w:tcW w:w="14174" w:type="dxa"/>
            <w:gridSpan w:val="3"/>
          </w:tcPr>
          <w:p w:rsidR="00517D6A" w:rsidRPr="00751D68" w:rsidRDefault="00517D6A" w:rsidP="008879B5">
            <w:pPr>
              <w:spacing w:line="240" w:lineRule="auto"/>
              <w:rPr>
                <w:rFonts w:ascii="Verdana" w:hAnsi="Verdana"/>
                <w:sz w:val="20"/>
              </w:rPr>
            </w:pPr>
          </w:p>
        </w:tc>
      </w:tr>
      <w:tr w:rsidR="00517D6A" w:rsidRPr="00751D68" w:rsidTr="008879B5">
        <w:tc>
          <w:tcPr>
            <w:tcW w:w="3085" w:type="dxa"/>
          </w:tcPr>
          <w:p w:rsidR="00517D6A" w:rsidRPr="00751D68" w:rsidRDefault="00517D6A" w:rsidP="008879B5">
            <w:pPr>
              <w:spacing w:line="240" w:lineRule="auto"/>
              <w:rPr>
                <w:rFonts w:ascii="Verdana" w:hAnsi="Verdana"/>
                <w:sz w:val="20"/>
              </w:rPr>
            </w:pPr>
            <w:r w:rsidRPr="00751D68">
              <w:rPr>
                <w:rFonts w:ascii="Verdana" w:hAnsi="Verdana"/>
                <w:sz w:val="20"/>
              </w:rPr>
              <w:t>Deferred entry</w:t>
            </w:r>
          </w:p>
        </w:tc>
        <w:tc>
          <w:tcPr>
            <w:tcW w:w="4678" w:type="dxa"/>
          </w:tcPr>
          <w:p w:rsidR="00517D6A" w:rsidRPr="00751D68" w:rsidRDefault="00517D6A" w:rsidP="008879B5">
            <w:pPr>
              <w:spacing w:line="240" w:lineRule="auto"/>
              <w:rPr>
                <w:rFonts w:ascii="Verdana" w:hAnsi="Verdana"/>
                <w:sz w:val="20"/>
              </w:rPr>
            </w:pPr>
            <w:r w:rsidRPr="00751D68">
              <w:rPr>
                <w:rFonts w:ascii="Verdana" w:hAnsi="Verdana"/>
                <w:sz w:val="20"/>
              </w:rPr>
              <w:t>No statement</w:t>
            </w:r>
            <w:r>
              <w:rPr>
                <w:rFonts w:ascii="Verdana" w:hAnsi="Verdana"/>
                <w:sz w:val="20"/>
              </w:rPr>
              <w:t>.</w:t>
            </w:r>
          </w:p>
        </w:tc>
        <w:tc>
          <w:tcPr>
            <w:tcW w:w="6411" w:type="dxa"/>
          </w:tcPr>
          <w:p w:rsidR="00517D6A" w:rsidRPr="00751D68" w:rsidRDefault="00517D6A" w:rsidP="008879B5">
            <w:pPr>
              <w:spacing w:line="240" w:lineRule="auto"/>
              <w:rPr>
                <w:rFonts w:ascii="Verdana" w:hAnsi="Verdana"/>
                <w:b/>
                <w:sz w:val="20"/>
              </w:rPr>
            </w:pPr>
            <w:r w:rsidRPr="00751D68">
              <w:rPr>
                <w:rFonts w:ascii="Verdana" w:hAnsi="Verdana"/>
                <w:b/>
                <w:sz w:val="20"/>
              </w:rPr>
              <w:t>Students with deferred entry for 2012 will have to pay the new fees. It is hoped that they will</w:t>
            </w:r>
            <w:r>
              <w:rPr>
                <w:rFonts w:ascii="Verdana" w:hAnsi="Verdana"/>
                <w:b/>
                <w:sz w:val="20"/>
              </w:rPr>
              <w:t xml:space="preserve"> have the opportunity to start i</w:t>
            </w:r>
            <w:r w:rsidRPr="00751D68">
              <w:rPr>
                <w:rFonts w:ascii="Verdana" w:hAnsi="Verdana"/>
                <w:b/>
                <w:sz w:val="20"/>
              </w:rPr>
              <w:t>n 2011 if they wish.</w:t>
            </w:r>
          </w:p>
        </w:tc>
      </w:tr>
    </w:tbl>
    <w:p w:rsidR="00517D6A" w:rsidRPr="003E1C24" w:rsidRDefault="00517D6A" w:rsidP="00517D6A">
      <w:pPr>
        <w:spacing w:after="240"/>
        <w:rPr>
          <w:rFonts w:ascii="Verdana" w:hAnsi="Verdana"/>
          <w:sz w:val="22"/>
          <w:szCs w:val="22"/>
        </w:rPr>
      </w:pPr>
    </w:p>
    <w:p w:rsidR="00081E5E" w:rsidRPr="00005368" w:rsidRDefault="00081E5E" w:rsidP="00005368">
      <w:pPr>
        <w:spacing w:line="240" w:lineRule="auto"/>
        <w:rPr>
          <w:rFonts w:ascii="Verdana" w:hAnsi="Verdana"/>
        </w:rPr>
      </w:pPr>
    </w:p>
    <w:sectPr w:rsidR="00081E5E" w:rsidRPr="00005368" w:rsidSect="008879B5">
      <w:pgSz w:w="16838" w:h="11906" w:orient="landscape"/>
      <w:pgMar w:top="1797" w:right="1440" w:bottom="1797" w:left="1440" w:header="720" w:footer="720" w:gutter="0"/>
      <w:paperSrc w:first="7" w:other="7"/>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47" w:rsidRDefault="004E5847" w:rsidP="00A16F1D">
      <w:pPr>
        <w:spacing w:line="240" w:lineRule="auto"/>
      </w:pPr>
      <w:r>
        <w:separator/>
      </w:r>
    </w:p>
  </w:endnote>
  <w:endnote w:type="continuationSeparator" w:id="0">
    <w:p w:rsidR="004E5847" w:rsidRDefault="004E5847" w:rsidP="00A16F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47" w:rsidRDefault="004E5847" w:rsidP="00A16F1D">
      <w:pPr>
        <w:spacing w:line="240" w:lineRule="auto"/>
      </w:pPr>
      <w:r>
        <w:separator/>
      </w:r>
    </w:p>
  </w:footnote>
  <w:footnote w:type="continuationSeparator" w:id="0">
    <w:p w:rsidR="004E5847" w:rsidRDefault="004E5847" w:rsidP="00A16F1D">
      <w:pPr>
        <w:spacing w:line="240" w:lineRule="auto"/>
      </w:pPr>
      <w:r>
        <w:continuationSeparator/>
      </w:r>
    </w:p>
  </w:footnote>
  <w:footnote w:id="1">
    <w:p w:rsidR="003F7D58" w:rsidRPr="00321564" w:rsidRDefault="003F7D58">
      <w:pPr>
        <w:pStyle w:val="FootnoteText"/>
        <w:rPr>
          <w:rFonts w:ascii="Verdana" w:hAnsi="Verdana"/>
        </w:rPr>
      </w:pPr>
      <w:r w:rsidRPr="00321564">
        <w:rPr>
          <w:rStyle w:val="FootnoteReference"/>
          <w:rFonts w:ascii="Verdana" w:hAnsi="Verdana"/>
        </w:rPr>
        <w:footnoteRef/>
      </w:r>
      <w:r w:rsidRPr="00321564">
        <w:rPr>
          <w:rFonts w:ascii="Verdana" w:hAnsi="Verdana"/>
        </w:rPr>
        <w:t xml:space="preserve"> This annex replaces the version plac</w:t>
      </w:r>
      <w:r w:rsidR="00C5592B" w:rsidRPr="00321564">
        <w:rPr>
          <w:rFonts w:ascii="Verdana" w:hAnsi="Verdana"/>
        </w:rPr>
        <w:t>ed on the HEPI web site on 10/11</w:t>
      </w:r>
      <w:r w:rsidRPr="00321564">
        <w:rPr>
          <w:rFonts w:ascii="Verdana" w:hAnsi="Verdana"/>
        </w:rPr>
        <w:t>/2010. The modelling has been refined since that first publication and all the figures in this version of the report reflect those changes. None of the differences are material or change the conclusions of the report. The spreadsheets placed on the web site with this revised report incorporate all the improvements to the calculations. The original version contained an error which we have corrected; we incorrectly stated that students who take out loans but do not qualify are not included in the BIS data.</w:t>
      </w:r>
    </w:p>
  </w:footnote>
  <w:footnote w:id="2">
    <w:p w:rsidR="003F7D58" w:rsidRPr="00321564" w:rsidRDefault="003F7D58">
      <w:pPr>
        <w:pStyle w:val="FootnoteText"/>
        <w:rPr>
          <w:rFonts w:ascii="Verdana" w:hAnsi="Verdana"/>
        </w:rPr>
      </w:pPr>
      <w:r w:rsidRPr="00321564">
        <w:rPr>
          <w:rStyle w:val="FootnoteReference"/>
          <w:rFonts w:ascii="Verdana" w:hAnsi="Verdana"/>
        </w:rPr>
        <w:footnoteRef/>
      </w:r>
      <w:r w:rsidRPr="00321564">
        <w:rPr>
          <w:rFonts w:ascii="Verdana" w:hAnsi="Verdana"/>
        </w:rPr>
        <w:t xml:space="preserve"> These trends are for young HE participation relating to all English domiciled entrants to UK Higher Education Institutions and GB Further Education Colleges. This does not exactly match the relevant populations but it gives some indication of recent trends. Estimates used the data tables supplied with the HEFCE participation report (HEFCE, 2010b).   </w:t>
      </w:r>
    </w:p>
  </w:footnote>
  <w:footnote w:id="3">
    <w:p w:rsidR="003F7D58" w:rsidRPr="00321564" w:rsidRDefault="003F7D58">
      <w:pPr>
        <w:pStyle w:val="FootnoteText"/>
        <w:rPr>
          <w:rFonts w:ascii="Verdana" w:hAnsi="Verdana"/>
        </w:rPr>
      </w:pPr>
      <w:r w:rsidRPr="00321564">
        <w:rPr>
          <w:rStyle w:val="FootnoteReference"/>
          <w:rFonts w:ascii="Verdana" w:hAnsi="Verdana"/>
        </w:rPr>
        <w:footnoteRef/>
      </w:r>
      <w:r w:rsidRPr="00321564">
        <w:rPr>
          <w:rFonts w:ascii="Verdana" w:hAnsi="Verdana"/>
        </w:rPr>
        <w:t xml:space="preserve"> See paragraphs 26 to 28 of the HEPI report, “The Independent Review of Higher Education Funding: an analysis”, available at:                                                                    www.hepi.ac.uk/466-1860/The-Independent-Review-of-Higher-Education-Funding--an-analysis.html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3E2E"/>
    <w:multiLevelType w:val="multilevel"/>
    <w:tmpl w:val="A2F8A04C"/>
    <w:name w:val="HEFCE4"/>
    <w:lvl w:ilvl="0">
      <w:start w:val="1"/>
      <w:numFmt w:val="decimal"/>
      <w:lvlRestart w:val="0"/>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nsid w:val="3EE936A4"/>
    <w:multiLevelType w:val="hybridMultilevel"/>
    <w:tmpl w:val="D02EE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3F01A0"/>
    <w:multiLevelType w:val="multilevel"/>
    <w:tmpl w:val="23B88BB0"/>
    <w:name w:val="HEFCE4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
    <w:nsid w:val="7BE432FD"/>
    <w:multiLevelType w:val="hybridMultilevel"/>
    <w:tmpl w:val="9C828D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17D6A"/>
    <w:rsid w:val="00005368"/>
    <w:rsid w:val="00012EE8"/>
    <w:rsid w:val="000278B3"/>
    <w:rsid w:val="00034FB5"/>
    <w:rsid w:val="00081E5E"/>
    <w:rsid w:val="0009098E"/>
    <w:rsid w:val="000A0127"/>
    <w:rsid w:val="000C03A8"/>
    <w:rsid w:val="000E4806"/>
    <w:rsid w:val="000F07FB"/>
    <w:rsid w:val="000F1D46"/>
    <w:rsid w:val="00112770"/>
    <w:rsid w:val="00114CA5"/>
    <w:rsid w:val="00134E95"/>
    <w:rsid w:val="00144216"/>
    <w:rsid w:val="001465F8"/>
    <w:rsid w:val="001541DB"/>
    <w:rsid w:val="0015667F"/>
    <w:rsid w:val="00170D53"/>
    <w:rsid w:val="001A20AB"/>
    <w:rsid w:val="001B74C5"/>
    <w:rsid w:val="001B7A6F"/>
    <w:rsid w:val="001C2D09"/>
    <w:rsid w:val="001D5083"/>
    <w:rsid w:val="00206EBD"/>
    <w:rsid w:val="002106DC"/>
    <w:rsid w:val="00214874"/>
    <w:rsid w:val="002243C7"/>
    <w:rsid w:val="00254345"/>
    <w:rsid w:val="00274C27"/>
    <w:rsid w:val="002805D7"/>
    <w:rsid w:val="00280675"/>
    <w:rsid w:val="002A6DDB"/>
    <w:rsid w:val="00300F72"/>
    <w:rsid w:val="00313D9A"/>
    <w:rsid w:val="00321564"/>
    <w:rsid w:val="00351396"/>
    <w:rsid w:val="00373FD4"/>
    <w:rsid w:val="00374A11"/>
    <w:rsid w:val="003777BF"/>
    <w:rsid w:val="00387D0D"/>
    <w:rsid w:val="003A1CA3"/>
    <w:rsid w:val="003D371A"/>
    <w:rsid w:val="003D40DF"/>
    <w:rsid w:val="003E462E"/>
    <w:rsid w:val="003F7D58"/>
    <w:rsid w:val="004776C3"/>
    <w:rsid w:val="00484A69"/>
    <w:rsid w:val="004C0831"/>
    <w:rsid w:val="004C162D"/>
    <w:rsid w:val="004E2151"/>
    <w:rsid w:val="004E5847"/>
    <w:rsid w:val="00517D6A"/>
    <w:rsid w:val="005610DC"/>
    <w:rsid w:val="005E1107"/>
    <w:rsid w:val="006007DC"/>
    <w:rsid w:val="0062026F"/>
    <w:rsid w:val="0065592E"/>
    <w:rsid w:val="006711AF"/>
    <w:rsid w:val="006919FE"/>
    <w:rsid w:val="00697798"/>
    <w:rsid w:val="006B5509"/>
    <w:rsid w:val="0070237E"/>
    <w:rsid w:val="00704785"/>
    <w:rsid w:val="0072051E"/>
    <w:rsid w:val="00731F82"/>
    <w:rsid w:val="007413D8"/>
    <w:rsid w:val="007614B5"/>
    <w:rsid w:val="00765E10"/>
    <w:rsid w:val="007A1FEA"/>
    <w:rsid w:val="007A3F27"/>
    <w:rsid w:val="007A53D4"/>
    <w:rsid w:val="007A79E1"/>
    <w:rsid w:val="007B71EB"/>
    <w:rsid w:val="007B77B6"/>
    <w:rsid w:val="007C2D5A"/>
    <w:rsid w:val="00842147"/>
    <w:rsid w:val="00854257"/>
    <w:rsid w:val="0087644B"/>
    <w:rsid w:val="008879B5"/>
    <w:rsid w:val="008912FC"/>
    <w:rsid w:val="008E2A20"/>
    <w:rsid w:val="008F01C0"/>
    <w:rsid w:val="008F11EE"/>
    <w:rsid w:val="00935609"/>
    <w:rsid w:val="0093775C"/>
    <w:rsid w:val="0094335A"/>
    <w:rsid w:val="00984C72"/>
    <w:rsid w:val="009A02F3"/>
    <w:rsid w:val="009C7A15"/>
    <w:rsid w:val="009F3ECF"/>
    <w:rsid w:val="009F7C80"/>
    <w:rsid w:val="00A02B0D"/>
    <w:rsid w:val="00A11E1A"/>
    <w:rsid w:val="00A16F1D"/>
    <w:rsid w:val="00A3536E"/>
    <w:rsid w:val="00A53C2B"/>
    <w:rsid w:val="00A545A5"/>
    <w:rsid w:val="00A6009B"/>
    <w:rsid w:val="00A800B9"/>
    <w:rsid w:val="00A8122F"/>
    <w:rsid w:val="00A83CC7"/>
    <w:rsid w:val="00A93500"/>
    <w:rsid w:val="00AA1A64"/>
    <w:rsid w:val="00AA54CD"/>
    <w:rsid w:val="00AB389C"/>
    <w:rsid w:val="00AD6258"/>
    <w:rsid w:val="00AF0FC0"/>
    <w:rsid w:val="00AF44F5"/>
    <w:rsid w:val="00B04EEF"/>
    <w:rsid w:val="00B20823"/>
    <w:rsid w:val="00B63F06"/>
    <w:rsid w:val="00B83B7E"/>
    <w:rsid w:val="00B9095E"/>
    <w:rsid w:val="00BC15B2"/>
    <w:rsid w:val="00BD1ADC"/>
    <w:rsid w:val="00BD7788"/>
    <w:rsid w:val="00C166FA"/>
    <w:rsid w:val="00C5592B"/>
    <w:rsid w:val="00C65741"/>
    <w:rsid w:val="00C70D2F"/>
    <w:rsid w:val="00CC3610"/>
    <w:rsid w:val="00CC6F3D"/>
    <w:rsid w:val="00CD009F"/>
    <w:rsid w:val="00CE4EF8"/>
    <w:rsid w:val="00CE6619"/>
    <w:rsid w:val="00CF04EC"/>
    <w:rsid w:val="00CF084E"/>
    <w:rsid w:val="00D14546"/>
    <w:rsid w:val="00D254DB"/>
    <w:rsid w:val="00D2662C"/>
    <w:rsid w:val="00D52A5F"/>
    <w:rsid w:val="00D62F3F"/>
    <w:rsid w:val="00DD0A63"/>
    <w:rsid w:val="00DE150E"/>
    <w:rsid w:val="00E124DE"/>
    <w:rsid w:val="00E21B14"/>
    <w:rsid w:val="00E25FCD"/>
    <w:rsid w:val="00E33952"/>
    <w:rsid w:val="00E37579"/>
    <w:rsid w:val="00E71464"/>
    <w:rsid w:val="00EA032A"/>
    <w:rsid w:val="00EE378A"/>
    <w:rsid w:val="00F015BE"/>
    <w:rsid w:val="00F33E76"/>
    <w:rsid w:val="00F5641A"/>
    <w:rsid w:val="00FC0EAE"/>
    <w:rsid w:val="00FC48DE"/>
    <w:rsid w:val="00FD1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semiHidden/>
    <w:unhideWhenUsed/>
    <w:rsid w:val="00A16F1D"/>
    <w:pPr>
      <w:spacing w:line="240" w:lineRule="auto"/>
    </w:pPr>
    <w:rPr>
      <w:sz w:val="20"/>
    </w:rPr>
  </w:style>
  <w:style w:type="character" w:customStyle="1" w:styleId="FootnoteTextChar">
    <w:name w:val="Footnote Text Char"/>
    <w:basedOn w:val="DefaultParagraphFont"/>
    <w:link w:val="FootnoteText"/>
    <w:uiPriority w:val="99"/>
    <w:semiHidden/>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John%20Files\Documents\Analysis\HEPI\Browne_Review\BIS_model\BIS_Incomes_10_11_13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John%20Files\Documents\Analysis\HEPI\Browne_Review\BIS_model\Annex_a_fig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v>Female - no macro growth</c:v>
          </c:tx>
          <c:spPr>
            <a:ln>
              <a:solidFill>
                <a:srgbClr val="FF0000"/>
              </a:solidFill>
              <a:prstDash val="sysDot"/>
            </a:ln>
          </c:spPr>
          <c:marker>
            <c:symbol val="circle"/>
            <c:size val="4"/>
            <c:spPr>
              <a:solidFill>
                <a:srgbClr val="FF0000"/>
              </a:solidFill>
            </c:spPr>
          </c:marker>
          <c:val>
            <c:numRef>
              <c:f>'Figure A1 data'!$B$3:$AE$3</c:f>
              <c:numCache>
                <c:formatCode>"£"#,##0</c:formatCode>
                <c:ptCount val="30"/>
                <c:pt idx="0">
                  <c:v>17921.726364508995</c:v>
                </c:pt>
                <c:pt idx="1">
                  <c:v>20642.670799311156</c:v>
                </c:pt>
                <c:pt idx="2">
                  <c:v>23079.198226076318</c:v>
                </c:pt>
                <c:pt idx="3">
                  <c:v>24740.914277328829</c:v>
                </c:pt>
                <c:pt idx="4">
                  <c:v>26024.230991054919</c:v>
                </c:pt>
                <c:pt idx="5">
                  <c:v>27322.890766813616</c:v>
                </c:pt>
                <c:pt idx="6">
                  <c:v>27960.318348521516</c:v>
                </c:pt>
                <c:pt idx="7">
                  <c:v>28207.271789211514</c:v>
                </c:pt>
                <c:pt idx="8">
                  <c:v>28375.437143484101</c:v>
                </c:pt>
                <c:pt idx="9">
                  <c:v>28220.420617589047</c:v>
                </c:pt>
                <c:pt idx="10">
                  <c:v>28258.930960619036</c:v>
                </c:pt>
                <c:pt idx="11">
                  <c:v>28376.675796095496</c:v>
                </c:pt>
                <c:pt idx="12">
                  <c:v>28335.562062146357</c:v>
                </c:pt>
                <c:pt idx="13">
                  <c:v>28331.584933105954</c:v>
                </c:pt>
                <c:pt idx="14">
                  <c:v>28303.26813639743</c:v>
                </c:pt>
                <c:pt idx="15">
                  <c:v>28238.916815195909</c:v>
                </c:pt>
                <c:pt idx="16">
                  <c:v>28277.225346076579</c:v>
                </c:pt>
                <c:pt idx="17">
                  <c:v>28506.710580425712</c:v>
                </c:pt>
                <c:pt idx="18">
                  <c:v>28375.117690361982</c:v>
                </c:pt>
                <c:pt idx="19">
                  <c:v>27901.775364791301</c:v>
                </c:pt>
                <c:pt idx="20">
                  <c:v>28318.596094737299</c:v>
                </c:pt>
                <c:pt idx="21">
                  <c:v>28026.884092707482</c:v>
                </c:pt>
                <c:pt idx="22">
                  <c:v>28475.684446201922</c:v>
                </c:pt>
                <c:pt idx="23">
                  <c:v>28768.142144936352</c:v>
                </c:pt>
                <c:pt idx="24">
                  <c:v>28277.133429164031</c:v>
                </c:pt>
                <c:pt idx="25">
                  <c:v>28232.693107703475</c:v>
                </c:pt>
                <c:pt idx="26">
                  <c:v>28432.258945727979</c:v>
                </c:pt>
                <c:pt idx="27">
                  <c:v>28402.025878402215</c:v>
                </c:pt>
                <c:pt idx="28">
                  <c:v>28154.446435854308</c:v>
                </c:pt>
                <c:pt idx="29">
                  <c:v>28864.88360597266</c:v>
                </c:pt>
              </c:numCache>
            </c:numRef>
          </c:val>
        </c:ser>
        <c:ser>
          <c:idx val="2"/>
          <c:order val="1"/>
          <c:tx>
            <c:v>Male -  no macro growth</c:v>
          </c:tx>
          <c:spPr>
            <a:ln>
              <a:solidFill>
                <a:srgbClr val="00B0F0"/>
              </a:solidFill>
              <a:prstDash val="sysDot"/>
            </a:ln>
          </c:spPr>
          <c:marker>
            <c:symbol val="square"/>
            <c:size val="4"/>
            <c:spPr>
              <a:solidFill>
                <a:srgbClr val="00B0F0"/>
              </a:solidFill>
            </c:spPr>
          </c:marker>
          <c:val>
            <c:numRef>
              <c:f>'Figure A1 data'!$B$4:$AE$4</c:f>
              <c:numCache>
                <c:formatCode>"£"#,##0</c:formatCode>
                <c:ptCount val="30"/>
                <c:pt idx="0">
                  <c:v>23142.155083863501</c:v>
                </c:pt>
                <c:pt idx="1">
                  <c:v>28508.174246509694</c:v>
                </c:pt>
                <c:pt idx="2">
                  <c:v>33404.392011884593</c:v>
                </c:pt>
                <c:pt idx="3">
                  <c:v>36446.949476080204</c:v>
                </c:pt>
                <c:pt idx="4">
                  <c:v>39176.822623104992</c:v>
                </c:pt>
                <c:pt idx="5">
                  <c:v>41519.235000162524</c:v>
                </c:pt>
                <c:pt idx="6">
                  <c:v>42728.365170479483</c:v>
                </c:pt>
                <c:pt idx="7">
                  <c:v>43588.301673620139</c:v>
                </c:pt>
                <c:pt idx="8">
                  <c:v>44128.552532983202</c:v>
                </c:pt>
                <c:pt idx="9">
                  <c:v>44538.214664587504</c:v>
                </c:pt>
                <c:pt idx="10">
                  <c:v>44602.409717342955</c:v>
                </c:pt>
                <c:pt idx="11">
                  <c:v>44837.016358396359</c:v>
                </c:pt>
                <c:pt idx="12">
                  <c:v>44993.686485742655</c:v>
                </c:pt>
                <c:pt idx="13">
                  <c:v>45013.63041659291</c:v>
                </c:pt>
                <c:pt idx="14">
                  <c:v>45176.001767667927</c:v>
                </c:pt>
                <c:pt idx="15">
                  <c:v>45215.889335891312</c:v>
                </c:pt>
                <c:pt idx="16">
                  <c:v>45426.542029396114</c:v>
                </c:pt>
                <c:pt idx="17">
                  <c:v>45770.103000686424</c:v>
                </c:pt>
                <c:pt idx="18">
                  <c:v>46155.670227830626</c:v>
                </c:pt>
                <c:pt idx="19">
                  <c:v>46441.177089822384</c:v>
                </c:pt>
                <c:pt idx="20">
                  <c:v>47053.652773549991</c:v>
                </c:pt>
                <c:pt idx="21">
                  <c:v>47345.056889885018</c:v>
                </c:pt>
                <c:pt idx="22">
                  <c:v>48112.834680522057</c:v>
                </c:pt>
                <c:pt idx="23">
                  <c:v>48972.681313909285</c:v>
                </c:pt>
                <c:pt idx="24">
                  <c:v>49928.046642475609</c:v>
                </c:pt>
                <c:pt idx="25">
                  <c:v>51185.081442079871</c:v>
                </c:pt>
                <c:pt idx="26">
                  <c:v>52421.514559580202</c:v>
                </c:pt>
                <c:pt idx="27">
                  <c:v>53799.89355880332</c:v>
                </c:pt>
                <c:pt idx="28">
                  <c:v>55211.843856038948</c:v>
                </c:pt>
                <c:pt idx="29">
                  <c:v>56887.297289206996</c:v>
                </c:pt>
              </c:numCache>
            </c:numRef>
          </c:val>
        </c:ser>
        <c:ser>
          <c:idx val="3"/>
          <c:order val="2"/>
          <c:tx>
            <c:v>Female - with growth</c:v>
          </c:tx>
          <c:spPr>
            <a:ln>
              <a:solidFill>
                <a:srgbClr val="FF0000"/>
              </a:solidFill>
            </a:ln>
          </c:spPr>
          <c:marker>
            <c:symbol val="circle"/>
            <c:size val="4"/>
            <c:spPr>
              <a:solidFill>
                <a:srgbClr val="FF0000"/>
              </a:solidFill>
            </c:spPr>
          </c:marker>
          <c:val>
            <c:numRef>
              <c:f>'Figure A1 data'!$B$5:$AE$5</c:f>
              <c:numCache>
                <c:formatCode>"£"#,##0</c:formatCode>
                <c:ptCount val="30"/>
                <c:pt idx="0">
                  <c:v>17921.726364508995</c:v>
                </c:pt>
                <c:pt idx="1">
                  <c:v>21044.474610489917</c:v>
                </c:pt>
                <c:pt idx="2">
                  <c:v>23986.402636547256</c:v>
                </c:pt>
                <c:pt idx="3">
                  <c:v>26213.942821862463</c:v>
                </c:pt>
                <c:pt idx="4">
                  <c:v>28110.37954363797</c:v>
                </c:pt>
                <c:pt idx="5">
                  <c:v>30087.607247146992</c:v>
                </c:pt>
                <c:pt idx="6">
                  <c:v>31388.843766184957</c:v>
                </c:pt>
                <c:pt idx="7">
                  <c:v>32282.450278884964</c:v>
                </c:pt>
                <c:pt idx="8">
                  <c:v>33107.025977124737</c:v>
                </c:pt>
                <c:pt idx="9">
                  <c:v>33567.059030960751</c:v>
                </c:pt>
                <c:pt idx="10">
                  <c:v>34267.130562881524</c:v>
                </c:pt>
                <c:pt idx="11">
                  <c:v>35079.688671006719</c:v>
                </c:pt>
                <c:pt idx="12">
                  <c:v>35710.690254188652</c:v>
                </c:pt>
                <c:pt idx="13">
                  <c:v>36400.678996240989</c:v>
                </c:pt>
                <c:pt idx="14">
                  <c:v>37072.118189646542</c:v>
                </c:pt>
                <c:pt idx="15">
                  <c:v>37707.787453485806</c:v>
                </c:pt>
                <c:pt idx="16">
                  <c:v>38493.908553374487</c:v>
                </c:pt>
                <c:pt idx="17">
                  <c:v>39561.661713401874</c:v>
                </c:pt>
                <c:pt idx="18">
                  <c:v>40145.538809754646</c:v>
                </c:pt>
                <c:pt idx="19">
                  <c:v>40244.233360010265</c:v>
                </c:pt>
                <c:pt idx="20">
                  <c:v>41640.481337950667</c:v>
                </c:pt>
                <c:pt idx="21">
                  <c:v>42013.710674455033</c:v>
                </c:pt>
                <c:pt idx="22">
                  <c:v>43517.365492427547</c:v>
                </c:pt>
                <c:pt idx="23">
                  <c:v>44820.060766017581</c:v>
                </c:pt>
                <c:pt idx="24">
                  <c:v>44912.601043438626</c:v>
                </c:pt>
                <c:pt idx="25">
                  <c:v>45714.853736532226</c:v>
                </c:pt>
                <c:pt idx="26">
                  <c:v>46934.110787330988</c:v>
                </c:pt>
                <c:pt idx="27">
                  <c:v>47796.791932818975</c:v>
                </c:pt>
                <c:pt idx="28">
                  <c:v>48302.390352314767</c:v>
                </c:pt>
                <c:pt idx="29">
                  <c:v>50485.148983534855</c:v>
                </c:pt>
              </c:numCache>
            </c:numRef>
          </c:val>
        </c:ser>
        <c:ser>
          <c:idx val="4"/>
          <c:order val="3"/>
          <c:tx>
            <c:v>Male - with growth</c:v>
          </c:tx>
          <c:spPr>
            <a:ln>
              <a:solidFill>
                <a:srgbClr val="00B0F0"/>
              </a:solidFill>
            </a:ln>
          </c:spPr>
          <c:marker>
            <c:symbol val="star"/>
            <c:size val="4"/>
            <c:spPr>
              <a:solidFill>
                <a:srgbClr val="00B0F0"/>
              </a:solidFill>
            </c:spPr>
          </c:marker>
          <c:val>
            <c:numRef>
              <c:f>'Figure A1 data'!$B$6:$AE$6</c:f>
              <c:numCache>
                <c:formatCode>"£"#,##0</c:formatCode>
                <c:ptCount val="30"/>
                <c:pt idx="0">
                  <c:v>23142.155083863501</c:v>
                </c:pt>
                <c:pt idx="1">
                  <c:v>29063.077881478359</c:v>
                </c:pt>
                <c:pt idx="2">
                  <c:v>34717.462399574142</c:v>
                </c:pt>
                <c:pt idx="3">
                  <c:v>38616.933832262002</c:v>
                </c:pt>
                <c:pt idx="4">
                  <c:v>42317.306268446875</c:v>
                </c:pt>
                <c:pt idx="5">
                  <c:v>45720.434435297262</c:v>
                </c:pt>
                <c:pt idx="6">
                  <c:v>47967.764958999498</c:v>
                </c:pt>
                <c:pt idx="7">
                  <c:v>49885.617866024113</c:v>
                </c:pt>
                <c:pt idx="8">
                  <c:v>51486.964858191917</c:v>
                </c:pt>
                <c:pt idx="9">
                  <c:v>52976.420905930994</c:v>
                </c:pt>
                <c:pt idx="10">
                  <c:v>54085.435833834832</c:v>
                </c:pt>
                <c:pt idx="11">
                  <c:v>55428.218093318399</c:v>
                </c:pt>
                <c:pt idx="12">
                  <c:v>56704.560790516218</c:v>
                </c:pt>
                <c:pt idx="13">
                  <c:v>57833.923344513147</c:v>
                </c:pt>
                <c:pt idx="14">
                  <c:v>59172.321330375082</c:v>
                </c:pt>
                <c:pt idx="15">
                  <c:v>60377.356389273569</c:v>
                </c:pt>
                <c:pt idx="16">
                  <c:v>61839.347155685085</c:v>
                </c:pt>
                <c:pt idx="17">
                  <c:v>63519.827248818983</c:v>
                </c:pt>
                <c:pt idx="18">
                  <c:v>65301.729164315882</c:v>
                </c:pt>
                <c:pt idx="19">
                  <c:v>66984.610974785406</c:v>
                </c:pt>
                <c:pt idx="20">
                  <c:v>69189.049614064235</c:v>
                </c:pt>
                <c:pt idx="21">
                  <c:v>70972.624550683424</c:v>
                </c:pt>
                <c:pt idx="22">
                  <c:v>73527.427079923218</c:v>
                </c:pt>
                <c:pt idx="23">
                  <c:v>76298.237866938405</c:v>
                </c:pt>
                <c:pt idx="24">
                  <c:v>79300.769483903059</c:v>
                </c:pt>
                <c:pt idx="25">
                  <c:v>82879.748761152208</c:v>
                </c:pt>
                <c:pt idx="26">
                  <c:v>86534.002686011998</c:v>
                </c:pt>
                <c:pt idx="27">
                  <c:v>90537.989418331301</c:v>
                </c:pt>
                <c:pt idx="28">
                  <c:v>94722.659175043504</c:v>
                </c:pt>
                <c:pt idx="29">
                  <c:v>99496.804425776107</c:v>
                </c:pt>
              </c:numCache>
            </c:numRef>
          </c:val>
        </c:ser>
        <c:marker val="1"/>
        <c:axId val="68547328"/>
        <c:axId val="68549632"/>
      </c:lineChart>
      <c:catAx>
        <c:axId val="68547328"/>
        <c:scaling>
          <c:orientation val="minMax"/>
        </c:scaling>
        <c:axPos val="b"/>
        <c:title>
          <c:tx>
            <c:rich>
              <a:bodyPr/>
              <a:lstStyle/>
              <a:p>
                <a:pPr>
                  <a:defRPr sz="1100" b="0" i="0" baseline="0">
                    <a:latin typeface="Verdana" pitchFamily="34" charset="0"/>
                  </a:defRPr>
                </a:pPr>
                <a:r>
                  <a:rPr lang="en-GB" sz="1100" b="0" i="0" baseline="0">
                    <a:latin typeface="Verdana" pitchFamily="34" charset="0"/>
                  </a:rPr>
                  <a:t>Year of repayment period</a:t>
                </a:r>
              </a:p>
            </c:rich>
          </c:tx>
        </c:title>
        <c:tickLblPos val="nextTo"/>
        <c:txPr>
          <a:bodyPr/>
          <a:lstStyle/>
          <a:p>
            <a:pPr>
              <a:defRPr sz="1100" baseline="0">
                <a:latin typeface="Verdana" pitchFamily="34" charset="0"/>
              </a:defRPr>
            </a:pPr>
            <a:endParaRPr lang="en-US"/>
          </a:p>
        </c:txPr>
        <c:crossAx val="68549632"/>
        <c:crosses val="autoZero"/>
        <c:auto val="1"/>
        <c:lblAlgn val="ctr"/>
        <c:lblOffset val="100"/>
      </c:catAx>
      <c:valAx>
        <c:axId val="68549632"/>
        <c:scaling>
          <c:orientation val="minMax"/>
          <c:max val="100000"/>
          <c:min val="0"/>
        </c:scaling>
        <c:axPos val="l"/>
        <c:majorGridlines/>
        <c:numFmt formatCode="&quot;£&quot;#,##0" sourceLinked="1"/>
        <c:tickLblPos val="nextTo"/>
        <c:txPr>
          <a:bodyPr/>
          <a:lstStyle/>
          <a:p>
            <a:pPr>
              <a:defRPr sz="1100" baseline="0">
                <a:latin typeface="Verdana" pitchFamily="34" charset="0"/>
              </a:defRPr>
            </a:pPr>
            <a:endParaRPr lang="en-US"/>
          </a:p>
        </c:txPr>
        <c:crossAx val="68547328"/>
        <c:crosses val="autoZero"/>
        <c:crossBetween val="between"/>
      </c:valAx>
      <c:spPr>
        <a:noFill/>
        <a:ln>
          <a:solidFill>
            <a:schemeClr val="bg1"/>
          </a:solidFill>
        </a:ln>
      </c:spPr>
    </c:plotArea>
    <c:legend>
      <c:legendPos val="b"/>
      <c:txPr>
        <a:bodyPr/>
        <a:lstStyle/>
        <a:p>
          <a:pPr>
            <a:defRPr sz="1100" baseline="0">
              <a:latin typeface="Verdana" pitchFamily="34" charset="0"/>
            </a:defRPr>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spPr>
            <a:ln w="25400">
              <a:solidFill>
                <a:schemeClr val="tx1"/>
              </a:solidFill>
            </a:ln>
          </c:spPr>
          <c:marker>
            <c:symbol val="none"/>
          </c:marker>
          <c:xVal>
            <c:numRef>
              <c:f>'Figure A2 data'!$D$6:$D$151</c:f>
              <c:numCache>
                <c:formatCode>0.0%</c:formatCode>
                <c:ptCount val="146"/>
                <c:pt idx="0">
                  <c:v>3.014969346942065E-2</c:v>
                </c:pt>
                <c:pt idx="1">
                  <c:v>3.0354535325349818E-2</c:v>
                </c:pt>
                <c:pt idx="2">
                  <c:v>3.0559377181279563E-2</c:v>
                </c:pt>
                <c:pt idx="3">
                  <c:v>3.0764219037208829E-2</c:v>
                </c:pt>
                <c:pt idx="4">
                  <c:v>3.0969060893138334E-2</c:v>
                </c:pt>
                <c:pt idx="5">
                  <c:v>3.1173902749067759E-2</c:v>
                </c:pt>
                <c:pt idx="6">
                  <c:v>3.1378744604997351E-2</c:v>
                </c:pt>
                <c:pt idx="7">
                  <c:v>3.1583586460926856E-2</c:v>
                </c:pt>
                <c:pt idx="8">
                  <c:v>3.1788428316856354E-2</c:v>
                </c:pt>
                <c:pt idx="9">
                  <c:v>3.1993270172785991E-2</c:v>
                </c:pt>
                <c:pt idx="10">
                  <c:v>3.2198112028715531E-2</c:v>
                </c:pt>
                <c:pt idx="11">
                  <c:v>3.2402953884645008E-2</c:v>
                </c:pt>
                <c:pt idx="12">
                  <c:v>3.2607795740574562E-2</c:v>
                </c:pt>
                <c:pt idx="13">
                  <c:v>3.2812637596504032E-2</c:v>
                </c:pt>
                <c:pt idx="14">
                  <c:v>3.301747945243319E-2</c:v>
                </c:pt>
                <c:pt idx="15">
                  <c:v>3.3222321308362883E-2</c:v>
                </c:pt>
                <c:pt idx="16">
                  <c:v>3.342716316429218E-2</c:v>
                </c:pt>
                <c:pt idx="17">
                  <c:v>3.3632005020222212E-2</c:v>
                </c:pt>
                <c:pt idx="18">
                  <c:v>3.3836846876151412E-2</c:v>
                </c:pt>
                <c:pt idx="19">
                  <c:v>3.404168873208091E-2</c:v>
                </c:pt>
                <c:pt idx="20">
                  <c:v>3.4246530588010318E-2</c:v>
                </c:pt>
                <c:pt idx="21">
                  <c:v>3.4451372443939886E-2</c:v>
                </c:pt>
                <c:pt idx="22">
                  <c:v>3.465621429986921E-2</c:v>
                </c:pt>
                <c:pt idx="23">
                  <c:v>3.4861056155798709E-2</c:v>
                </c:pt>
                <c:pt idx="24">
                  <c:v>3.5065898011728242E-2</c:v>
                </c:pt>
                <c:pt idx="25">
                  <c:v>3.5270739867657795E-2</c:v>
                </c:pt>
                <c:pt idx="26">
                  <c:v>3.5475581723587231E-2</c:v>
                </c:pt>
                <c:pt idx="27">
                  <c:v>3.5680423579516805E-2</c:v>
                </c:pt>
                <c:pt idx="28">
                  <c:v>3.5885265435446373E-2</c:v>
                </c:pt>
                <c:pt idx="29">
                  <c:v>3.6090107291375816E-2</c:v>
                </c:pt>
                <c:pt idx="30">
                  <c:v>3.6294949147305251E-2</c:v>
                </c:pt>
                <c:pt idx="31">
                  <c:v>3.6499791003234756E-2</c:v>
                </c:pt>
                <c:pt idx="32">
                  <c:v>3.6704632859164282E-2</c:v>
                </c:pt>
                <c:pt idx="33">
                  <c:v>3.6909474715093614E-2</c:v>
                </c:pt>
                <c:pt idx="34">
                  <c:v>3.7114316571023272E-2</c:v>
                </c:pt>
                <c:pt idx="35">
                  <c:v>3.7319158426952652E-2</c:v>
                </c:pt>
                <c:pt idx="36">
                  <c:v>3.7524000282882053E-2</c:v>
                </c:pt>
                <c:pt idx="37">
                  <c:v>3.7728842138812002E-2</c:v>
                </c:pt>
                <c:pt idx="38">
                  <c:v>3.7933683994741285E-2</c:v>
                </c:pt>
                <c:pt idx="39">
                  <c:v>3.813852585067079E-2</c:v>
                </c:pt>
                <c:pt idx="40">
                  <c:v>3.8343367706600434E-2</c:v>
                </c:pt>
                <c:pt idx="41">
                  <c:v>3.8548209562529842E-2</c:v>
                </c:pt>
                <c:pt idx="42">
                  <c:v>3.875305141845909E-2</c:v>
                </c:pt>
                <c:pt idx="43">
                  <c:v>3.8957893274388589E-2</c:v>
                </c:pt>
                <c:pt idx="44">
                  <c:v>3.9162735130318087E-2</c:v>
                </c:pt>
                <c:pt idx="45">
                  <c:v>3.9367576986247599E-2</c:v>
                </c:pt>
                <c:pt idx="46">
                  <c:v>3.9572418842177111E-2</c:v>
                </c:pt>
                <c:pt idx="47">
                  <c:v>3.9777260698106852E-2</c:v>
                </c:pt>
                <c:pt idx="48">
                  <c:v>3.9982102554036142E-2</c:v>
                </c:pt>
                <c:pt idx="49">
                  <c:v>4.0186944409965633E-2</c:v>
                </c:pt>
                <c:pt idx="50">
                  <c:v>4.0391786265895117E-2</c:v>
                </c:pt>
                <c:pt idx="51">
                  <c:v>4.0596628121824879E-2</c:v>
                </c:pt>
                <c:pt idx="52">
                  <c:v>4.0801469977754107E-2</c:v>
                </c:pt>
                <c:pt idx="53">
                  <c:v>4.1006311833683626E-2</c:v>
                </c:pt>
                <c:pt idx="54">
                  <c:v>4.1211153689613055E-2</c:v>
                </c:pt>
                <c:pt idx="55">
                  <c:v>4.1415995545542483E-2</c:v>
                </c:pt>
                <c:pt idx="56">
                  <c:v>4.1620837401471905E-2</c:v>
                </c:pt>
                <c:pt idx="57">
                  <c:v>4.1825679257401813E-2</c:v>
                </c:pt>
                <c:pt idx="58">
                  <c:v>4.2030521113331533E-2</c:v>
                </c:pt>
                <c:pt idx="59">
                  <c:v>4.2235362969260365E-2</c:v>
                </c:pt>
                <c:pt idx="60">
                  <c:v>4.2440204825190418E-2</c:v>
                </c:pt>
                <c:pt idx="61">
                  <c:v>4.2645046681119216E-2</c:v>
                </c:pt>
                <c:pt idx="62">
                  <c:v>4.2849888537048957E-2</c:v>
                </c:pt>
                <c:pt idx="63">
                  <c:v>4.3054730392978482E-2</c:v>
                </c:pt>
                <c:pt idx="64">
                  <c:v>4.3259572248907745E-2</c:v>
                </c:pt>
                <c:pt idx="65">
                  <c:v>4.3464414104837534E-2</c:v>
                </c:pt>
                <c:pt idx="66">
                  <c:v>4.3669255960766956E-2</c:v>
                </c:pt>
                <c:pt idx="67">
                  <c:v>4.3874097816696767E-2</c:v>
                </c:pt>
                <c:pt idx="68">
                  <c:v>4.4078939672625987E-2</c:v>
                </c:pt>
                <c:pt idx="69">
                  <c:v>4.4283781528555513E-2</c:v>
                </c:pt>
                <c:pt idx="70">
                  <c:v>4.4488623384484803E-2</c:v>
                </c:pt>
                <c:pt idx="71">
                  <c:v>4.4693465240414523E-2</c:v>
                </c:pt>
                <c:pt idx="72">
                  <c:v>4.4898307096344035E-2</c:v>
                </c:pt>
                <c:pt idx="73">
                  <c:v>4.5103148952273506E-2</c:v>
                </c:pt>
                <c:pt idx="74">
                  <c:v>4.5307990808203108E-2</c:v>
                </c:pt>
                <c:pt idx="75">
                  <c:v>4.5512832664132322E-2</c:v>
                </c:pt>
                <c:pt idx="76">
                  <c:v>4.5717674520062104E-2</c:v>
                </c:pt>
                <c:pt idx="77">
                  <c:v>4.5922516375991332E-2</c:v>
                </c:pt>
                <c:pt idx="78">
                  <c:v>4.6127358231921052E-2</c:v>
                </c:pt>
                <c:pt idx="79">
                  <c:v>4.6332200087850384E-2</c:v>
                </c:pt>
                <c:pt idx="80">
                  <c:v>4.6537041943780104E-2</c:v>
                </c:pt>
                <c:pt idx="81">
                  <c:v>4.6741883799709276E-2</c:v>
                </c:pt>
                <c:pt idx="82">
                  <c:v>4.6946725655638864E-2</c:v>
                </c:pt>
                <c:pt idx="83">
                  <c:v>4.7151567511568362E-2</c:v>
                </c:pt>
                <c:pt idx="84">
                  <c:v>4.7356409367497874E-2</c:v>
                </c:pt>
                <c:pt idx="85">
                  <c:v>4.7561251223427192E-2</c:v>
                </c:pt>
                <c:pt idx="86">
                  <c:v>4.7766093079357093E-2</c:v>
                </c:pt>
                <c:pt idx="87">
                  <c:v>4.7970934935286508E-2</c:v>
                </c:pt>
                <c:pt idx="88">
                  <c:v>4.8175776791215645E-2</c:v>
                </c:pt>
                <c:pt idx="89">
                  <c:v>4.8380618647145414E-2</c:v>
                </c:pt>
                <c:pt idx="90">
                  <c:v>4.8585460503074857E-2</c:v>
                </c:pt>
                <c:pt idx="91">
                  <c:v>4.8790302359004403E-2</c:v>
                </c:pt>
                <c:pt idx="92">
                  <c:v>4.8995144214933894E-2</c:v>
                </c:pt>
                <c:pt idx="93">
                  <c:v>4.9199986070863413E-2</c:v>
                </c:pt>
                <c:pt idx="94">
                  <c:v>4.9404827926792926E-2</c:v>
                </c:pt>
                <c:pt idx="95">
                  <c:v>4.9609669782722188E-2</c:v>
                </c:pt>
                <c:pt idx="96">
                  <c:v>4.9814511638651963E-2</c:v>
                </c:pt>
                <c:pt idx="97">
                  <c:v>5.0019353494581198E-2</c:v>
                </c:pt>
                <c:pt idx="98">
                  <c:v>5.0224195350510481E-2</c:v>
                </c:pt>
                <c:pt idx="99">
                  <c:v>5.0429037206439993E-2</c:v>
                </c:pt>
                <c:pt idx="100">
                  <c:v>5.0633879062369685E-2</c:v>
                </c:pt>
                <c:pt idx="101">
                  <c:v>5.0838720918299524E-2</c:v>
                </c:pt>
                <c:pt idx="102">
                  <c:v>5.1043562774228446E-2</c:v>
                </c:pt>
                <c:pt idx="103">
                  <c:v>5.1248404630158229E-2</c:v>
                </c:pt>
                <c:pt idx="104">
                  <c:v>5.1453246486087706E-2</c:v>
                </c:pt>
                <c:pt idx="105">
                  <c:v>5.1658088342017017E-2</c:v>
                </c:pt>
                <c:pt idx="106">
                  <c:v>5.1862930197946917E-2</c:v>
                </c:pt>
                <c:pt idx="107">
                  <c:v>5.2067772053876318E-2</c:v>
                </c:pt>
                <c:pt idx="108">
                  <c:v>5.2272613909805817E-2</c:v>
                </c:pt>
                <c:pt idx="109">
                  <c:v>5.2477455765735037E-2</c:v>
                </c:pt>
                <c:pt idx="110">
                  <c:v>5.2682297621664813E-2</c:v>
                </c:pt>
                <c:pt idx="111">
                  <c:v>5.2887139477594054E-2</c:v>
                </c:pt>
                <c:pt idx="112">
                  <c:v>5.3091981333524038E-2</c:v>
                </c:pt>
                <c:pt idx="113">
                  <c:v>5.3296823189452835E-2</c:v>
                </c:pt>
                <c:pt idx="114">
                  <c:v>5.3501665045382563E-2</c:v>
                </c:pt>
                <c:pt idx="115">
                  <c:v>5.3706506901312276E-2</c:v>
                </c:pt>
                <c:pt idx="116">
                  <c:v>5.3911348757241573E-2</c:v>
                </c:pt>
                <c:pt idx="117">
                  <c:v>5.4116190613171321E-2</c:v>
                </c:pt>
                <c:pt idx="118">
                  <c:v>5.4321032469100382E-2</c:v>
                </c:pt>
                <c:pt idx="119">
                  <c:v>5.4525874325030102E-2</c:v>
                </c:pt>
                <c:pt idx="120">
                  <c:v>5.4730716180959392E-2</c:v>
                </c:pt>
                <c:pt idx="121">
                  <c:v>5.4935558036889098E-2</c:v>
                </c:pt>
                <c:pt idx="122">
                  <c:v>5.5140399892818624E-2</c:v>
                </c:pt>
                <c:pt idx="123">
                  <c:v>5.5345241748748122E-2</c:v>
                </c:pt>
                <c:pt idx="124">
                  <c:v>5.5550083604677614E-2</c:v>
                </c:pt>
                <c:pt idx="125">
                  <c:v>5.5754925460607119E-2</c:v>
                </c:pt>
                <c:pt idx="126">
                  <c:v>5.5959767316536423E-2</c:v>
                </c:pt>
                <c:pt idx="127">
                  <c:v>5.6164609172466129E-2</c:v>
                </c:pt>
                <c:pt idx="128">
                  <c:v>5.6369451028395412E-2</c:v>
                </c:pt>
                <c:pt idx="129">
                  <c:v>5.6574292884324917E-2</c:v>
                </c:pt>
                <c:pt idx="130">
                  <c:v>5.67791347402542E-2</c:v>
                </c:pt>
                <c:pt idx="131">
                  <c:v>5.6983976596183927E-2</c:v>
                </c:pt>
                <c:pt idx="132">
                  <c:v>5.7188818452113703E-2</c:v>
                </c:pt>
                <c:pt idx="133">
                  <c:v>5.7393660308043347E-2</c:v>
                </c:pt>
                <c:pt idx="134">
                  <c:v>5.7598502163972672E-2</c:v>
                </c:pt>
                <c:pt idx="135">
                  <c:v>5.7803344019902024E-2</c:v>
                </c:pt>
                <c:pt idx="136">
                  <c:v>5.8008185875831474E-2</c:v>
                </c:pt>
                <c:pt idx="137">
                  <c:v>5.8213027731760784E-2</c:v>
                </c:pt>
                <c:pt idx="138">
                  <c:v>5.8417869587690463E-2</c:v>
                </c:pt>
                <c:pt idx="139">
                  <c:v>5.8622711443619822E-2</c:v>
                </c:pt>
                <c:pt idx="140">
                  <c:v>5.8827553299549293E-2</c:v>
                </c:pt>
                <c:pt idx="141">
                  <c:v>5.903239515547884E-2</c:v>
                </c:pt>
                <c:pt idx="142">
                  <c:v>5.9237237011408851E-2</c:v>
                </c:pt>
                <c:pt idx="143">
                  <c:v>5.9442078867337912E-2</c:v>
                </c:pt>
                <c:pt idx="144">
                  <c:v>5.9646920723267494E-2</c:v>
                </c:pt>
                <c:pt idx="145">
                  <c:v>5.9851762579196999E-2</c:v>
                </c:pt>
              </c:numCache>
            </c:numRef>
          </c:xVal>
          <c:yVal>
            <c:numRef>
              <c:f>'Figure A2 data'!$E$6:$E$151</c:f>
              <c:numCache>
                <c:formatCode>0%</c:formatCode>
                <c:ptCount val="146"/>
                <c:pt idx="0">
                  <c:v>0.50734988006056903</c:v>
                </c:pt>
                <c:pt idx="1">
                  <c:v>0.50489693659821877</c:v>
                </c:pt>
                <c:pt idx="2">
                  <c:v>0.50244373782049034</c:v>
                </c:pt>
                <c:pt idx="3">
                  <c:v>0.49999076830329026</c:v>
                </c:pt>
                <c:pt idx="4">
                  <c:v>0.49753654285004401</c:v>
                </c:pt>
                <c:pt idx="5">
                  <c:v>0.49507855129394657</c:v>
                </c:pt>
                <c:pt idx="6">
                  <c:v>0.49261703584261674</c:v>
                </c:pt>
                <c:pt idx="7">
                  <c:v>0.49015337402828368</c:v>
                </c:pt>
                <c:pt idx="8">
                  <c:v>0.48769011517213334</c:v>
                </c:pt>
                <c:pt idx="9">
                  <c:v>0.48522641158554342</c:v>
                </c:pt>
                <c:pt idx="10">
                  <c:v>0.48275654887445446</c:v>
                </c:pt>
                <c:pt idx="11">
                  <c:v>0.4802829388145744</c:v>
                </c:pt>
                <c:pt idx="12">
                  <c:v>0.47780728520737492</c:v>
                </c:pt>
                <c:pt idx="13">
                  <c:v>0.47532812417461057</c:v>
                </c:pt>
                <c:pt idx="14">
                  <c:v>0.47285091419805125</c:v>
                </c:pt>
                <c:pt idx="15">
                  <c:v>0.47038035653884286</c:v>
                </c:pt>
                <c:pt idx="16">
                  <c:v>0.46791313601687201</c:v>
                </c:pt>
                <c:pt idx="17">
                  <c:v>0.46544671186767789</c:v>
                </c:pt>
                <c:pt idx="18">
                  <c:v>0.46298095486933882</c:v>
                </c:pt>
                <c:pt idx="19">
                  <c:v>0.46051403324004486</c:v>
                </c:pt>
                <c:pt idx="20">
                  <c:v>0.4580482934269372</c:v>
                </c:pt>
                <c:pt idx="21">
                  <c:v>0.45558495594253551</c:v>
                </c:pt>
                <c:pt idx="22">
                  <c:v>0.45312672399500725</c:v>
                </c:pt>
                <c:pt idx="23">
                  <c:v>0.45067458660307991</c:v>
                </c:pt>
                <c:pt idx="24">
                  <c:v>0.44822340366240948</c:v>
                </c:pt>
                <c:pt idx="25">
                  <c:v>0.44577021508463188</c:v>
                </c:pt>
                <c:pt idx="26">
                  <c:v>0.44332138993291414</c:v>
                </c:pt>
                <c:pt idx="27">
                  <c:v>0.44087933880779917</c:v>
                </c:pt>
                <c:pt idx="28">
                  <c:v>0.4384426788027555</c:v>
                </c:pt>
                <c:pt idx="29">
                  <c:v>0.4360142020554294</c:v>
                </c:pt>
                <c:pt idx="30">
                  <c:v>0.43359465426255422</c:v>
                </c:pt>
                <c:pt idx="31">
                  <c:v>0.43118124126811058</c:v>
                </c:pt>
                <c:pt idx="32">
                  <c:v>0.42877377868757582</c:v>
                </c:pt>
                <c:pt idx="33">
                  <c:v>0.42637492632993557</c:v>
                </c:pt>
                <c:pt idx="34">
                  <c:v>0.42398185199027794</c:v>
                </c:pt>
                <c:pt idx="35">
                  <c:v>0.42159298450612126</c:v>
                </c:pt>
                <c:pt idx="36">
                  <c:v>0.41921247842514081</c:v>
                </c:pt>
                <c:pt idx="37">
                  <c:v>0.41684887553071687</c:v>
                </c:pt>
                <c:pt idx="38">
                  <c:v>0.41450327466035108</c:v>
                </c:pt>
                <c:pt idx="39">
                  <c:v>0.41216891918570076</c:v>
                </c:pt>
                <c:pt idx="40">
                  <c:v>0.40984897184459107</c:v>
                </c:pt>
                <c:pt idx="41">
                  <c:v>0.40754131965622226</c:v>
                </c:pt>
                <c:pt idx="42">
                  <c:v>0.40524651393237832</c:v>
                </c:pt>
                <c:pt idx="43">
                  <c:v>0.40296805082208048</c:v>
                </c:pt>
                <c:pt idx="44">
                  <c:v>0.40071216378161395</c:v>
                </c:pt>
                <c:pt idx="45">
                  <c:v>0.39847587637693443</c:v>
                </c:pt>
                <c:pt idx="46">
                  <c:v>0.39625711163103644</c:v>
                </c:pt>
                <c:pt idx="47">
                  <c:v>0.3940605370744239</c:v>
                </c:pt>
                <c:pt idx="48">
                  <c:v>0.39187605146139731</c:v>
                </c:pt>
                <c:pt idx="49">
                  <c:v>0.38971271739426416</c:v>
                </c:pt>
                <c:pt idx="50">
                  <c:v>0.38757354661597482</c:v>
                </c:pt>
                <c:pt idx="51">
                  <c:v>0.38544910297024737</c:v>
                </c:pt>
                <c:pt idx="52">
                  <c:v>0.38333733335242437</c:v>
                </c:pt>
                <c:pt idx="53">
                  <c:v>0.38124147746759118</c:v>
                </c:pt>
                <c:pt idx="54">
                  <c:v>0.37915860315550753</c:v>
                </c:pt>
                <c:pt idx="55">
                  <c:v>0.37709594352405118</c:v>
                </c:pt>
                <c:pt idx="56">
                  <c:v>0.37504730959844773</c:v>
                </c:pt>
                <c:pt idx="57">
                  <c:v>0.37300626420643912</c:v>
                </c:pt>
                <c:pt idx="58">
                  <c:v>0.37098204038676325</c:v>
                </c:pt>
                <c:pt idx="59">
                  <c:v>0.36897214889005286</c:v>
                </c:pt>
                <c:pt idx="60">
                  <c:v>0.36697732988315546</c:v>
                </c:pt>
                <c:pt idx="61">
                  <c:v>0.36500285187736686</c:v>
                </c:pt>
                <c:pt idx="62">
                  <c:v>0.36304676711378814</c:v>
                </c:pt>
                <c:pt idx="63">
                  <c:v>0.36109731132884493</c:v>
                </c:pt>
                <c:pt idx="64">
                  <c:v>0.35915262539641435</c:v>
                </c:pt>
                <c:pt idx="65">
                  <c:v>0.35722007312939036</c:v>
                </c:pt>
                <c:pt idx="66">
                  <c:v>0.35530145243915517</c:v>
                </c:pt>
                <c:pt idx="67">
                  <c:v>0.35340014476306147</c:v>
                </c:pt>
                <c:pt idx="68">
                  <c:v>0.35150845142698695</c:v>
                </c:pt>
                <c:pt idx="69">
                  <c:v>0.34961860279739332</c:v>
                </c:pt>
                <c:pt idx="70">
                  <c:v>0.34773452377848202</c:v>
                </c:pt>
                <c:pt idx="71">
                  <c:v>0.34585488525059227</c:v>
                </c:pt>
                <c:pt idx="72">
                  <c:v>0.34397838131764702</c:v>
                </c:pt>
                <c:pt idx="73">
                  <c:v>0.34210325375484657</c:v>
                </c:pt>
                <c:pt idx="74">
                  <c:v>0.34022907209918984</c:v>
                </c:pt>
                <c:pt idx="75">
                  <c:v>0.33835391645885737</c:v>
                </c:pt>
                <c:pt idx="76">
                  <c:v>0.33647967653463606</c:v>
                </c:pt>
                <c:pt idx="77">
                  <c:v>0.33460513968240324</c:v>
                </c:pt>
                <c:pt idx="78">
                  <c:v>0.33273352938958189</c:v>
                </c:pt>
                <c:pt idx="79">
                  <c:v>0.33086707303675267</c:v>
                </c:pt>
                <c:pt idx="80">
                  <c:v>0.32900056137677358</c:v>
                </c:pt>
                <c:pt idx="81">
                  <c:v>0.32713636568343135</c:v>
                </c:pt>
                <c:pt idx="82">
                  <c:v>0.32527355010550807</c:v>
                </c:pt>
                <c:pt idx="83">
                  <c:v>0.32341096008166198</c:v>
                </c:pt>
                <c:pt idx="84">
                  <c:v>0.32155154884581638</c:v>
                </c:pt>
                <c:pt idx="85">
                  <c:v>0.31969118374427047</c:v>
                </c:pt>
                <c:pt idx="86">
                  <c:v>0.31783804086446543</c:v>
                </c:pt>
                <c:pt idx="87">
                  <c:v>0.31598759174752061</c:v>
                </c:pt>
                <c:pt idx="88">
                  <c:v>0.31413794704869541</c:v>
                </c:pt>
                <c:pt idx="89">
                  <c:v>0.31228348743220347</c:v>
                </c:pt>
                <c:pt idx="90">
                  <c:v>0.31043011594076103</c:v>
                </c:pt>
                <c:pt idx="91">
                  <c:v>0.30858039590418873</c:v>
                </c:pt>
                <c:pt idx="92">
                  <c:v>0.30673989019787357</c:v>
                </c:pt>
                <c:pt idx="93">
                  <c:v>0.30490471916434558</c:v>
                </c:pt>
                <c:pt idx="94">
                  <c:v>0.30306832448394166</c:v>
                </c:pt>
                <c:pt idx="95">
                  <c:v>0.30123713461935425</c:v>
                </c:pt>
                <c:pt idx="96">
                  <c:v>0.29941251486006015</c:v>
                </c:pt>
                <c:pt idx="97">
                  <c:v>0.29758672481030307</c:v>
                </c:pt>
                <c:pt idx="98">
                  <c:v>0.29575408108759832</c:v>
                </c:pt>
                <c:pt idx="99">
                  <c:v>0.29391316024822361</c:v>
                </c:pt>
                <c:pt idx="100">
                  <c:v>0.29206976675916041</c:v>
                </c:pt>
                <c:pt idx="101">
                  <c:v>0.29022170582963724</c:v>
                </c:pt>
                <c:pt idx="102">
                  <c:v>0.28837059411943111</c:v>
                </c:pt>
                <c:pt idx="103">
                  <c:v>0.28651421615730482</c:v>
                </c:pt>
                <c:pt idx="104">
                  <c:v>0.28466152060573074</c:v>
                </c:pt>
                <c:pt idx="105">
                  <c:v>0.28281050555806603</c:v>
                </c:pt>
                <c:pt idx="106">
                  <c:v>0.28096671492438852</c:v>
                </c:pt>
                <c:pt idx="107">
                  <c:v>0.27912327604398685</c:v>
                </c:pt>
                <c:pt idx="108">
                  <c:v>0.27728248671250688</c:v>
                </c:pt>
                <c:pt idx="109">
                  <c:v>0.27544794838120351</c:v>
                </c:pt>
                <c:pt idx="110">
                  <c:v>0.27361771300083432</c:v>
                </c:pt>
                <c:pt idx="111">
                  <c:v>0.27178646320265326</c:v>
                </c:pt>
                <c:pt idx="112">
                  <c:v>0.26996237618366076</c:v>
                </c:pt>
                <c:pt idx="113">
                  <c:v>0.26814676471744325</c:v>
                </c:pt>
                <c:pt idx="114">
                  <c:v>0.26633597196402964</c:v>
                </c:pt>
                <c:pt idx="115">
                  <c:v>0.26453485560349199</c:v>
                </c:pt>
                <c:pt idx="116">
                  <c:v>0.26273839208858113</c:v>
                </c:pt>
                <c:pt idx="117">
                  <c:v>0.26094821779557731</c:v>
                </c:pt>
                <c:pt idx="118">
                  <c:v>0.25916733701505285</c:v>
                </c:pt>
                <c:pt idx="119">
                  <c:v>0.25739547148386088</c:v>
                </c:pt>
                <c:pt idx="120">
                  <c:v>0.25563577391071357</c:v>
                </c:pt>
                <c:pt idx="121">
                  <c:v>0.25387705509186781</c:v>
                </c:pt>
                <c:pt idx="122">
                  <c:v>0.25212108742320199</c:v>
                </c:pt>
                <c:pt idx="123">
                  <c:v>0.25037350509827938</c:v>
                </c:pt>
                <c:pt idx="124">
                  <c:v>0.24863754682752298</c:v>
                </c:pt>
                <c:pt idx="125">
                  <c:v>0.2469190964279048</c:v>
                </c:pt>
                <c:pt idx="126">
                  <c:v>0.24521603442014836</c:v>
                </c:pt>
                <c:pt idx="127">
                  <c:v>0.24353079489551824</c:v>
                </c:pt>
                <c:pt idx="128">
                  <c:v>0.24186171787697541</c:v>
                </c:pt>
                <c:pt idx="129">
                  <c:v>0.24019942059759219</c:v>
                </c:pt>
                <c:pt idx="130">
                  <c:v>0.23854530442145402</c:v>
                </c:pt>
                <c:pt idx="131">
                  <c:v>0.23690083372481321</c:v>
                </c:pt>
                <c:pt idx="132">
                  <c:v>0.23526820126242531</c:v>
                </c:pt>
                <c:pt idx="133">
                  <c:v>0.23364216836055465</c:v>
                </c:pt>
                <c:pt idx="134">
                  <c:v>0.23203503820541341</c:v>
                </c:pt>
                <c:pt idx="135">
                  <c:v>0.23044924421651541</c:v>
                </c:pt>
                <c:pt idx="136">
                  <c:v>0.22888098773284793</c:v>
                </c:pt>
                <c:pt idx="137">
                  <c:v>0.22732733005222514</c:v>
                </c:pt>
                <c:pt idx="138">
                  <c:v>0.22578792246043086</c:v>
                </c:pt>
                <c:pt idx="139">
                  <c:v>0.22425722164960118</c:v>
                </c:pt>
                <c:pt idx="140">
                  <c:v>0.22273862062854216</c:v>
                </c:pt>
                <c:pt idx="141">
                  <c:v>0.22123899312160089</c:v>
                </c:pt>
                <c:pt idx="142">
                  <c:v>0.21974968129135913</c:v>
                </c:pt>
                <c:pt idx="143">
                  <c:v>0.21827651613141041</c:v>
                </c:pt>
                <c:pt idx="144">
                  <c:v>0.21681569339822723</c:v>
                </c:pt>
                <c:pt idx="145">
                  <c:v>0.21536216396871247</c:v>
                </c:pt>
              </c:numCache>
            </c:numRef>
          </c:yVal>
          <c:smooth val="1"/>
        </c:ser>
        <c:axId val="68577536"/>
        <c:axId val="68600192"/>
      </c:scatterChart>
      <c:valAx>
        <c:axId val="68577536"/>
        <c:scaling>
          <c:orientation val="minMax"/>
          <c:max val="6.0000000000000032E-2"/>
          <c:min val="3.0000000000000002E-2"/>
        </c:scaling>
        <c:axPos val="b"/>
        <c:title>
          <c:tx>
            <c:rich>
              <a:bodyPr/>
              <a:lstStyle/>
              <a:p>
                <a:pPr>
                  <a:defRPr sz="1100" b="0" i="0" baseline="0">
                    <a:latin typeface="Verdana" pitchFamily="34" charset="0"/>
                  </a:defRPr>
                </a:pPr>
                <a:r>
                  <a:rPr lang="en-GB" sz="1100" b="0" i="0" baseline="0">
                    <a:latin typeface="Verdana" pitchFamily="34" charset="0"/>
                  </a:rPr>
                  <a:t>Growth of average annual income (per annum)</a:t>
                </a:r>
              </a:p>
            </c:rich>
          </c:tx>
        </c:title>
        <c:numFmt formatCode="0.0%" sourceLinked="1"/>
        <c:tickLblPos val="nextTo"/>
        <c:txPr>
          <a:bodyPr/>
          <a:lstStyle/>
          <a:p>
            <a:pPr>
              <a:defRPr sz="1100" baseline="0">
                <a:latin typeface="Verdana" pitchFamily="34" charset="0"/>
              </a:defRPr>
            </a:pPr>
            <a:endParaRPr lang="en-US"/>
          </a:p>
        </c:txPr>
        <c:crossAx val="68600192"/>
        <c:crosses val="autoZero"/>
        <c:crossBetween val="midCat"/>
        <c:majorUnit val="1.0000000000000005E-2"/>
      </c:valAx>
      <c:valAx>
        <c:axId val="68600192"/>
        <c:scaling>
          <c:orientation val="minMax"/>
          <c:max val="0.60000000000000064"/>
          <c:min val="0.2"/>
        </c:scaling>
        <c:axPos val="l"/>
        <c:majorGridlines/>
        <c:title>
          <c:tx>
            <c:rich>
              <a:bodyPr rot="-5400000" vert="horz"/>
              <a:lstStyle/>
              <a:p>
                <a:pPr>
                  <a:defRPr sz="1100" b="0" i="0" baseline="0">
                    <a:latin typeface="Verdana" pitchFamily="34" charset="0"/>
                  </a:defRPr>
                </a:pPr>
                <a:r>
                  <a:rPr lang="en-US" sz="1100" b="0" i="0" baseline="0">
                    <a:latin typeface="Verdana" pitchFamily="34" charset="0"/>
                  </a:rPr>
                  <a:t>RAB</a:t>
                </a:r>
              </a:p>
            </c:rich>
          </c:tx>
        </c:title>
        <c:numFmt formatCode="0%" sourceLinked="1"/>
        <c:tickLblPos val="nextTo"/>
        <c:txPr>
          <a:bodyPr/>
          <a:lstStyle/>
          <a:p>
            <a:pPr>
              <a:defRPr sz="1100" baseline="0">
                <a:latin typeface="Verdana" pitchFamily="34" charset="0"/>
              </a:defRPr>
            </a:pPr>
            <a:endParaRPr lang="en-US"/>
          </a:p>
        </c:txPr>
        <c:crossAx val="68577536"/>
        <c:crosses val="autoZero"/>
        <c:crossBetween val="midCat"/>
        <c:majorUnit val="0.1"/>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25CC-907C-4D15-ACFF-44CC0B69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4645</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4</cp:revision>
  <cp:lastPrinted>2010-11-17T17:45:00Z</cp:lastPrinted>
  <dcterms:created xsi:type="dcterms:W3CDTF">2010-11-22T13:34:00Z</dcterms:created>
  <dcterms:modified xsi:type="dcterms:W3CDTF">2010-11-22T14:52:00Z</dcterms:modified>
</cp:coreProperties>
</file>