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F43" w:rsidRDefault="008109F4" w:rsidP="00623C36">
      <w:pPr>
        <w:spacing w:after="240" w:line="360" w:lineRule="auto"/>
        <w:contextualSpacing/>
        <w:jc w:val="center"/>
        <w:rPr>
          <w:rFonts w:ascii="Verdana" w:hAnsi="Verdana"/>
          <w:b/>
          <w:sz w:val="24"/>
          <w:szCs w:val="24"/>
          <w:lang w:eastAsia="en-US"/>
        </w:rPr>
      </w:pPr>
      <w:r w:rsidRPr="00DA4BDF">
        <w:rPr>
          <w:rFonts w:ascii="Verdana" w:hAnsi="Verdana"/>
          <w:b/>
          <w:sz w:val="24"/>
          <w:szCs w:val="24"/>
          <w:lang w:eastAsia="en-US"/>
        </w:rPr>
        <w:t xml:space="preserve">Male and female participation and progression in </w:t>
      </w:r>
    </w:p>
    <w:p w:rsidR="001C5F43" w:rsidRDefault="001C5F43" w:rsidP="00623C36">
      <w:pPr>
        <w:spacing w:after="240" w:line="360" w:lineRule="auto"/>
        <w:contextualSpacing/>
        <w:jc w:val="center"/>
        <w:rPr>
          <w:rFonts w:ascii="Verdana" w:hAnsi="Verdana"/>
          <w:b/>
          <w:sz w:val="24"/>
          <w:szCs w:val="24"/>
          <w:lang w:eastAsia="en-US"/>
        </w:rPr>
      </w:pPr>
      <w:r>
        <w:rPr>
          <w:rFonts w:ascii="Verdana" w:hAnsi="Verdana"/>
          <w:b/>
          <w:sz w:val="24"/>
          <w:szCs w:val="24"/>
          <w:lang w:eastAsia="en-US"/>
        </w:rPr>
        <w:t>higher e</w:t>
      </w:r>
      <w:r w:rsidR="008109F4" w:rsidRPr="00DA4BDF">
        <w:rPr>
          <w:rFonts w:ascii="Verdana" w:hAnsi="Verdana"/>
          <w:b/>
          <w:sz w:val="24"/>
          <w:szCs w:val="24"/>
          <w:lang w:eastAsia="en-US"/>
        </w:rPr>
        <w:t>ducation</w:t>
      </w:r>
      <w:r>
        <w:rPr>
          <w:rFonts w:ascii="Verdana" w:hAnsi="Verdana"/>
          <w:b/>
          <w:sz w:val="24"/>
          <w:szCs w:val="24"/>
          <w:lang w:eastAsia="en-US"/>
        </w:rPr>
        <w:t>: further analysis</w:t>
      </w:r>
      <w:r w:rsidR="00901132">
        <w:rPr>
          <w:rStyle w:val="FootnoteReference"/>
          <w:rFonts w:ascii="Verdana" w:hAnsi="Verdana"/>
          <w:b/>
          <w:sz w:val="24"/>
          <w:szCs w:val="24"/>
          <w:lang w:eastAsia="en-US"/>
        </w:rPr>
        <w:footnoteReference w:id="1"/>
      </w:r>
    </w:p>
    <w:p w:rsidR="008109F4" w:rsidRPr="00DA4BDF" w:rsidRDefault="001C5F43" w:rsidP="00623C36">
      <w:pPr>
        <w:spacing w:after="240" w:line="360" w:lineRule="auto"/>
        <w:contextualSpacing/>
        <w:jc w:val="center"/>
        <w:rPr>
          <w:rFonts w:ascii="Verdana" w:hAnsi="Verdana"/>
          <w:b/>
          <w:sz w:val="24"/>
          <w:szCs w:val="24"/>
          <w:lang w:eastAsia="en-US"/>
        </w:rPr>
      </w:pPr>
      <w:r>
        <w:rPr>
          <w:rFonts w:ascii="Verdana" w:hAnsi="Verdana"/>
          <w:b/>
          <w:sz w:val="24"/>
          <w:szCs w:val="24"/>
          <w:lang w:eastAsia="en-US"/>
        </w:rPr>
        <w:t>Part 1:</w:t>
      </w:r>
      <w:r w:rsidR="008109F4" w:rsidRPr="00DA4BDF">
        <w:rPr>
          <w:rFonts w:ascii="Verdana" w:hAnsi="Verdana"/>
          <w:b/>
          <w:sz w:val="24"/>
          <w:szCs w:val="24"/>
          <w:lang w:eastAsia="en-US"/>
        </w:rPr>
        <w:t xml:space="preserve"> </w:t>
      </w:r>
      <w:r w:rsidR="00901132">
        <w:rPr>
          <w:rFonts w:ascii="Verdana" w:hAnsi="Verdana"/>
          <w:b/>
          <w:sz w:val="24"/>
          <w:szCs w:val="24"/>
          <w:lang w:eastAsia="en-US"/>
        </w:rPr>
        <w:t>E</w:t>
      </w:r>
      <w:r w:rsidR="008109F4" w:rsidRPr="00DA4BDF">
        <w:rPr>
          <w:rFonts w:ascii="Verdana" w:hAnsi="Verdana"/>
          <w:b/>
          <w:sz w:val="24"/>
          <w:szCs w:val="24"/>
          <w:lang w:eastAsia="en-US"/>
        </w:rPr>
        <w:t xml:space="preserve">mployment outcomes </w:t>
      </w:r>
    </w:p>
    <w:p w:rsidR="00204CB1" w:rsidRPr="00DA4BDF" w:rsidRDefault="00204CB1" w:rsidP="00623C36">
      <w:pPr>
        <w:spacing w:after="240" w:line="360" w:lineRule="auto"/>
        <w:contextualSpacing/>
        <w:jc w:val="center"/>
        <w:rPr>
          <w:rFonts w:ascii="Verdana" w:hAnsi="Verdana"/>
          <w:b/>
          <w:sz w:val="24"/>
          <w:szCs w:val="24"/>
          <w:lang w:eastAsia="en-US"/>
        </w:rPr>
      </w:pPr>
      <w:r w:rsidRPr="00DA4BDF">
        <w:rPr>
          <w:rFonts w:ascii="Verdana" w:hAnsi="Verdana"/>
          <w:b/>
          <w:sz w:val="24"/>
          <w:szCs w:val="24"/>
          <w:lang w:eastAsia="en-US"/>
        </w:rPr>
        <w:t>John Thompson</w:t>
      </w:r>
    </w:p>
    <w:p w:rsidR="00861DE2" w:rsidRPr="000F7EAB" w:rsidRDefault="00861DE2" w:rsidP="000F7EAB">
      <w:pPr>
        <w:pStyle w:val="Heading2"/>
        <w:spacing w:before="120" w:after="240" w:line="240" w:lineRule="auto"/>
        <w:rPr>
          <w:bCs w:val="0"/>
          <w:iCs w:val="0"/>
          <w:sz w:val="24"/>
          <w:szCs w:val="28"/>
          <w:lang w:val="en-US" w:eastAsia="en-US"/>
        </w:rPr>
      </w:pPr>
      <w:r w:rsidRPr="000F7EAB">
        <w:rPr>
          <w:bCs w:val="0"/>
          <w:iCs w:val="0"/>
          <w:sz w:val="24"/>
          <w:szCs w:val="28"/>
          <w:lang w:val="en-US" w:eastAsia="en-US"/>
        </w:rPr>
        <w:t>Introduction</w:t>
      </w:r>
    </w:p>
    <w:p w:rsidR="004200C9" w:rsidRPr="00DA4BDF" w:rsidRDefault="00204CB1"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t>T</w:t>
      </w:r>
      <w:r w:rsidR="009310F0" w:rsidRPr="00DA4BDF">
        <w:rPr>
          <w:rFonts w:ascii="Verdana" w:hAnsi="Verdana"/>
          <w:lang w:val="en-GB" w:eastAsia="en-GB"/>
        </w:rPr>
        <w:t xml:space="preserve">he </w:t>
      </w:r>
      <w:r w:rsidR="008B50C7" w:rsidRPr="00DA4BDF">
        <w:rPr>
          <w:rFonts w:ascii="Verdana" w:hAnsi="Verdana"/>
          <w:lang w:val="en-GB" w:eastAsia="en-GB"/>
        </w:rPr>
        <w:t xml:space="preserve">HEPI report “Male and female participation and </w:t>
      </w:r>
      <w:r w:rsidR="001C5F43" w:rsidRPr="001C5F43">
        <w:rPr>
          <w:rFonts w:ascii="Verdana" w:hAnsi="Verdana"/>
          <w:lang w:val="en-GB" w:eastAsia="en-GB"/>
        </w:rPr>
        <w:t xml:space="preserve">progression in </w:t>
      </w:r>
      <w:r w:rsidR="000F7EAB">
        <w:rPr>
          <w:rFonts w:ascii="Verdana" w:hAnsi="Verdana"/>
          <w:lang w:val="en-GB" w:eastAsia="en-GB"/>
        </w:rPr>
        <w:t>h</w:t>
      </w:r>
      <w:r w:rsidR="001C5F43" w:rsidRPr="001C5F43">
        <w:rPr>
          <w:rFonts w:ascii="Verdana" w:hAnsi="Verdana"/>
          <w:lang w:val="en-GB" w:eastAsia="en-GB"/>
        </w:rPr>
        <w:t xml:space="preserve">igher </w:t>
      </w:r>
      <w:r w:rsidR="000F7EAB">
        <w:rPr>
          <w:rFonts w:ascii="Verdana" w:hAnsi="Verdana"/>
          <w:lang w:val="en-GB" w:eastAsia="en-GB"/>
        </w:rPr>
        <w:t>e</w:t>
      </w:r>
      <w:r w:rsidR="001C5F43" w:rsidRPr="001C5F43">
        <w:rPr>
          <w:rFonts w:ascii="Verdana" w:hAnsi="Verdana"/>
          <w:lang w:val="en-GB" w:eastAsia="en-GB"/>
        </w:rPr>
        <w:t>ducation”</w:t>
      </w:r>
      <w:r w:rsidRPr="00DA4BDF">
        <w:rPr>
          <w:rFonts w:ascii="Verdana" w:hAnsi="Verdana"/>
          <w:lang w:val="en-GB" w:eastAsia="en-GB"/>
        </w:rPr>
        <w:t xml:space="preserve"> provided some analysis of the employment outcomes of graduates</w:t>
      </w:r>
      <w:r w:rsidR="009310F0" w:rsidRPr="00DA4BDF">
        <w:rPr>
          <w:rFonts w:ascii="Verdana" w:hAnsi="Verdana"/>
          <w:lang w:val="en-GB" w:eastAsia="en-GB"/>
        </w:rPr>
        <w:t xml:space="preserve">. This </w:t>
      </w:r>
      <w:r w:rsidRPr="00DA4BDF">
        <w:rPr>
          <w:rFonts w:ascii="Verdana" w:hAnsi="Verdana"/>
          <w:lang w:val="en-GB" w:eastAsia="en-GB"/>
        </w:rPr>
        <w:t xml:space="preserve">report </w:t>
      </w:r>
      <w:r w:rsidR="009310F0" w:rsidRPr="00DA4BDF">
        <w:rPr>
          <w:rFonts w:ascii="Verdana" w:hAnsi="Verdana"/>
          <w:lang w:val="en-GB" w:eastAsia="en-GB"/>
        </w:rPr>
        <w:t>provides further information derived from the most recent data collections by the Higher Education Statistics Agency (HESA). Information is provided for those who graduated in 2007-08 about six months after graduation, and for those who graduated in 2004-05 about three and a half years after graduation</w:t>
      </w:r>
      <w:r w:rsidR="004200C9" w:rsidRPr="00DA4BDF">
        <w:rPr>
          <w:rFonts w:ascii="Verdana" w:hAnsi="Verdana"/>
          <w:lang w:val="en-GB" w:eastAsia="en-GB"/>
        </w:rPr>
        <w:t>.</w:t>
      </w:r>
    </w:p>
    <w:p w:rsidR="00400143" w:rsidRPr="001C5F43" w:rsidRDefault="00433E29"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1C5F43">
        <w:rPr>
          <w:rFonts w:ascii="Verdana" w:hAnsi="Verdana"/>
          <w:lang w:val="en-GB" w:eastAsia="en-GB"/>
        </w:rPr>
        <w:t xml:space="preserve">This report </w:t>
      </w:r>
      <w:r w:rsidR="00E75164" w:rsidRPr="001C5F43">
        <w:rPr>
          <w:rFonts w:ascii="Verdana" w:hAnsi="Verdana"/>
          <w:lang w:val="en-GB" w:eastAsia="en-GB"/>
        </w:rPr>
        <w:t xml:space="preserve">concerns </w:t>
      </w:r>
      <w:r w:rsidR="000F64B4" w:rsidRPr="001C5F43">
        <w:rPr>
          <w:rFonts w:ascii="Verdana" w:hAnsi="Verdana"/>
          <w:lang w:val="en-GB" w:eastAsia="en-GB"/>
        </w:rPr>
        <w:t>gender</w:t>
      </w:r>
      <w:r w:rsidRPr="001C5F43">
        <w:rPr>
          <w:rFonts w:ascii="Verdana" w:hAnsi="Verdana"/>
          <w:lang w:val="en-GB" w:eastAsia="en-GB"/>
        </w:rPr>
        <w:t xml:space="preserve"> </w:t>
      </w:r>
      <w:r w:rsidR="000F64B4" w:rsidRPr="001C5F43">
        <w:rPr>
          <w:rFonts w:ascii="Verdana" w:hAnsi="Verdana"/>
          <w:lang w:val="en-GB" w:eastAsia="en-GB"/>
        </w:rPr>
        <w:t>differences</w:t>
      </w:r>
      <w:r w:rsidRPr="001C5F43">
        <w:rPr>
          <w:rFonts w:ascii="Verdana" w:hAnsi="Verdana"/>
          <w:lang w:val="en-GB" w:eastAsia="en-GB"/>
        </w:rPr>
        <w:t xml:space="preserve"> </w:t>
      </w:r>
      <w:r w:rsidR="000F64B4" w:rsidRPr="001C5F43">
        <w:rPr>
          <w:rFonts w:ascii="Verdana" w:hAnsi="Verdana"/>
          <w:lang w:val="en-GB" w:eastAsia="en-GB"/>
        </w:rPr>
        <w:t>in graduate employment</w:t>
      </w:r>
      <w:r w:rsidR="00E75164" w:rsidRPr="001C5F43">
        <w:rPr>
          <w:rFonts w:ascii="Verdana" w:hAnsi="Verdana"/>
          <w:lang w:val="en-GB" w:eastAsia="en-GB"/>
        </w:rPr>
        <w:t>,</w:t>
      </w:r>
      <w:r w:rsidRPr="001C5F43">
        <w:rPr>
          <w:rFonts w:ascii="Verdana" w:hAnsi="Verdana"/>
          <w:lang w:val="en-GB" w:eastAsia="en-GB"/>
        </w:rPr>
        <w:t xml:space="preserve"> </w:t>
      </w:r>
      <w:r w:rsidR="000F64B4" w:rsidRPr="001C5F43">
        <w:rPr>
          <w:rFonts w:ascii="Verdana" w:hAnsi="Verdana"/>
          <w:lang w:val="en-GB" w:eastAsia="en-GB"/>
        </w:rPr>
        <w:t>based</w:t>
      </w:r>
      <w:r w:rsidRPr="001C5F43">
        <w:rPr>
          <w:rFonts w:ascii="Verdana" w:hAnsi="Verdana"/>
          <w:lang w:val="en-GB" w:eastAsia="en-GB"/>
        </w:rPr>
        <w:t xml:space="preserve"> on the most comprehensive </w:t>
      </w:r>
      <w:r w:rsidR="00E75164" w:rsidRPr="001C5F43">
        <w:rPr>
          <w:rFonts w:ascii="Verdana" w:hAnsi="Verdana"/>
          <w:lang w:val="en-GB" w:eastAsia="en-GB"/>
        </w:rPr>
        <w:t>data</w:t>
      </w:r>
      <w:r w:rsidRPr="001C5F43">
        <w:rPr>
          <w:rFonts w:ascii="Verdana" w:hAnsi="Verdana"/>
          <w:lang w:val="en-GB" w:eastAsia="en-GB"/>
        </w:rPr>
        <w:t xml:space="preserve"> available.  However</w:t>
      </w:r>
      <w:r w:rsidR="001C5F43" w:rsidRPr="001C5F43">
        <w:rPr>
          <w:rFonts w:ascii="Verdana" w:hAnsi="Verdana"/>
          <w:lang w:val="en-GB" w:eastAsia="en-GB"/>
        </w:rPr>
        <w:t>,</w:t>
      </w:r>
      <w:r w:rsidRPr="001C5F43">
        <w:rPr>
          <w:rFonts w:ascii="Verdana" w:hAnsi="Verdana"/>
          <w:lang w:val="en-GB" w:eastAsia="en-GB"/>
        </w:rPr>
        <w:t xml:space="preserve"> these predate the recent sharp rise in </w:t>
      </w:r>
      <w:r w:rsidR="000F64B4" w:rsidRPr="001C5F43">
        <w:rPr>
          <w:rFonts w:ascii="Verdana" w:hAnsi="Verdana"/>
          <w:lang w:val="en-GB" w:eastAsia="en-GB"/>
        </w:rPr>
        <w:t>graduate</w:t>
      </w:r>
      <w:r w:rsidRPr="001C5F43">
        <w:rPr>
          <w:rFonts w:ascii="Verdana" w:hAnsi="Verdana"/>
          <w:lang w:val="en-GB" w:eastAsia="en-GB"/>
        </w:rPr>
        <w:t xml:space="preserve"> </w:t>
      </w:r>
      <w:r w:rsidR="000F64B4" w:rsidRPr="001C5F43">
        <w:rPr>
          <w:rFonts w:ascii="Verdana" w:hAnsi="Verdana"/>
          <w:lang w:val="en-GB" w:eastAsia="en-GB"/>
        </w:rPr>
        <w:t>unemployment</w:t>
      </w:r>
      <w:r w:rsidRPr="001C5F43">
        <w:rPr>
          <w:rFonts w:ascii="Verdana" w:hAnsi="Verdana"/>
          <w:lang w:val="en-GB" w:eastAsia="en-GB"/>
        </w:rPr>
        <w:t xml:space="preserve"> </w:t>
      </w:r>
      <w:r w:rsidR="00E75164" w:rsidRPr="001C5F43">
        <w:rPr>
          <w:rFonts w:ascii="Verdana" w:hAnsi="Verdana"/>
          <w:lang w:val="en-GB" w:eastAsia="en-GB"/>
        </w:rPr>
        <w:t xml:space="preserve">following </w:t>
      </w:r>
      <w:r w:rsidR="000F64B4" w:rsidRPr="001C5F43">
        <w:rPr>
          <w:rFonts w:ascii="Verdana" w:hAnsi="Verdana"/>
          <w:lang w:val="en-GB" w:eastAsia="en-GB"/>
        </w:rPr>
        <w:t>the economic downt</w:t>
      </w:r>
      <w:r w:rsidRPr="001C5F43">
        <w:rPr>
          <w:rFonts w:ascii="Verdana" w:hAnsi="Verdana"/>
          <w:lang w:val="en-GB" w:eastAsia="en-GB"/>
        </w:rPr>
        <w:t xml:space="preserve">urn.  </w:t>
      </w:r>
      <w:r w:rsidR="00E75164" w:rsidRPr="001C5F43">
        <w:rPr>
          <w:rFonts w:ascii="Verdana" w:hAnsi="Verdana"/>
          <w:lang w:val="en-GB" w:eastAsia="en-GB"/>
        </w:rPr>
        <w:t>T</w:t>
      </w:r>
      <w:r w:rsidRPr="001C5F43">
        <w:rPr>
          <w:rFonts w:ascii="Verdana" w:hAnsi="Verdana"/>
          <w:lang w:val="en-GB" w:eastAsia="en-GB"/>
        </w:rPr>
        <w:t>o provide some recent context</w:t>
      </w:r>
      <w:r w:rsidR="00F465BD" w:rsidRPr="001C5F43">
        <w:rPr>
          <w:rFonts w:ascii="Verdana" w:hAnsi="Verdana"/>
          <w:lang w:val="en-GB" w:eastAsia="en-GB"/>
        </w:rPr>
        <w:t xml:space="preserve"> for th</w:t>
      </w:r>
      <w:r w:rsidR="000F64B4" w:rsidRPr="001C5F43">
        <w:rPr>
          <w:rFonts w:ascii="Verdana" w:hAnsi="Verdana"/>
          <w:lang w:val="en-GB" w:eastAsia="en-GB"/>
        </w:rPr>
        <w:t>e</w:t>
      </w:r>
      <w:r w:rsidR="00F465BD" w:rsidRPr="001C5F43">
        <w:rPr>
          <w:rFonts w:ascii="Verdana" w:hAnsi="Verdana"/>
          <w:lang w:val="en-GB" w:eastAsia="en-GB"/>
        </w:rPr>
        <w:t xml:space="preserve"> analysis in this report, information from the </w:t>
      </w:r>
      <w:r w:rsidR="001C5F43" w:rsidRPr="001C5F43">
        <w:rPr>
          <w:rFonts w:ascii="Verdana" w:hAnsi="Verdana"/>
          <w:lang w:val="en-GB" w:eastAsia="en-GB"/>
        </w:rPr>
        <w:t>L</w:t>
      </w:r>
      <w:r w:rsidR="00F465BD" w:rsidRPr="001C5F43">
        <w:rPr>
          <w:rFonts w:ascii="Verdana" w:hAnsi="Verdana"/>
          <w:lang w:val="en-GB" w:eastAsia="en-GB"/>
        </w:rPr>
        <w:t xml:space="preserve">abour Force Survey was obtained from the Office for National Statistics.  This shows that </w:t>
      </w:r>
      <w:r w:rsidR="001C5F43" w:rsidRPr="001C5F43">
        <w:rPr>
          <w:rFonts w:ascii="Verdana" w:hAnsi="Verdana"/>
          <w:lang w:val="en-GB" w:eastAsia="en-GB"/>
        </w:rPr>
        <w:t>b</w:t>
      </w:r>
      <w:r w:rsidR="00400143" w:rsidRPr="001C5F43">
        <w:rPr>
          <w:rFonts w:ascii="Verdana" w:hAnsi="Verdana"/>
          <w:lang w:val="en-GB" w:eastAsia="en-GB"/>
        </w:rPr>
        <w:t xml:space="preserve">etween the final quarters of 2008 and 2009 the percentage of young graduates in the labour market who are unemployed has </w:t>
      </w:r>
      <w:r w:rsidR="001C5F43" w:rsidRPr="001C5F43">
        <w:rPr>
          <w:rFonts w:ascii="Verdana" w:hAnsi="Verdana"/>
          <w:lang w:val="en-GB" w:eastAsia="en-GB"/>
        </w:rPr>
        <w:t>increased</w:t>
      </w:r>
      <w:r w:rsidR="00400143" w:rsidRPr="001C5F43">
        <w:rPr>
          <w:rFonts w:ascii="Verdana" w:hAnsi="Verdana"/>
          <w:lang w:val="en-GB" w:eastAsia="en-GB"/>
        </w:rPr>
        <w:t xml:space="preserve"> from 11.1 to 14.0</w:t>
      </w:r>
      <w:r w:rsidR="001C5F43" w:rsidRPr="001C5F43">
        <w:rPr>
          <w:rFonts w:ascii="Verdana" w:hAnsi="Verdana"/>
          <w:lang w:val="en-GB" w:eastAsia="en-GB"/>
        </w:rPr>
        <w:t xml:space="preserve"> –</w:t>
      </w:r>
      <w:r w:rsidR="00400143" w:rsidRPr="001C5F43">
        <w:rPr>
          <w:rFonts w:ascii="Verdana" w:hAnsi="Verdana"/>
          <w:lang w:val="en-GB" w:eastAsia="en-GB"/>
        </w:rPr>
        <w:t xml:space="preserve"> a</w:t>
      </w:r>
      <w:r w:rsidR="001C5F43" w:rsidRPr="001C5F43">
        <w:rPr>
          <w:rFonts w:ascii="Verdana" w:hAnsi="Verdana"/>
          <w:lang w:val="en-GB" w:eastAsia="en-GB"/>
        </w:rPr>
        <w:t xml:space="preserve"> rise of</w:t>
      </w:r>
      <w:r w:rsidR="00400143" w:rsidRPr="001C5F43">
        <w:rPr>
          <w:rFonts w:ascii="Verdana" w:hAnsi="Verdana"/>
          <w:lang w:val="en-GB" w:eastAsia="en-GB"/>
        </w:rPr>
        <w:t xml:space="preserve"> more than 25 per cent</w:t>
      </w:r>
      <w:r w:rsidR="001C5F43" w:rsidRPr="001C5F43">
        <w:rPr>
          <w:rFonts w:ascii="Verdana" w:hAnsi="Verdana"/>
          <w:lang w:val="en-GB" w:eastAsia="en-GB"/>
        </w:rPr>
        <w:t xml:space="preserve"> –</w:t>
      </w:r>
      <w:r w:rsidR="00400143" w:rsidRPr="001C5F43">
        <w:rPr>
          <w:rFonts w:ascii="Verdana" w:hAnsi="Verdana"/>
          <w:lang w:val="en-GB" w:eastAsia="en-GB"/>
        </w:rPr>
        <w:t xml:space="preserve"> and that in 2009 17.2 per cent of young male graduates were unemployed compared </w:t>
      </w:r>
      <w:r w:rsidR="001C5F43" w:rsidRPr="001C5F43">
        <w:rPr>
          <w:rFonts w:ascii="Verdana" w:hAnsi="Verdana"/>
          <w:lang w:val="en-GB" w:eastAsia="en-GB"/>
        </w:rPr>
        <w:t>to 11.2</w:t>
      </w:r>
      <w:r w:rsidR="00400143" w:rsidRPr="001C5F43">
        <w:rPr>
          <w:rFonts w:ascii="Verdana" w:hAnsi="Verdana"/>
          <w:lang w:val="en-GB" w:eastAsia="en-GB"/>
        </w:rPr>
        <w:t xml:space="preserve"> per cent of young female graduates.</w:t>
      </w:r>
    </w:p>
    <w:p w:rsidR="00400143" w:rsidRPr="001C5F43" w:rsidRDefault="00400143"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1C5F43">
        <w:rPr>
          <w:rFonts w:ascii="Verdana" w:hAnsi="Verdana"/>
          <w:lang w:val="en-GB" w:eastAsia="en-GB"/>
        </w:rPr>
        <w:t xml:space="preserve">These figures show how the recession has resulted in </w:t>
      </w:r>
      <w:r w:rsidR="001C5F43" w:rsidRPr="001C5F43">
        <w:rPr>
          <w:rFonts w:ascii="Verdana" w:hAnsi="Verdana"/>
          <w:lang w:val="en-GB" w:eastAsia="en-GB"/>
        </w:rPr>
        <w:t>continuing changes</w:t>
      </w:r>
      <w:r w:rsidRPr="001C5F43">
        <w:rPr>
          <w:rFonts w:ascii="Verdana" w:hAnsi="Verdana"/>
          <w:lang w:val="en-GB" w:eastAsia="en-GB"/>
        </w:rPr>
        <w:t xml:space="preserve"> to the graduate employment market through 2009, changes that will not have been reflected in the statistics used in </w:t>
      </w:r>
      <w:r w:rsidR="00901132">
        <w:rPr>
          <w:rFonts w:ascii="Verdana" w:hAnsi="Verdana"/>
          <w:lang w:val="en-GB" w:eastAsia="en-GB"/>
        </w:rPr>
        <w:t>the 2009 HEPI report</w:t>
      </w:r>
      <w:r w:rsidRPr="001C5F43">
        <w:rPr>
          <w:rFonts w:ascii="Verdana" w:hAnsi="Verdana"/>
          <w:lang w:val="en-GB" w:eastAsia="en-GB"/>
        </w:rPr>
        <w:t xml:space="preserve">, which typically refer to the status of recent graduates on 12 January 2009 and </w:t>
      </w:r>
      <w:r w:rsidR="00901132">
        <w:rPr>
          <w:rFonts w:ascii="Verdana" w:hAnsi="Verdana"/>
          <w:lang w:val="en-GB" w:eastAsia="en-GB"/>
        </w:rPr>
        <w:t>the status on 24 November 2008 of those who graduated in</w:t>
      </w:r>
      <w:r w:rsidRPr="001C5F43">
        <w:rPr>
          <w:rFonts w:ascii="Verdana" w:hAnsi="Verdana"/>
          <w:lang w:val="en-GB" w:eastAsia="en-GB"/>
        </w:rPr>
        <w:t xml:space="preserve"> 2004-05</w:t>
      </w:r>
      <w:r w:rsidR="00901132">
        <w:rPr>
          <w:rFonts w:ascii="Verdana" w:hAnsi="Verdana"/>
          <w:lang w:val="en-GB" w:eastAsia="en-GB"/>
        </w:rPr>
        <w:t>.</w:t>
      </w:r>
    </w:p>
    <w:p w:rsidR="00865B95" w:rsidRPr="00DA4BDF" w:rsidRDefault="00865B95" w:rsidP="00623C36">
      <w:pPr>
        <w:pStyle w:val="Heading2"/>
        <w:spacing w:before="120" w:after="240" w:line="240" w:lineRule="auto"/>
        <w:rPr>
          <w:bCs w:val="0"/>
          <w:iCs w:val="0"/>
          <w:sz w:val="24"/>
          <w:szCs w:val="28"/>
          <w:lang w:val="en-US" w:eastAsia="en-US"/>
        </w:rPr>
      </w:pPr>
      <w:r w:rsidRPr="00DA4BDF">
        <w:rPr>
          <w:bCs w:val="0"/>
          <w:iCs w:val="0"/>
          <w:sz w:val="24"/>
          <w:szCs w:val="28"/>
          <w:lang w:val="en-US" w:eastAsia="en-US"/>
        </w:rPr>
        <w:t xml:space="preserve">Activities of 2007-08 graduates shortly after qualifying </w:t>
      </w:r>
    </w:p>
    <w:p w:rsidR="0022360D" w:rsidRPr="00DA4BDF" w:rsidRDefault="00283B68"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t>The recent increase in graduate unemployment provides the context for this present report, but the data about that are limited, and the question is not pursued further.  The statistics in this report are from the 2007-08 Destination of Leavers from Higher Education (DLHE) survey conducted six months after graduation</w:t>
      </w:r>
      <w:r w:rsidR="001C5F43" w:rsidRPr="001C5F43">
        <w:rPr>
          <w:rFonts w:ascii="Verdana" w:hAnsi="Verdana"/>
          <w:lang w:val="en-GB" w:eastAsia="en-GB"/>
        </w:rPr>
        <w:t>,</w:t>
      </w:r>
      <w:r w:rsidRPr="00DA4BDF">
        <w:rPr>
          <w:rFonts w:ascii="Verdana" w:hAnsi="Verdana"/>
          <w:lang w:val="en-GB" w:eastAsia="en-GB"/>
        </w:rPr>
        <w:t xml:space="preserve"> and from a</w:t>
      </w:r>
      <w:r w:rsidR="001C5F43" w:rsidRPr="001C5F43">
        <w:rPr>
          <w:rFonts w:ascii="Verdana" w:hAnsi="Verdana"/>
          <w:lang w:val="en-GB" w:eastAsia="en-GB"/>
        </w:rPr>
        <w:t xml:space="preserve"> l</w:t>
      </w:r>
      <w:r w:rsidRPr="00DA4BDF">
        <w:rPr>
          <w:rFonts w:ascii="Verdana" w:hAnsi="Verdana"/>
          <w:lang w:val="en-GB" w:eastAsia="en-GB"/>
        </w:rPr>
        <w:t xml:space="preserve">ongitudinal survey </w:t>
      </w:r>
      <w:r w:rsidRPr="00DA4BDF">
        <w:rPr>
          <w:rFonts w:ascii="Verdana" w:hAnsi="Verdana"/>
          <w:lang w:val="en-GB" w:eastAsia="en-GB"/>
        </w:rPr>
        <w:lastRenderedPageBreak/>
        <w:t xml:space="preserve">based on the DLHE, conducted three years after graduation.  The </w:t>
      </w:r>
      <w:r w:rsidR="001C5F43" w:rsidRPr="001C5F43">
        <w:rPr>
          <w:rFonts w:ascii="Verdana" w:hAnsi="Verdana"/>
          <w:lang w:val="en-GB" w:eastAsia="en-GB"/>
        </w:rPr>
        <w:t>analysis is</w:t>
      </w:r>
      <w:r w:rsidRPr="00DA4BDF">
        <w:rPr>
          <w:rFonts w:ascii="Verdana" w:hAnsi="Verdana"/>
          <w:lang w:val="en-GB" w:eastAsia="en-GB"/>
        </w:rPr>
        <w:t xml:space="preserve"> restricted to young home full-time first degree graduates</w:t>
      </w:r>
      <w:r w:rsidR="001C5F43" w:rsidRPr="001C5F43">
        <w:rPr>
          <w:rFonts w:ascii="Verdana" w:hAnsi="Verdana"/>
          <w:lang w:val="en-GB" w:eastAsia="en-GB"/>
        </w:rPr>
        <w:t>.</w:t>
      </w:r>
      <w:r w:rsidRPr="000F7EAB">
        <w:rPr>
          <w:rFonts w:ascii="Verdana" w:hAnsi="Verdana"/>
          <w:vertAlign w:val="superscript"/>
          <w:lang w:val="en-GB" w:eastAsia="en-GB"/>
        </w:rPr>
        <w:footnoteReference w:id="2"/>
      </w:r>
      <w:r w:rsidRPr="001C5F43">
        <w:rPr>
          <w:rFonts w:ascii="Verdana" w:hAnsi="Verdana"/>
          <w:lang w:val="en-GB" w:eastAsia="en-GB"/>
        </w:rPr>
        <w:t xml:space="preserve">  </w:t>
      </w:r>
      <w:r w:rsidR="001308DB" w:rsidRPr="001C5F43">
        <w:rPr>
          <w:rFonts w:ascii="Verdana" w:hAnsi="Verdana"/>
          <w:lang w:val="en-GB" w:eastAsia="en-GB"/>
        </w:rPr>
        <w:t>Data from the DLHE</w:t>
      </w:r>
      <w:r w:rsidRPr="00DA4BDF">
        <w:rPr>
          <w:rFonts w:ascii="Verdana" w:hAnsi="Verdana"/>
          <w:lang w:val="en-GB" w:eastAsia="en-GB"/>
        </w:rPr>
        <w:t xml:space="preserve"> has </w:t>
      </w:r>
      <w:r w:rsidR="001308DB" w:rsidRPr="00DA4BDF">
        <w:rPr>
          <w:rFonts w:ascii="Verdana" w:hAnsi="Verdana"/>
          <w:lang w:val="en-GB" w:eastAsia="en-GB"/>
        </w:rPr>
        <w:t xml:space="preserve">high </w:t>
      </w:r>
      <w:r w:rsidRPr="00DA4BDF">
        <w:rPr>
          <w:rFonts w:ascii="Verdana" w:hAnsi="Verdana"/>
          <w:lang w:val="en-GB" w:eastAsia="en-GB"/>
        </w:rPr>
        <w:t xml:space="preserve">response rates </w:t>
      </w:r>
      <w:r w:rsidR="001308DB" w:rsidRPr="00DA4BDF">
        <w:rPr>
          <w:rFonts w:ascii="Verdana" w:hAnsi="Verdana"/>
          <w:lang w:val="en-GB" w:eastAsia="en-GB"/>
        </w:rPr>
        <w:t>for both men</w:t>
      </w:r>
      <w:r w:rsidRPr="00DA4BDF">
        <w:rPr>
          <w:rFonts w:ascii="Verdana" w:hAnsi="Verdana"/>
          <w:lang w:val="en-GB" w:eastAsia="en-GB"/>
        </w:rPr>
        <w:t xml:space="preserve"> </w:t>
      </w:r>
      <w:r w:rsidR="001308DB" w:rsidRPr="00DA4BDF">
        <w:rPr>
          <w:rFonts w:ascii="Verdana" w:hAnsi="Verdana"/>
          <w:lang w:val="en-GB" w:eastAsia="en-GB"/>
        </w:rPr>
        <w:t>and women</w:t>
      </w:r>
      <w:r w:rsidRPr="00DA4BDF">
        <w:rPr>
          <w:rFonts w:ascii="Verdana" w:hAnsi="Verdana"/>
          <w:lang w:val="en-GB" w:eastAsia="en-GB"/>
        </w:rPr>
        <w:t xml:space="preserve">.  </w:t>
      </w:r>
      <w:r w:rsidR="001308DB" w:rsidRPr="00DA4BDF">
        <w:rPr>
          <w:rFonts w:ascii="Verdana" w:hAnsi="Verdana"/>
          <w:lang w:val="en-GB" w:eastAsia="en-GB"/>
        </w:rPr>
        <w:t>However</w:t>
      </w:r>
      <w:r w:rsidR="001C5F43" w:rsidRPr="001C5F43">
        <w:rPr>
          <w:rFonts w:ascii="Verdana" w:hAnsi="Verdana"/>
          <w:lang w:val="en-GB" w:eastAsia="en-GB"/>
        </w:rPr>
        <w:t>,</w:t>
      </w:r>
      <w:r w:rsidR="001308DB" w:rsidRPr="00DA4BDF">
        <w:rPr>
          <w:rFonts w:ascii="Verdana" w:hAnsi="Verdana"/>
          <w:lang w:val="en-GB" w:eastAsia="en-GB"/>
        </w:rPr>
        <w:t xml:space="preserve"> this disguises important differences. Women are more responsive to the initial postal survey while the responses from men depend more on follow up telephone calls, resulting in more significant differences in responses to certain questions. It is therefore possible that </w:t>
      </w:r>
      <w:r w:rsidRPr="00DA4BDF">
        <w:rPr>
          <w:rFonts w:ascii="Verdana" w:hAnsi="Verdana"/>
          <w:lang w:val="en-GB" w:eastAsia="en-GB"/>
        </w:rPr>
        <w:t xml:space="preserve">response bias differences may </w:t>
      </w:r>
      <w:r w:rsidR="001308DB" w:rsidRPr="00DA4BDF">
        <w:rPr>
          <w:rFonts w:ascii="Verdana" w:hAnsi="Verdana"/>
          <w:lang w:val="en-GB" w:eastAsia="en-GB"/>
        </w:rPr>
        <w:t>part</w:t>
      </w:r>
      <w:r w:rsidRPr="00DA4BDF">
        <w:rPr>
          <w:rFonts w:ascii="Verdana" w:hAnsi="Verdana"/>
          <w:lang w:val="en-GB" w:eastAsia="en-GB"/>
        </w:rPr>
        <w:t>ly explain</w:t>
      </w:r>
      <w:r w:rsidR="001308DB" w:rsidRPr="00DA4BDF">
        <w:rPr>
          <w:rFonts w:ascii="Verdana" w:hAnsi="Verdana"/>
          <w:lang w:val="en-GB" w:eastAsia="en-GB"/>
        </w:rPr>
        <w:t xml:space="preserve"> the differences between men and women.</w:t>
      </w:r>
    </w:p>
    <w:p w:rsidR="001308DB" w:rsidRPr="00DA4BDF" w:rsidRDefault="001308DB"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t xml:space="preserve">Table A1 </w:t>
      </w:r>
      <w:r w:rsidR="0022360D" w:rsidRPr="00DA4BDF">
        <w:rPr>
          <w:rFonts w:ascii="Verdana" w:hAnsi="Verdana"/>
          <w:lang w:val="en-GB" w:eastAsia="en-GB"/>
        </w:rPr>
        <w:t xml:space="preserve">shows the reported activities of the respondents to the DLHE survey. </w:t>
      </w:r>
      <w:r w:rsidRPr="00DA4BDF">
        <w:rPr>
          <w:rFonts w:ascii="Verdana" w:hAnsi="Verdana"/>
          <w:lang w:val="en-GB" w:eastAsia="en-GB"/>
        </w:rPr>
        <w:t xml:space="preserve">The main differences are the higher proportion of women in full time work, and the higher proportion of </w:t>
      </w:r>
      <w:r w:rsidR="00283B68" w:rsidRPr="00DA4BDF">
        <w:rPr>
          <w:rFonts w:ascii="Verdana" w:hAnsi="Verdana"/>
          <w:lang w:val="en-GB" w:eastAsia="en-GB"/>
        </w:rPr>
        <w:t xml:space="preserve">unemployed </w:t>
      </w:r>
      <w:r w:rsidRPr="00DA4BDF">
        <w:rPr>
          <w:rFonts w:ascii="Verdana" w:hAnsi="Verdana"/>
          <w:lang w:val="en-GB" w:eastAsia="en-GB"/>
        </w:rPr>
        <w:t>men. The only other material difference</w:t>
      </w:r>
      <w:r w:rsidR="00F75EC7" w:rsidRPr="00DA4BDF">
        <w:rPr>
          <w:rFonts w:ascii="Verdana" w:hAnsi="Verdana"/>
          <w:lang w:val="en-GB" w:eastAsia="en-GB"/>
        </w:rPr>
        <w:t>s are</w:t>
      </w:r>
      <w:r w:rsidRPr="00DA4BDF">
        <w:rPr>
          <w:rFonts w:ascii="Verdana" w:hAnsi="Verdana"/>
          <w:lang w:val="en-GB" w:eastAsia="en-GB"/>
        </w:rPr>
        <w:t xml:space="preserve"> the higher proportion of </w:t>
      </w:r>
      <w:r w:rsidR="00283B68" w:rsidRPr="00DA4BDF">
        <w:rPr>
          <w:rFonts w:ascii="Verdana" w:hAnsi="Verdana"/>
          <w:lang w:val="en-GB" w:eastAsia="en-GB"/>
        </w:rPr>
        <w:t xml:space="preserve">self-employed or freelance </w:t>
      </w:r>
      <w:r w:rsidRPr="00DA4BDF">
        <w:rPr>
          <w:rFonts w:ascii="Verdana" w:hAnsi="Verdana"/>
          <w:lang w:val="en-GB" w:eastAsia="en-GB"/>
        </w:rPr>
        <w:t>men, and the higher proportion of women in part-time work.</w:t>
      </w:r>
    </w:p>
    <w:p w:rsidR="00865B95" w:rsidRPr="00DA4BDF" w:rsidRDefault="00865B95" w:rsidP="00623C36">
      <w:pPr>
        <w:pStyle w:val="Heading2"/>
        <w:spacing w:line="240" w:lineRule="auto"/>
        <w:rPr>
          <w:b w:val="0"/>
          <w:bCs w:val="0"/>
          <w:iCs w:val="0"/>
          <w:u w:val="single"/>
        </w:rPr>
      </w:pPr>
      <w:r w:rsidRPr="00DA4BDF">
        <w:rPr>
          <w:b w:val="0"/>
          <w:bCs w:val="0"/>
          <w:iCs w:val="0"/>
          <w:u w:val="single"/>
        </w:rPr>
        <w:t>Table A</w:t>
      </w:r>
      <w:r w:rsidR="009121BB" w:rsidRPr="00DA4BDF">
        <w:rPr>
          <w:b w:val="0"/>
          <w:bCs w:val="0"/>
          <w:iCs w:val="0"/>
          <w:u w:val="single"/>
        </w:rPr>
        <w:t>1</w:t>
      </w:r>
      <w:r w:rsidRPr="00DA4BDF">
        <w:rPr>
          <w:b w:val="0"/>
          <w:bCs w:val="0"/>
          <w:iCs w:val="0"/>
          <w:u w:val="single"/>
        </w:rPr>
        <w:t>: Activities</w:t>
      </w:r>
      <w:r w:rsidR="00623C36" w:rsidRPr="00DA4BDF">
        <w:rPr>
          <w:b w:val="0"/>
          <w:bCs w:val="0"/>
          <w:iCs w:val="0"/>
          <w:u w:val="single"/>
        </w:rPr>
        <w:t xml:space="preserve"> </w:t>
      </w:r>
      <w:r w:rsidRPr="00DA4BDF">
        <w:rPr>
          <w:b w:val="0"/>
          <w:bCs w:val="0"/>
          <w:iCs w:val="0"/>
          <w:u w:val="single"/>
        </w:rPr>
        <w:t>(Young full-time home graduates, 2007-08 DLHE)</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525"/>
        <w:gridCol w:w="1560"/>
        <w:gridCol w:w="1559"/>
      </w:tblGrid>
      <w:tr w:rsidR="00865B95" w:rsidRPr="00DA4BDF" w:rsidTr="00AE51A3">
        <w:trPr>
          <w:jc w:val="center"/>
        </w:trPr>
        <w:tc>
          <w:tcPr>
            <w:tcW w:w="2552" w:type="dxa"/>
            <w:vMerge w:val="restart"/>
          </w:tcPr>
          <w:p w:rsidR="00865B95" w:rsidRPr="00DA4BDF" w:rsidRDefault="00865B95" w:rsidP="00623C36">
            <w:pPr>
              <w:spacing w:line="240" w:lineRule="auto"/>
              <w:jc w:val="center"/>
              <w:rPr>
                <w:rFonts w:ascii="Verdana" w:hAnsi="Verdana"/>
                <w:b/>
                <w:sz w:val="20"/>
              </w:rPr>
            </w:pPr>
          </w:p>
          <w:p w:rsidR="00865B95" w:rsidRPr="00DA4BDF" w:rsidRDefault="00865B95" w:rsidP="00623C36">
            <w:pPr>
              <w:spacing w:line="240" w:lineRule="auto"/>
              <w:jc w:val="center"/>
              <w:rPr>
                <w:rFonts w:ascii="Verdana" w:hAnsi="Verdana"/>
                <w:b/>
                <w:sz w:val="20"/>
              </w:rPr>
            </w:pPr>
            <w:r w:rsidRPr="00DA4BDF">
              <w:rPr>
                <w:rFonts w:ascii="Verdana" w:hAnsi="Verdana"/>
                <w:b/>
                <w:sz w:val="20"/>
              </w:rPr>
              <w:t>Activity</w:t>
            </w:r>
          </w:p>
        </w:tc>
        <w:tc>
          <w:tcPr>
            <w:tcW w:w="4644" w:type="dxa"/>
            <w:gridSpan w:val="3"/>
            <w:vAlign w:val="bottom"/>
          </w:tcPr>
          <w:p w:rsidR="00865B95" w:rsidRPr="00DA4BDF" w:rsidRDefault="00865B95" w:rsidP="00AE51A3">
            <w:pPr>
              <w:spacing w:line="240" w:lineRule="auto"/>
              <w:jc w:val="center"/>
              <w:rPr>
                <w:rFonts w:ascii="Verdana" w:hAnsi="Verdana"/>
                <w:b/>
                <w:sz w:val="20"/>
              </w:rPr>
            </w:pPr>
            <w:r w:rsidRPr="00DA4BDF">
              <w:rPr>
                <w:rFonts w:ascii="Verdana" w:hAnsi="Verdana"/>
                <w:b/>
                <w:sz w:val="20"/>
              </w:rPr>
              <w:t>% of all activities</w:t>
            </w:r>
          </w:p>
        </w:tc>
      </w:tr>
      <w:tr w:rsidR="00865B95" w:rsidRPr="00DA4BDF" w:rsidTr="00AE51A3">
        <w:trPr>
          <w:jc w:val="center"/>
        </w:trPr>
        <w:tc>
          <w:tcPr>
            <w:tcW w:w="2552" w:type="dxa"/>
            <w:vMerge/>
          </w:tcPr>
          <w:p w:rsidR="00865B95" w:rsidRPr="00DA4BDF" w:rsidRDefault="00865B95" w:rsidP="00623C36">
            <w:pPr>
              <w:spacing w:line="240" w:lineRule="auto"/>
              <w:rPr>
                <w:rFonts w:ascii="Verdana" w:hAnsi="Verdana"/>
                <w:sz w:val="20"/>
              </w:rPr>
            </w:pPr>
          </w:p>
        </w:tc>
        <w:tc>
          <w:tcPr>
            <w:tcW w:w="1525" w:type="dxa"/>
            <w:vAlign w:val="bottom"/>
          </w:tcPr>
          <w:p w:rsidR="00865B95" w:rsidRPr="00DA4BDF" w:rsidRDefault="00865B95" w:rsidP="00AE51A3">
            <w:pPr>
              <w:spacing w:line="240" w:lineRule="auto"/>
              <w:jc w:val="center"/>
              <w:rPr>
                <w:rFonts w:ascii="Verdana" w:hAnsi="Verdana"/>
                <w:b/>
                <w:sz w:val="20"/>
              </w:rPr>
            </w:pPr>
            <w:r w:rsidRPr="00DA4BDF">
              <w:rPr>
                <w:rFonts w:ascii="Verdana" w:hAnsi="Verdana"/>
                <w:b/>
                <w:sz w:val="20"/>
              </w:rPr>
              <w:t>Men</w:t>
            </w:r>
          </w:p>
        </w:tc>
        <w:tc>
          <w:tcPr>
            <w:tcW w:w="1560" w:type="dxa"/>
            <w:vAlign w:val="bottom"/>
          </w:tcPr>
          <w:p w:rsidR="00865B95" w:rsidRPr="00DA4BDF" w:rsidRDefault="00865B95" w:rsidP="00AE51A3">
            <w:pPr>
              <w:spacing w:line="240" w:lineRule="auto"/>
              <w:jc w:val="center"/>
              <w:rPr>
                <w:rFonts w:ascii="Verdana" w:hAnsi="Verdana"/>
                <w:b/>
                <w:sz w:val="20"/>
              </w:rPr>
            </w:pPr>
            <w:r w:rsidRPr="00DA4BDF">
              <w:rPr>
                <w:rFonts w:ascii="Verdana" w:hAnsi="Verdana"/>
                <w:b/>
                <w:sz w:val="20"/>
              </w:rPr>
              <w:t>Women</w:t>
            </w:r>
          </w:p>
        </w:tc>
        <w:tc>
          <w:tcPr>
            <w:tcW w:w="1559" w:type="dxa"/>
            <w:vAlign w:val="bottom"/>
          </w:tcPr>
          <w:p w:rsidR="00865B95" w:rsidRPr="00DA4BDF" w:rsidRDefault="00865B95" w:rsidP="00AE51A3">
            <w:pPr>
              <w:spacing w:line="240" w:lineRule="auto"/>
              <w:jc w:val="center"/>
              <w:rPr>
                <w:rFonts w:ascii="Verdana" w:hAnsi="Verdana"/>
                <w:b/>
                <w:sz w:val="20"/>
              </w:rPr>
            </w:pPr>
            <w:r w:rsidRPr="00DA4BDF">
              <w:rPr>
                <w:rFonts w:ascii="Verdana" w:hAnsi="Verdana"/>
                <w:b/>
                <w:sz w:val="20"/>
              </w:rPr>
              <w:t>Diff</w:t>
            </w:r>
            <w:r w:rsidR="00AD6EED" w:rsidRPr="00DA4BDF">
              <w:rPr>
                <w:rFonts w:ascii="Verdana" w:hAnsi="Verdana"/>
                <w:b/>
                <w:sz w:val="20"/>
              </w:rPr>
              <w:t>erence</w:t>
            </w:r>
          </w:p>
        </w:tc>
      </w:tr>
      <w:tr w:rsidR="00865B95" w:rsidRPr="00DA4BDF" w:rsidTr="00AE51A3">
        <w:trPr>
          <w:jc w:val="center"/>
        </w:trPr>
        <w:tc>
          <w:tcPr>
            <w:tcW w:w="2552" w:type="dxa"/>
            <w:vAlign w:val="bottom"/>
          </w:tcPr>
          <w:p w:rsidR="00865B95" w:rsidRPr="00DA4BDF" w:rsidRDefault="00865B95" w:rsidP="00623C36">
            <w:pPr>
              <w:spacing w:line="240" w:lineRule="auto"/>
              <w:rPr>
                <w:rFonts w:ascii="Verdana" w:hAnsi="Verdana" w:cs="Arial"/>
                <w:sz w:val="20"/>
              </w:rPr>
            </w:pPr>
            <w:r w:rsidRPr="00DA4BDF">
              <w:rPr>
                <w:rFonts w:ascii="Verdana" w:hAnsi="Verdana" w:cs="Arial"/>
                <w:sz w:val="20"/>
              </w:rPr>
              <w:t>Full-time paid work</w:t>
            </w:r>
          </w:p>
        </w:tc>
        <w:tc>
          <w:tcPr>
            <w:tcW w:w="1525"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52%</w:t>
            </w:r>
          </w:p>
        </w:tc>
        <w:tc>
          <w:tcPr>
            <w:tcW w:w="1560"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56%</w:t>
            </w:r>
          </w:p>
        </w:tc>
        <w:tc>
          <w:tcPr>
            <w:tcW w:w="1559"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-3.9%</w:t>
            </w:r>
          </w:p>
        </w:tc>
      </w:tr>
      <w:tr w:rsidR="00865B95" w:rsidRPr="00DA4BDF" w:rsidTr="00AE51A3">
        <w:trPr>
          <w:jc w:val="center"/>
        </w:trPr>
        <w:tc>
          <w:tcPr>
            <w:tcW w:w="2552" w:type="dxa"/>
            <w:vAlign w:val="bottom"/>
          </w:tcPr>
          <w:p w:rsidR="00865B95" w:rsidRPr="00DA4BDF" w:rsidRDefault="00865B95" w:rsidP="00623C36">
            <w:pPr>
              <w:spacing w:line="240" w:lineRule="auto"/>
              <w:rPr>
                <w:rFonts w:ascii="Verdana" w:hAnsi="Verdana" w:cs="Arial"/>
                <w:sz w:val="20"/>
              </w:rPr>
            </w:pPr>
            <w:r w:rsidRPr="00DA4BDF">
              <w:rPr>
                <w:rFonts w:ascii="Verdana" w:hAnsi="Verdana" w:cs="Arial"/>
                <w:sz w:val="20"/>
              </w:rPr>
              <w:t>Part-time paid work</w:t>
            </w:r>
          </w:p>
        </w:tc>
        <w:tc>
          <w:tcPr>
            <w:tcW w:w="1525"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10%</w:t>
            </w:r>
          </w:p>
        </w:tc>
        <w:tc>
          <w:tcPr>
            <w:tcW w:w="1560"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12%</w:t>
            </w:r>
          </w:p>
        </w:tc>
        <w:tc>
          <w:tcPr>
            <w:tcW w:w="1559"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-1.8%</w:t>
            </w:r>
          </w:p>
        </w:tc>
      </w:tr>
      <w:tr w:rsidR="00865B95" w:rsidRPr="00DA4BDF" w:rsidTr="00AE51A3">
        <w:trPr>
          <w:jc w:val="center"/>
        </w:trPr>
        <w:tc>
          <w:tcPr>
            <w:tcW w:w="2552" w:type="dxa"/>
            <w:vAlign w:val="bottom"/>
          </w:tcPr>
          <w:p w:rsidR="00865B95" w:rsidRPr="00DA4BDF" w:rsidRDefault="00865B95" w:rsidP="00623C36">
            <w:pPr>
              <w:spacing w:line="240" w:lineRule="auto"/>
              <w:rPr>
                <w:rFonts w:ascii="Verdana" w:hAnsi="Verdana" w:cs="Arial"/>
                <w:sz w:val="20"/>
              </w:rPr>
            </w:pPr>
            <w:r w:rsidRPr="00DA4BDF">
              <w:rPr>
                <w:rFonts w:ascii="Verdana" w:hAnsi="Verdana" w:cs="Arial"/>
                <w:sz w:val="20"/>
              </w:rPr>
              <w:t>Self-employed</w:t>
            </w:r>
          </w:p>
        </w:tc>
        <w:tc>
          <w:tcPr>
            <w:tcW w:w="1525"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3%</w:t>
            </w:r>
          </w:p>
        </w:tc>
        <w:tc>
          <w:tcPr>
            <w:tcW w:w="1560"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2%</w:t>
            </w:r>
          </w:p>
        </w:tc>
        <w:tc>
          <w:tcPr>
            <w:tcW w:w="1559"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1.4%</w:t>
            </w:r>
          </w:p>
        </w:tc>
      </w:tr>
      <w:tr w:rsidR="00865B95" w:rsidRPr="00DA4BDF" w:rsidTr="00AE51A3">
        <w:trPr>
          <w:jc w:val="center"/>
        </w:trPr>
        <w:tc>
          <w:tcPr>
            <w:tcW w:w="2552" w:type="dxa"/>
            <w:vAlign w:val="bottom"/>
          </w:tcPr>
          <w:p w:rsidR="00865B95" w:rsidRPr="00DA4BDF" w:rsidRDefault="00865B95" w:rsidP="00623C36">
            <w:pPr>
              <w:spacing w:line="240" w:lineRule="auto"/>
              <w:rPr>
                <w:rFonts w:ascii="Verdana" w:hAnsi="Verdana" w:cs="Arial"/>
                <w:sz w:val="20"/>
              </w:rPr>
            </w:pPr>
            <w:r w:rsidRPr="00DA4BDF">
              <w:rPr>
                <w:rFonts w:ascii="Verdana" w:hAnsi="Verdana" w:cs="Arial"/>
                <w:sz w:val="20"/>
              </w:rPr>
              <w:t>Other employment</w:t>
            </w:r>
          </w:p>
        </w:tc>
        <w:tc>
          <w:tcPr>
            <w:tcW w:w="1525"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1%</w:t>
            </w:r>
          </w:p>
        </w:tc>
        <w:tc>
          <w:tcPr>
            <w:tcW w:w="1560"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2%</w:t>
            </w:r>
          </w:p>
        </w:tc>
        <w:tc>
          <w:tcPr>
            <w:tcW w:w="1559"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-0.4%</w:t>
            </w:r>
          </w:p>
        </w:tc>
      </w:tr>
      <w:tr w:rsidR="00865B95" w:rsidRPr="00DA4BDF" w:rsidTr="00AE51A3">
        <w:trPr>
          <w:jc w:val="center"/>
        </w:trPr>
        <w:tc>
          <w:tcPr>
            <w:tcW w:w="2552" w:type="dxa"/>
            <w:vAlign w:val="bottom"/>
          </w:tcPr>
          <w:p w:rsidR="00865B95" w:rsidRPr="00DA4BDF" w:rsidRDefault="00865B95" w:rsidP="00623C36">
            <w:pPr>
              <w:spacing w:line="240" w:lineRule="auto"/>
              <w:rPr>
                <w:rFonts w:ascii="Verdana" w:hAnsi="Verdana" w:cs="Arial"/>
                <w:sz w:val="20"/>
              </w:rPr>
            </w:pPr>
            <w:r w:rsidRPr="00DA4BDF">
              <w:rPr>
                <w:rFonts w:ascii="Verdana" w:hAnsi="Verdana" w:cs="Arial"/>
                <w:sz w:val="20"/>
              </w:rPr>
              <w:t>Further study only</w:t>
            </w:r>
          </w:p>
        </w:tc>
        <w:tc>
          <w:tcPr>
            <w:tcW w:w="1525"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16%</w:t>
            </w:r>
          </w:p>
        </w:tc>
        <w:tc>
          <w:tcPr>
            <w:tcW w:w="1560"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16%</w:t>
            </w:r>
          </w:p>
        </w:tc>
        <w:tc>
          <w:tcPr>
            <w:tcW w:w="1559"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0.1%</w:t>
            </w:r>
          </w:p>
        </w:tc>
      </w:tr>
      <w:tr w:rsidR="00865B95" w:rsidRPr="00DA4BDF" w:rsidTr="00AE51A3">
        <w:trPr>
          <w:jc w:val="center"/>
        </w:trPr>
        <w:tc>
          <w:tcPr>
            <w:tcW w:w="2552" w:type="dxa"/>
            <w:vAlign w:val="bottom"/>
          </w:tcPr>
          <w:p w:rsidR="00865B95" w:rsidRPr="00DA4BDF" w:rsidRDefault="00865B95" w:rsidP="00623C36">
            <w:pPr>
              <w:spacing w:line="240" w:lineRule="auto"/>
              <w:rPr>
                <w:rFonts w:ascii="Verdana" w:hAnsi="Verdana" w:cs="Arial"/>
                <w:sz w:val="20"/>
              </w:rPr>
            </w:pPr>
            <w:r w:rsidRPr="00DA4BDF">
              <w:rPr>
                <w:rFonts w:ascii="Verdana" w:hAnsi="Verdana" w:cs="Arial"/>
                <w:sz w:val="20"/>
              </w:rPr>
              <w:t>Unemployed</w:t>
            </w:r>
          </w:p>
        </w:tc>
        <w:tc>
          <w:tcPr>
            <w:tcW w:w="1525"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11%</w:t>
            </w:r>
          </w:p>
        </w:tc>
        <w:tc>
          <w:tcPr>
            <w:tcW w:w="1560"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7%</w:t>
            </w:r>
          </w:p>
        </w:tc>
        <w:tc>
          <w:tcPr>
            <w:tcW w:w="1559"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4.0%</w:t>
            </w:r>
          </w:p>
        </w:tc>
      </w:tr>
      <w:tr w:rsidR="00865B95" w:rsidRPr="00DA4BDF" w:rsidTr="00AE51A3">
        <w:trPr>
          <w:jc w:val="center"/>
        </w:trPr>
        <w:tc>
          <w:tcPr>
            <w:tcW w:w="2552" w:type="dxa"/>
            <w:vAlign w:val="bottom"/>
          </w:tcPr>
          <w:p w:rsidR="00865B95" w:rsidRPr="00DA4BDF" w:rsidRDefault="00865B95" w:rsidP="00623C36">
            <w:pPr>
              <w:spacing w:line="240" w:lineRule="auto"/>
              <w:rPr>
                <w:rFonts w:ascii="Verdana" w:hAnsi="Verdana" w:cs="Arial"/>
                <w:sz w:val="20"/>
              </w:rPr>
            </w:pPr>
            <w:r w:rsidRPr="00DA4BDF">
              <w:rPr>
                <w:rFonts w:ascii="Verdana" w:hAnsi="Verdana" w:cs="Arial"/>
                <w:sz w:val="20"/>
              </w:rPr>
              <w:t>Unavailable for work</w:t>
            </w:r>
          </w:p>
        </w:tc>
        <w:tc>
          <w:tcPr>
            <w:tcW w:w="1525"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5%</w:t>
            </w:r>
          </w:p>
        </w:tc>
        <w:tc>
          <w:tcPr>
            <w:tcW w:w="1560"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4%</w:t>
            </w:r>
          </w:p>
        </w:tc>
        <w:tc>
          <w:tcPr>
            <w:tcW w:w="1559"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0.3%</w:t>
            </w:r>
          </w:p>
        </w:tc>
      </w:tr>
      <w:tr w:rsidR="00865B95" w:rsidRPr="00DA4BDF" w:rsidTr="00AE51A3">
        <w:trPr>
          <w:jc w:val="center"/>
        </w:trPr>
        <w:tc>
          <w:tcPr>
            <w:tcW w:w="2552" w:type="dxa"/>
            <w:vAlign w:val="bottom"/>
          </w:tcPr>
          <w:p w:rsidR="00865B95" w:rsidRPr="00DA4BDF" w:rsidRDefault="00865B95" w:rsidP="00623C36">
            <w:pPr>
              <w:spacing w:line="240" w:lineRule="auto"/>
              <w:rPr>
                <w:rFonts w:ascii="Verdana" w:hAnsi="Verdana" w:cs="Arial"/>
                <w:sz w:val="20"/>
              </w:rPr>
            </w:pPr>
            <w:r w:rsidRPr="00DA4BDF">
              <w:rPr>
                <w:rFonts w:ascii="Verdana" w:hAnsi="Verdana" w:cs="Arial"/>
                <w:sz w:val="20"/>
              </w:rPr>
              <w:t>Other</w:t>
            </w:r>
          </w:p>
        </w:tc>
        <w:tc>
          <w:tcPr>
            <w:tcW w:w="1525"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1%</w:t>
            </w:r>
          </w:p>
        </w:tc>
        <w:tc>
          <w:tcPr>
            <w:tcW w:w="1560"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1%</w:t>
            </w:r>
          </w:p>
        </w:tc>
        <w:tc>
          <w:tcPr>
            <w:tcW w:w="1559" w:type="dxa"/>
            <w:vAlign w:val="bottom"/>
          </w:tcPr>
          <w:p w:rsidR="00865B95" w:rsidRPr="00DA4BDF" w:rsidRDefault="00865B95" w:rsidP="00AE51A3">
            <w:pPr>
              <w:spacing w:line="240" w:lineRule="auto"/>
              <w:jc w:val="center"/>
              <w:rPr>
                <w:rFonts w:ascii="Verdana" w:hAnsi="Verdana" w:cs="Arial"/>
                <w:sz w:val="20"/>
              </w:rPr>
            </w:pPr>
            <w:r w:rsidRPr="00DA4BDF">
              <w:rPr>
                <w:rFonts w:ascii="Verdana" w:hAnsi="Verdana" w:cs="Arial"/>
                <w:sz w:val="20"/>
              </w:rPr>
              <w:t>0.3%</w:t>
            </w:r>
          </w:p>
        </w:tc>
      </w:tr>
      <w:tr w:rsidR="00865B95" w:rsidRPr="00DA4BDF" w:rsidTr="00AE51A3">
        <w:trPr>
          <w:jc w:val="center"/>
        </w:trPr>
        <w:tc>
          <w:tcPr>
            <w:tcW w:w="2552" w:type="dxa"/>
            <w:vAlign w:val="bottom"/>
          </w:tcPr>
          <w:p w:rsidR="00865B95" w:rsidRPr="00DA4BDF" w:rsidRDefault="00865B95" w:rsidP="00623C36">
            <w:pPr>
              <w:spacing w:line="240" w:lineRule="auto"/>
              <w:rPr>
                <w:rFonts w:ascii="Verdana" w:hAnsi="Verdana" w:cs="Arial"/>
                <w:b/>
                <w:sz w:val="20"/>
              </w:rPr>
            </w:pPr>
            <w:r w:rsidRPr="00DA4BDF">
              <w:rPr>
                <w:rFonts w:ascii="Verdana" w:hAnsi="Verdana" w:cs="Arial"/>
                <w:b/>
                <w:sz w:val="20"/>
              </w:rPr>
              <w:t>All activities</w:t>
            </w:r>
          </w:p>
        </w:tc>
        <w:tc>
          <w:tcPr>
            <w:tcW w:w="1525" w:type="dxa"/>
            <w:vAlign w:val="bottom"/>
          </w:tcPr>
          <w:p w:rsidR="00865B95" w:rsidRPr="00DA4BDF" w:rsidRDefault="00865B95" w:rsidP="00AE51A3">
            <w:pPr>
              <w:spacing w:line="240" w:lineRule="auto"/>
              <w:jc w:val="center"/>
              <w:rPr>
                <w:rFonts w:ascii="Verdana" w:hAnsi="Verdana" w:cs="Arial"/>
                <w:b/>
                <w:sz w:val="20"/>
              </w:rPr>
            </w:pPr>
            <w:r w:rsidRPr="00DA4BDF">
              <w:rPr>
                <w:rFonts w:ascii="Verdana" w:hAnsi="Verdana" w:cs="Arial"/>
                <w:b/>
                <w:sz w:val="20"/>
              </w:rPr>
              <w:t>100%</w:t>
            </w:r>
          </w:p>
        </w:tc>
        <w:tc>
          <w:tcPr>
            <w:tcW w:w="1560" w:type="dxa"/>
            <w:vAlign w:val="bottom"/>
          </w:tcPr>
          <w:p w:rsidR="00865B95" w:rsidRPr="00DA4BDF" w:rsidRDefault="00865B95" w:rsidP="00AE51A3">
            <w:pPr>
              <w:spacing w:line="240" w:lineRule="auto"/>
              <w:jc w:val="center"/>
              <w:rPr>
                <w:rFonts w:ascii="Verdana" w:hAnsi="Verdana" w:cs="Arial"/>
                <w:b/>
                <w:sz w:val="20"/>
              </w:rPr>
            </w:pPr>
            <w:r w:rsidRPr="00DA4BDF">
              <w:rPr>
                <w:rFonts w:ascii="Verdana" w:hAnsi="Verdana" w:cs="Arial"/>
                <w:b/>
                <w:sz w:val="20"/>
              </w:rPr>
              <w:t>100%</w:t>
            </w:r>
          </w:p>
        </w:tc>
        <w:tc>
          <w:tcPr>
            <w:tcW w:w="1559" w:type="dxa"/>
            <w:vAlign w:val="bottom"/>
          </w:tcPr>
          <w:p w:rsidR="00865B95" w:rsidRPr="00DA4BDF" w:rsidRDefault="00865B95" w:rsidP="00AE51A3">
            <w:pPr>
              <w:spacing w:line="240" w:lineRule="auto"/>
              <w:jc w:val="center"/>
              <w:rPr>
                <w:rFonts w:ascii="Verdana" w:hAnsi="Verdana" w:cs="Arial"/>
                <w:b/>
                <w:sz w:val="20"/>
              </w:rPr>
            </w:pPr>
            <w:r w:rsidRPr="00DA4BDF">
              <w:rPr>
                <w:rFonts w:ascii="Verdana" w:hAnsi="Verdana" w:cs="Arial"/>
                <w:b/>
                <w:sz w:val="20"/>
              </w:rPr>
              <w:t>0.0%</w:t>
            </w:r>
          </w:p>
        </w:tc>
      </w:tr>
    </w:tbl>
    <w:p w:rsidR="003E07F0" w:rsidRDefault="003E07F0" w:rsidP="003E07F0">
      <w:pPr>
        <w:rPr>
          <w:rFonts w:ascii="Verdana" w:hAnsi="Verdana"/>
        </w:rPr>
      </w:pPr>
    </w:p>
    <w:p w:rsidR="00865B95" w:rsidRPr="00DA4BDF" w:rsidRDefault="0022360D"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t>Table A2 shows the median and mean salaries of those graduates in full-time work</w:t>
      </w:r>
      <w:r w:rsidR="00FE2C5F" w:rsidRPr="00DA4BDF">
        <w:rPr>
          <w:rFonts w:ascii="Verdana" w:hAnsi="Verdana"/>
          <w:lang w:val="en-GB" w:eastAsia="en-GB"/>
        </w:rPr>
        <w:t>. T</w:t>
      </w:r>
      <w:r w:rsidRPr="00DA4BDF">
        <w:rPr>
          <w:rFonts w:ascii="Verdana" w:hAnsi="Verdana"/>
          <w:lang w:val="en-GB" w:eastAsia="en-GB"/>
        </w:rPr>
        <w:t>he data for graduates in other types of employment is much less reliable.</w:t>
      </w:r>
      <w:r w:rsidR="00BC28D4" w:rsidRPr="00DA4BDF">
        <w:rPr>
          <w:rFonts w:ascii="Verdana" w:hAnsi="Verdana"/>
          <w:lang w:val="en-GB" w:eastAsia="en-GB"/>
        </w:rPr>
        <w:t xml:space="preserve"> </w:t>
      </w:r>
    </w:p>
    <w:p w:rsidR="00865B95" w:rsidRPr="00DA4BDF" w:rsidRDefault="00865B95" w:rsidP="00623C36">
      <w:pPr>
        <w:pStyle w:val="Heading2"/>
        <w:spacing w:line="240" w:lineRule="auto"/>
        <w:rPr>
          <w:b w:val="0"/>
          <w:bCs w:val="0"/>
          <w:iCs w:val="0"/>
          <w:u w:val="single"/>
        </w:rPr>
      </w:pPr>
      <w:r w:rsidRPr="00DA4BDF">
        <w:rPr>
          <w:b w:val="0"/>
          <w:bCs w:val="0"/>
          <w:iCs w:val="0"/>
          <w:u w:val="single"/>
        </w:rPr>
        <w:t>Table A</w:t>
      </w:r>
      <w:r w:rsidR="0022360D" w:rsidRPr="00DA4BDF">
        <w:rPr>
          <w:b w:val="0"/>
          <w:bCs w:val="0"/>
          <w:iCs w:val="0"/>
          <w:u w:val="single"/>
        </w:rPr>
        <w:t>2</w:t>
      </w:r>
      <w:r w:rsidRPr="00DA4BDF">
        <w:rPr>
          <w:b w:val="0"/>
          <w:bCs w:val="0"/>
          <w:iCs w:val="0"/>
          <w:u w:val="single"/>
        </w:rPr>
        <w:t>: Salaries (Young full-time home graduates in full-time employment, 2007-08 DLHE)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1179"/>
        <w:gridCol w:w="1237"/>
        <w:gridCol w:w="1417"/>
        <w:gridCol w:w="1701"/>
      </w:tblGrid>
      <w:tr w:rsidR="00865B95" w:rsidRPr="00DA4BDF" w:rsidTr="00AE51A3">
        <w:trPr>
          <w:jc w:val="center"/>
        </w:trPr>
        <w:tc>
          <w:tcPr>
            <w:tcW w:w="1378" w:type="dxa"/>
          </w:tcPr>
          <w:p w:rsidR="00865B95" w:rsidRPr="00DA4BDF" w:rsidRDefault="00865B95" w:rsidP="00623C36">
            <w:pPr>
              <w:spacing w:line="240" w:lineRule="auto"/>
              <w:rPr>
                <w:rFonts w:ascii="Verdana" w:hAnsi="Verdana"/>
                <w:sz w:val="20"/>
                <w:szCs w:val="22"/>
              </w:rPr>
            </w:pPr>
          </w:p>
        </w:tc>
        <w:tc>
          <w:tcPr>
            <w:tcW w:w="1179" w:type="dxa"/>
            <w:vAlign w:val="bottom"/>
          </w:tcPr>
          <w:p w:rsidR="00865B95" w:rsidRPr="001C5F43" w:rsidRDefault="00865B95" w:rsidP="00AE51A3">
            <w:pPr>
              <w:spacing w:line="240" w:lineRule="auto"/>
              <w:jc w:val="center"/>
              <w:rPr>
                <w:rFonts w:ascii="Verdana" w:hAnsi="Verdana"/>
                <w:b/>
                <w:sz w:val="20"/>
                <w:szCs w:val="22"/>
              </w:rPr>
            </w:pPr>
          </w:p>
          <w:p w:rsidR="00865B95" w:rsidRPr="001C5F43" w:rsidRDefault="00865B95" w:rsidP="00AE51A3">
            <w:pPr>
              <w:spacing w:line="240" w:lineRule="auto"/>
              <w:jc w:val="center"/>
              <w:rPr>
                <w:rFonts w:ascii="Verdana" w:hAnsi="Verdana"/>
                <w:b/>
                <w:sz w:val="20"/>
                <w:szCs w:val="22"/>
              </w:rPr>
            </w:pPr>
            <w:r w:rsidRPr="001C5F43">
              <w:rPr>
                <w:rFonts w:ascii="Verdana" w:hAnsi="Verdana"/>
                <w:b/>
                <w:sz w:val="20"/>
                <w:szCs w:val="22"/>
              </w:rPr>
              <w:t>Men</w:t>
            </w:r>
          </w:p>
        </w:tc>
        <w:tc>
          <w:tcPr>
            <w:tcW w:w="1237" w:type="dxa"/>
            <w:vAlign w:val="bottom"/>
          </w:tcPr>
          <w:p w:rsidR="00865B95" w:rsidRPr="001C5F43" w:rsidRDefault="00865B95" w:rsidP="00AE51A3">
            <w:pPr>
              <w:spacing w:line="240" w:lineRule="auto"/>
              <w:jc w:val="center"/>
              <w:rPr>
                <w:rFonts w:ascii="Verdana" w:hAnsi="Verdana"/>
                <w:b/>
                <w:sz w:val="20"/>
                <w:szCs w:val="22"/>
              </w:rPr>
            </w:pPr>
          </w:p>
          <w:p w:rsidR="00865B95" w:rsidRPr="001C5F43" w:rsidRDefault="00865B95" w:rsidP="00AE51A3">
            <w:pPr>
              <w:spacing w:line="240" w:lineRule="auto"/>
              <w:jc w:val="center"/>
              <w:rPr>
                <w:rFonts w:ascii="Verdana" w:hAnsi="Verdana"/>
                <w:b/>
                <w:sz w:val="20"/>
                <w:szCs w:val="22"/>
              </w:rPr>
            </w:pPr>
            <w:r w:rsidRPr="001C5F43">
              <w:rPr>
                <w:rFonts w:ascii="Verdana" w:hAnsi="Verdana"/>
                <w:b/>
                <w:sz w:val="20"/>
                <w:szCs w:val="22"/>
              </w:rPr>
              <w:t>Women</w:t>
            </w:r>
          </w:p>
        </w:tc>
        <w:tc>
          <w:tcPr>
            <w:tcW w:w="1417" w:type="dxa"/>
            <w:vAlign w:val="bottom"/>
          </w:tcPr>
          <w:p w:rsidR="00865B95" w:rsidRPr="001C5F43" w:rsidRDefault="00865B95" w:rsidP="00AE51A3">
            <w:pPr>
              <w:spacing w:line="240" w:lineRule="auto"/>
              <w:jc w:val="center"/>
              <w:rPr>
                <w:rFonts w:ascii="Verdana" w:hAnsi="Verdana"/>
                <w:b/>
                <w:sz w:val="20"/>
                <w:szCs w:val="22"/>
              </w:rPr>
            </w:pPr>
          </w:p>
          <w:p w:rsidR="00865B95" w:rsidRPr="001C5F43" w:rsidRDefault="00865B95" w:rsidP="00AE51A3">
            <w:pPr>
              <w:spacing w:line="240" w:lineRule="auto"/>
              <w:jc w:val="center"/>
              <w:rPr>
                <w:rFonts w:ascii="Verdana" w:hAnsi="Verdana"/>
                <w:b/>
                <w:sz w:val="20"/>
                <w:szCs w:val="22"/>
              </w:rPr>
            </w:pPr>
            <w:r w:rsidRPr="001C5F43">
              <w:rPr>
                <w:rFonts w:ascii="Verdana" w:hAnsi="Verdana"/>
                <w:b/>
                <w:sz w:val="20"/>
                <w:szCs w:val="22"/>
              </w:rPr>
              <w:t>Difference</w:t>
            </w:r>
          </w:p>
        </w:tc>
        <w:tc>
          <w:tcPr>
            <w:tcW w:w="1701" w:type="dxa"/>
            <w:vAlign w:val="bottom"/>
          </w:tcPr>
          <w:p w:rsidR="00865B95" w:rsidRPr="001C5F43" w:rsidRDefault="001C5F43" w:rsidP="00AE51A3">
            <w:pPr>
              <w:spacing w:line="240" w:lineRule="auto"/>
              <w:jc w:val="center"/>
              <w:rPr>
                <w:rFonts w:ascii="Verdana" w:hAnsi="Verdana"/>
                <w:b/>
                <w:sz w:val="20"/>
                <w:szCs w:val="22"/>
              </w:rPr>
            </w:pPr>
            <w:r>
              <w:rPr>
                <w:rFonts w:ascii="Verdana" w:hAnsi="Verdana"/>
                <w:b/>
                <w:sz w:val="20"/>
                <w:szCs w:val="22"/>
              </w:rPr>
              <w:t>%</w:t>
            </w:r>
            <w:r w:rsidR="00865B95" w:rsidRPr="001C5F43">
              <w:rPr>
                <w:rFonts w:ascii="Verdana" w:hAnsi="Verdana"/>
                <w:b/>
                <w:sz w:val="20"/>
                <w:szCs w:val="22"/>
              </w:rPr>
              <w:t xml:space="preserve"> male premium</w:t>
            </w:r>
          </w:p>
        </w:tc>
      </w:tr>
      <w:tr w:rsidR="00865B95" w:rsidRPr="00DA4BDF" w:rsidTr="00AE51A3">
        <w:trPr>
          <w:trHeight w:val="341"/>
          <w:jc w:val="center"/>
        </w:trPr>
        <w:tc>
          <w:tcPr>
            <w:tcW w:w="1378" w:type="dxa"/>
            <w:vAlign w:val="bottom"/>
          </w:tcPr>
          <w:p w:rsidR="00865B95" w:rsidRPr="00DA4BDF" w:rsidRDefault="00865B95" w:rsidP="00623C36">
            <w:pPr>
              <w:spacing w:line="240" w:lineRule="auto"/>
              <w:rPr>
                <w:rFonts w:ascii="Verdana" w:hAnsi="Verdana"/>
                <w:sz w:val="20"/>
                <w:szCs w:val="22"/>
              </w:rPr>
            </w:pPr>
            <w:r w:rsidRPr="00DA4BDF">
              <w:rPr>
                <w:rFonts w:ascii="Verdana" w:hAnsi="Verdana"/>
                <w:sz w:val="20"/>
                <w:szCs w:val="22"/>
              </w:rPr>
              <w:t>Median</w:t>
            </w:r>
          </w:p>
        </w:tc>
        <w:tc>
          <w:tcPr>
            <w:tcW w:w="1179" w:type="dxa"/>
            <w:vAlign w:val="bottom"/>
          </w:tcPr>
          <w:p w:rsidR="00865B95" w:rsidRPr="00DA4BDF" w:rsidRDefault="00865B95" w:rsidP="00AE51A3">
            <w:pPr>
              <w:spacing w:line="240" w:lineRule="auto"/>
              <w:jc w:val="center"/>
              <w:rPr>
                <w:rFonts w:ascii="Verdana" w:hAnsi="Verdana" w:cs="Arial"/>
                <w:sz w:val="20"/>
                <w:szCs w:val="22"/>
              </w:rPr>
            </w:pPr>
            <w:r w:rsidRPr="00DA4BDF">
              <w:rPr>
                <w:rFonts w:ascii="Verdana" w:hAnsi="Verdana" w:cs="Arial"/>
                <w:sz w:val="20"/>
                <w:szCs w:val="22"/>
              </w:rPr>
              <w:t>£20,000</w:t>
            </w:r>
          </w:p>
        </w:tc>
        <w:tc>
          <w:tcPr>
            <w:tcW w:w="1237" w:type="dxa"/>
            <w:vAlign w:val="bottom"/>
          </w:tcPr>
          <w:p w:rsidR="00865B95" w:rsidRPr="00DA4BDF" w:rsidRDefault="00865B95" w:rsidP="00AE51A3">
            <w:pPr>
              <w:spacing w:line="240" w:lineRule="auto"/>
              <w:jc w:val="center"/>
              <w:rPr>
                <w:rFonts w:ascii="Verdana" w:hAnsi="Verdana" w:cs="Arial"/>
                <w:sz w:val="20"/>
                <w:szCs w:val="22"/>
              </w:rPr>
            </w:pPr>
            <w:r w:rsidRPr="00DA4BDF">
              <w:rPr>
                <w:rFonts w:ascii="Verdana" w:hAnsi="Verdana" w:cs="Arial"/>
                <w:sz w:val="20"/>
                <w:szCs w:val="22"/>
              </w:rPr>
              <w:t>£18,000</w:t>
            </w:r>
          </w:p>
        </w:tc>
        <w:tc>
          <w:tcPr>
            <w:tcW w:w="1417" w:type="dxa"/>
            <w:vAlign w:val="bottom"/>
          </w:tcPr>
          <w:p w:rsidR="00865B95" w:rsidRPr="00DA4BDF" w:rsidRDefault="00865B95" w:rsidP="00AE51A3">
            <w:pPr>
              <w:spacing w:line="240" w:lineRule="auto"/>
              <w:jc w:val="center"/>
              <w:rPr>
                <w:rFonts w:ascii="Verdana" w:hAnsi="Verdana" w:cs="Arial"/>
                <w:sz w:val="20"/>
                <w:szCs w:val="22"/>
              </w:rPr>
            </w:pPr>
            <w:r w:rsidRPr="00DA4BDF">
              <w:rPr>
                <w:rFonts w:ascii="Verdana" w:hAnsi="Verdana" w:cs="Arial"/>
                <w:sz w:val="20"/>
                <w:szCs w:val="22"/>
              </w:rPr>
              <w:t>£2,000</w:t>
            </w:r>
          </w:p>
        </w:tc>
        <w:tc>
          <w:tcPr>
            <w:tcW w:w="1701" w:type="dxa"/>
            <w:vAlign w:val="bottom"/>
          </w:tcPr>
          <w:p w:rsidR="00865B95" w:rsidRPr="00DA4BDF" w:rsidRDefault="00865B95" w:rsidP="00AE51A3">
            <w:pPr>
              <w:spacing w:line="240" w:lineRule="auto"/>
              <w:jc w:val="center"/>
              <w:rPr>
                <w:rFonts w:ascii="Verdana" w:hAnsi="Verdana" w:cs="Arial"/>
                <w:sz w:val="20"/>
                <w:szCs w:val="22"/>
              </w:rPr>
            </w:pPr>
            <w:r w:rsidRPr="00DA4BDF">
              <w:rPr>
                <w:rFonts w:ascii="Verdana" w:hAnsi="Verdana" w:cs="Arial"/>
                <w:sz w:val="20"/>
                <w:szCs w:val="22"/>
              </w:rPr>
              <w:t>11%</w:t>
            </w:r>
          </w:p>
        </w:tc>
      </w:tr>
      <w:tr w:rsidR="00865B95" w:rsidRPr="00DA4BDF" w:rsidTr="00AE51A3">
        <w:trPr>
          <w:jc w:val="center"/>
        </w:trPr>
        <w:tc>
          <w:tcPr>
            <w:tcW w:w="1378" w:type="dxa"/>
            <w:vAlign w:val="bottom"/>
          </w:tcPr>
          <w:p w:rsidR="00865B95" w:rsidRPr="00DA4BDF" w:rsidRDefault="00865B95" w:rsidP="00623C36">
            <w:pPr>
              <w:spacing w:line="240" w:lineRule="auto"/>
              <w:rPr>
                <w:rFonts w:ascii="Verdana" w:hAnsi="Verdana"/>
                <w:sz w:val="20"/>
                <w:szCs w:val="22"/>
              </w:rPr>
            </w:pPr>
            <w:r w:rsidRPr="00DA4BDF">
              <w:rPr>
                <w:rFonts w:ascii="Verdana" w:hAnsi="Verdana"/>
                <w:sz w:val="20"/>
                <w:szCs w:val="22"/>
              </w:rPr>
              <w:t>Mean</w:t>
            </w:r>
          </w:p>
        </w:tc>
        <w:tc>
          <w:tcPr>
            <w:tcW w:w="1179" w:type="dxa"/>
            <w:vAlign w:val="bottom"/>
          </w:tcPr>
          <w:p w:rsidR="00865B95" w:rsidRPr="00DA4BDF" w:rsidRDefault="00865B95" w:rsidP="00AE51A3">
            <w:pPr>
              <w:spacing w:line="240" w:lineRule="auto"/>
              <w:jc w:val="center"/>
              <w:rPr>
                <w:rFonts w:ascii="Verdana" w:hAnsi="Verdana" w:cs="Arial"/>
                <w:sz w:val="20"/>
                <w:szCs w:val="22"/>
              </w:rPr>
            </w:pPr>
            <w:r w:rsidRPr="00DA4BDF">
              <w:rPr>
                <w:rFonts w:ascii="Verdana" w:hAnsi="Verdana" w:cs="Arial"/>
                <w:sz w:val="20"/>
                <w:szCs w:val="22"/>
              </w:rPr>
              <w:t>£20,503</w:t>
            </w:r>
          </w:p>
        </w:tc>
        <w:tc>
          <w:tcPr>
            <w:tcW w:w="1237" w:type="dxa"/>
            <w:vAlign w:val="bottom"/>
          </w:tcPr>
          <w:p w:rsidR="00865B95" w:rsidRPr="00DA4BDF" w:rsidRDefault="00865B95" w:rsidP="00AE51A3">
            <w:pPr>
              <w:spacing w:line="240" w:lineRule="auto"/>
              <w:jc w:val="center"/>
              <w:rPr>
                <w:rFonts w:ascii="Verdana" w:hAnsi="Verdana" w:cs="Arial"/>
                <w:sz w:val="20"/>
                <w:szCs w:val="22"/>
              </w:rPr>
            </w:pPr>
            <w:r w:rsidRPr="00DA4BDF">
              <w:rPr>
                <w:rFonts w:ascii="Verdana" w:hAnsi="Verdana" w:cs="Arial"/>
                <w:sz w:val="20"/>
                <w:szCs w:val="22"/>
              </w:rPr>
              <w:t>£18,471</w:t>
            </w:r>
          </w:p>
        </w:tc>
        <w:tc>
          <w:tcPr>
            <w:tcW w:w="1417" w:type="dxa"/>
            <w:vAlign w:val="bottom"/>
          </w:tcPr>
          <w:p w:rsidR="00865B95" w:rsidRPr="00DA4BDF" w:rsidRDefault="00865B95" w:rsidP="00AE51A3">
            <w:pPr>
              <w:spacing w:line="240" w:lineRule="auto"/>
              <w:jc w:val="center"/>
              <w:rPr>
                <w:rFonts w:ascii="Verdana" w:hAnsi="Verdana" w:cs="Arial"/>
                <w:sz w:val="20"/>
                <w:szCs w:val="22"/>
              </w:rPr>
            </w:pPr>
            <w:r w:rsidRPr="00DA4BDF">
              <w:rPr>
                <w:rFonts w:ascii="Verdana" w:hAnsi="Verdana" w:cs="Arial"/>
                <w:sz w:val="20"/>
                <w:szCs w:val="22"/>
              </w:rPr>
              <w:t>£2,032</w:t>
            </w:r>
          </w:p>
        </w:tc>
        <w:tc>
          <w:tcPr>
            <w:tcW w:w="1701" w:type="dxa"/>
            <w:vAlign w:val="bottom"/>
          </w:tcPr>
          <w:p w:rsidR="00865B95" w:rsidRPr="00DA4BDF" w:rsidRDefault="00865B95" w:rsidP="00AE51A3">
            <w:pPr>
              <w:spacing w:line="240" w:lineRule="auto"/>
              <w:jc w:val="center"/>
              <w:rPr>
                <w:rFonts w:ascii="Verdana" w:hAnsi="Verdana" w:cs="Arial"/>
                <w:sz w:val="20"/>
                <w:szCs w:val="22"/>
              </w:rPr>
            </w:pPr>
            <w:r w:rsidRPr="00DA4BDF">
              <w:rPr>
                <w:rFonts w:ascii="Verdana" w:hAnsi="Verdana" w:cs="Arial"/>
                <w:sz w:val="20"/>
                <w:szCs w:val="22"/>
              </w:rPr>
              <w:t>11%</w:t>
            </w:r>
          </w:p>
        </w:tc>
      </w:tr>
    </w:tbl>
    <w:p w:rsidR="0022360D" w:rsidRPr="00DA4BDF" w:rsidRDefault="0022360D" w:rsidP="003E07F0">
      <w:pPr>
        <w:rPr>
          <w:rFonts w:ascii="Verdana" w:hAnsi="Verdana"/>
          <w:sz w:val="22"/>
          <w:szCs w:val="22"/>
        </w:rPr>
      </w:pPr>
    </w:p>
    <w:p w:rsidR="00865B95" w:rsidRPr="00DA4BDF" w:rsidRDefault="0022360D"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t>We can see that whether we take the median or the mean, men’s average salaries are 1</w:t>
      </w:r>
      <w:r w:rsidR="007C07B1" w:rsidRPr="00DA4BDF">
        <w:rPr>
          <w:rFonts w:ascii="Verdana" w:hAnsi="Verdana"/>
          <w:lang w:val="en-GB" w:eastAsia="en-GB"/>
        </w:rPr>
        <w:t>1</w:t>
      </w:r>
      <w:r w:rsidRPr="00DA4BDF">
        <w:rPr>
          <w:rFonts w:ascii="Verdana" w:hAnsi="Verdana"/>
          <w:lang w:val="en-GB" w:eastAsia="en-GB"/>
        </w:rPr>
        <w:t xml:space="preserve"> per cent higher than women’s. About half of this premium can be accounted for by the differing subject profiles</w:t>
      </w:r>
      <w:r w:rsidR="00E814D1" w:rsidRPr="00DA4BDF">
        <w:rPr>
          <w:rFonts w:ascii="Verdana" w:hAnsi="Verdana"/>
          <w:lang w:val="en-GB" w:eastAsia="en-GB"/>
        </w:rPr>
        <w:t xml:space="preserve"> – that is to say if men had the same profile of subjects studied as women, the</w:t>
      </w:r>
      <w:r w:rsidR="00D766C4" w:rsidRPr="00DA4BDF">
        <w:rPr>
          <w:rFonts w:ascii="Verdana" w:hAnsi="Verdana"/>
          <w:lang w:val="en-GB" w:eastAsia="en-GB"/>
        </w:rPr>
        <w:t xml:space="preserve">ir average salaries would still, for reasons </w:t>
      </w:r>
      <w:r w:rsidR="00204CB1" w:rsidRPr="00DA4BDF">
        <w:rPr>
          <w:rFonts w:ascii="Verdana" w:hAnsi="Verdana"/>
          <w:lang w:val="en-GB" w:eastAsia="en-GB"/>
        </w:rPr>
        <w:t xml:space="preserve">that </w:t>
      </w:r>
      <w:r w:rsidR="00D766C4" w:rsidRPr="00DA4BDF">
        <w:rPr>
          <w:rFonts w:ascii="Verdana" w:hAnsi="Verdana"/>
          <w:lang w:val="en-GB" w:eastAsia="en-GB"/>
        </w:rPr>
        <w:t>are not explicable from the data, be more than 5 per cent higher than women’s</w:t>
      </w:r>
      <w:r w:rsidRPr="00DA4BDF">
        <w:rPr>
          <w:rFonts w:ascii="Verdana" w:hAnsi="Verdana"/>
          <w:lang w:val="en-GB" w:eastAsia="en-GB"/>
        </w:rPr>
        <w:t xml:space="preserve">. </w:t>
      </w:r>
      <w:r w:rsidR="00E814D1" w:rsidRPr="00DA4BDF">
        <w:rPr>
          <w:rFonts w:ascii="Verdana" w:hAnsi="Verdana"/>
          <w:lang w:val="en-GB" w:eastAsia="en-GB"/>
        </w:rPr>
        <w:t xml:space="preserve"> </w:t>
      </w:r>
    </w:p>
    <w:p w:rsidR="0022360D" w:rsidRPr="00DA4BDF" w:rsidRDefault="00283B68"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lastRenderedPageBreak/>
        <w:t xml:space="preserve">Table A3 </w:t>
      </w:r>
      <w:r w:rsidR="001C5F43" w:rsidRPr="001C5F43">
        <w:rPr>
          <w:rFonts w:ascii="Verdana" w:hAnsi="Verdana"/>
          <w:lang w:val="en-GB" w:eastAsia="en-GB"/>
        </w:rPr>
        <w:t xml:space="preserve">below </w:t>
      </w:r>
      <w:r w:rsidRPr="00DA4BDF">
        <w:rPr>
          <w:rFonts w:ascii="Verdana" w:hAnsi="Verdana"/>
          <w:lang w:val="en-GB" w:eastAsia="en-GB"/>
        </w:rPr>
        <w:t xml:space="preserve">shows that </w:t>
      </w:r>
      <w:r w:rsidR="0022360D" w:rsidRPr="00DA4BDF">
        <w:rPr>
          <w:rFonts w:ascii="Verdana" w:hAnsi="Verdana"/>
          <w:lang w:val="en-GB" w:eastAsia="en-GB"/>
        </w:rPr>
        <w:t>average job quality can be assessed with other measures</w:t>
      </w:r>
      <w:r w:rsidR="00204CB1" w:rsidRPr="00DA4BDF">
        <w:rPr>
          <w:rFonts w:ascii="Verdana" w:hAnsi="Verdana"/>
          <w:lang w:val="en-GB" w:eastAsia="en-GB"/>
        </w:rPr>
        <w:t xml:space="preserve"> besides pay</w:t>
      </w:r>
      <w:r w:rsidR="0022360D" w:rsidRPr="00DA4BDF">
        <w:rPr>
          <w:rFonts w:ascii="Verdana" w:hAnsi="Verdana"/>
          <w:lang w:val="en-GB" w:eastAsia="en-GB"/>
        </w:rPr>
        <w:t>.</w:t>
      </w:r>
    </w:p>
    <w:p w:rsidR="00865B95" w:rsidRPr="00DA4BDF" w:rsidRDefault="00865B95" w:rsidP="00623C36">
      <w:pPr>
        <w:pStyle w:val="Heading2"/>
        <w:spacing w:line="240" w:lineRule="auto"/>
        <w:rPr>
          <w:b w:val="0"/>
          <w:bCs w:val="0"/>
          <w:iCs w:val="0"/>
          <w:u w:val="single"/>
        </w:rPr>
      </w:pPr>
      <w:r w:rsidRPr="00DA4BDF">
        <w:rPr>
          <w:b w:val="0"/>
          <w:bCs w:val="0"/>
          <w:iCs w:val="0"/>
          <w:u w:val="single"/>
        </w:rPr>
        <w:t>Table A</w:t>
      </w:r>
      <w:r w:rsidR="00911A9F" w:rsidRPr="00DA4BDF">
        <w:rPr>
          <w:b w:val="0"/>
          <w:bCs w:val="0"/>
          <w:iCs w:val="0"/>
          <w:u w:val="single"/>
        </w:rPr>
        <w:t>3</w:t>
      </w:r>
      <w:r w:rsidRPr="00DA4BDF">
        <w:rPr>
          <w:b w:val="0"/>
          <w:bCs w:val="0"/>
          <w:iCs w:val="0"/>
          <w:u w:val="single"/>
        </w:rPr>
        <w:t>: Per cent graduates in ‘good’ jobs</w:t>
      </w:r>
      <w:r w:rsidR="00623C36" w:rsidRPr="00DA4BDF">
        <w:rPr>
          <w:b w:val="0"/>
          <w:bCs w:val="0"/>
          <w:iCs w:val="0"/>
          <w:u w:val="single"/>
        </w:rPr>
        <w:t xml:space="preserve"> </w:t>
      </w:r>
      <w:r w:rsidRPr="00DA4BDF">
        <w:rPr>
          <w:b w:val="0"/>
          <w:bCs w:val="0"/>
          <w:iCs w:val="0"/>
          <w:u w:val="single"/>
        </w:rPr>
        <w:t>(Young full-time home employed graduates</w:t>
      </w:r>
      <w:r w:rsidR="001B4C37">
        <w:rPr>
          <w:b w:val="0"/>
          <w:bCs w:val="0"/>
          <w:iCs w:val="0"/>
          <w:u w:val="single"/>
        </w:rPr>
        <w:t>,</w:t>
      </w:r>
      <w:r w:rsidRPr="00DA4BDF">
        <w:rPr>
          <w:b w:val="0"/>
          <w:bCs w:val="0"/>
          <w:iCs w:val="0"/>
          <w:u w:val="single"/>
        </w:rPr>
        <w:t xml:space="preserve"> 2007-08 DLHE)</w:t>
      </w:r>
    </w:p>
    <w:tbl>
      <w:tblPr>
        <w:tblW w:w="6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850"/>
        <w:gridCol w:w="1134"/>
        <w:gridCol w:w="1418"/>
      </w:tblGrid>
      <w:tr w:rsidR="00865B95" w:rsidRPr="00DA4BDF" w:rsidTr="00AE51A3">
        <w:trPr>
          <w:jc w:val="center"/>
        </w:trPr>
        <w:tc>
          <w:tcPr>
            <w:tcW w:w="3369" w:type="dxa"/>
            <w:vMerge w:val="restart"/>
            <w:vAlign w:val="bottom"/>
          </w:tcPr>
          <w:p w:rsidR="00865B95" w:rsidRPr="00DA4BDF" w:rsidRDefault="00865B95" w:rsidP="00623C36">
            <w:pPr>
              <w:spacing w:line="240" w:lineRule="auto"/>
              <w:rPr>
                <w:rFonts w:ascii="Verdana" w:hAnsi="Verdana" w:cs="Arial"/>
                <w:b/>
                <w:sz w:val="20"/>
              </w:rPr>
            </w:pPr>
            <w:r w:rsidRPr="00DA4BDF">
              <w:rPr>
                <w:rFonts w:ascii="Verdana" w:hAnsi="Verdana" w:cs="Arial"/>
                <w:b/>
                <w:sz w:val="20"/>
              </w:rPr>
              <w:t>Employment characteristic</w:t>
            </w:r>
          </w:p>
        </w:tc>
        <w:tc>
          <w:tcPr>
            <w:tcW w:w="3402" w:type="dxa"/>
            <w:gridSpan w:val="3"/>
            <w:vAlign w:val="bottom"/>
          </w:tcPr>
          <w:p w:rsidR="00865B95" w:rsidRPr="00DA4BDF" w:rsidRDefault="00865B95" w:rsidP="00AE51A3">
            <w:pPr>
              <w:spacing w:line="240" w:lineRule="auto"/>
              <w:jc w:val="center"/>
              <w:rPr>
                <w:rFonts w:ascii="Verdana" w:hAnsi="Verdana" w:cs="Arial"/>
                <w:b/>
                <w:sz w:val="20"/>
              </w:rPr>
            </w:pPr>
            <w:r w:rsidRPr="00DA4BDF">
              <w:rPr>
                <w:rFonts w:ascii="Verdana" w:hAnsi="Verdana" w:cs="Arial"/>
                <w:b/>
                <w:sz w:val="20"/>
              </w:rPr>
              <w:t>Per cent in ‘good’  jobs</w:t>
            </w:r>
          </w:p>
        </w:tc>
      </w:tr>
      <w:tr w:rsidR="00865B95" w:rsidRPr="00DA4BDF" w:rsidTr="00AE51A3">
        <w:trPr>
          <w:jc w:val="center"/>
        </w:trPr>
        <w:tc>
          <w:tcPr>
            <w:tcW w:w="3369" w:type="dxa"/>
            <w:vMerge/>
            <w:vAlign w:val="bottom"/>
          </w:tcPr>
          <w:p w:rsidR="00865B95" w:rsidRPr="00DA4BDF" w:rsidRDefault="00865B95" w:rsidP="00623C36">
            <w:pPr>
              <w:spacing w:line="240" w:lineRule="auto"/>
              <w:rPr>
                <w:rFonts w:ascii="Verdana" w:hAnsi="Verdana" w:cs="Arial"/>
                <w:b/>
                <w:sz w:val="20"/>
              </w:rPr>
            </w:pPr>
          </w:p>
        </w:tc>
        <w:tc>
          <w:tcPr>
            <w:tcW w:w="850" w:type="dxa"/>
            <w:vAlign w:val="bottom"/>
          </w:tcPr>
          <w:p w:rsidR="00865B95" w:rsidRPr="00DA4BDF" w:rsidRDefault="00865B95" w:rsidP="00AE51A3">
            <w:pPr>
              <w:spacing w:line="240" w:lineRule="auto"/>
              <w:jc w:val="center"/>
              <w:rPr>
                <w:rFonts w:ascii="Verdana" w:hAnsi="Verdana" w:cs="Arial"/>
                <w:b/>
                <w:sz w:val="20"/>
              </w:rPr>
            </w:pPr>
            <w:r w:rsidRPr="00DA4BDF">
              <w:rPr>
                <w:rFonts w:ascii="Verdana" w:hAnsi="Verdana" w:cs="Arial"/>
                <w:b/>
                <w:sz w:val="20"/>
              </w:rPr>
              <w:t>Men</w:t>
            </w:r>
          </w:p>
        </w:tc>
        <w:tc>
          <w:tcPr>
            <w:tcW w:w="1134" w:type="dxa"/>
            <w:vAlign w:val="bottom"/>
          </w:tcPr>
          <w:p w:rsidR="00865B95" w:rsidRPr="00DA4BDF" w:rsidRDefault="00865B95" w:rsidP="00AE51A3">
            <w:pPr>
              <w:spacing w:line="240" w:lineRule="auto"/>
              <w:jc w:val="center"/>
              <w:rPr>
                <w:rFonts w:ascii="Verdana" w:hAnsi="Verdana" w:cs="Arial"/>
                <w:b/>
                <w:sz w:val="20"/>
              </w:rPr>
            </w:pPr>
            <w:r w:rsidRPr="00DA4BDF">
              <w:rPr>
                <w:rFonts w:ascii="Verdana" w:hAnsi="Verdana" w:cs="Arial"/>
                <w:b/>
                <w:sz w:val="20"/>
              </w:rPr>
              <w:t>Women</w:t>
            </w:r>
          </w:p>
        </w:tc>
        <w:tc>
          <w:tcPr>
            <w:tcW w:w="1418" w:type="dxa"/>
            <w:vAlign w:val="bottom"/>
          </w:tcPr>
          <w:p w:rsidR="00865B95" w:rsidRPr="00DA4BDF" w:rsidRDefault="00865B95" w:rsidP="00AE51A3">
            <w:pPr>
              <w:spacing w:line="240" w:lineRule="auto"/>
              <w:jc w:val="center"/>
              <w:rPr>
                <w:rFonts w:ascii="Verdana" w:hAnsi="Verdana" w:cs="Arial"/>
                <w:b/>
                <w:sz w:val="20"/>
              </w:rPr>
            </w:pPr>
            <w:r w:rsidRPr="00DA4BDF">
              <w:rPr>
                <w:rFonts w:ascii="Verdana" w:hAnsi="Verdana" w:cs="Arial"/>
                <w:b/>
                <w:sz w:val="20"/>
              </w:rPr>
              <w:t>Difference</w:t>
            </w:r>
          </w:p>
        </w:tc>
      </w:tr>
      <w:tr w:rsidR="00865B95" w:rsidRPr="00DA4BDF" w:rsidTr="00AE51A3">
        <w:trPr>
          <w:jc w:val="center"/>
        </w:trPr>
        <w:tc>
          <w:tcPr>
            <w:tcW w:w="3369" w:type="dxa"/>
            <w:vAlign w:val="bottom"/>
          </w:tcPr>
          <w:p w:rsidR="00865B95" w:rsidRPr="00DA4BDF" w:rsidRDefault="00BB3D53" w:rsidP="00623C36">
            <w:pPr>
              <w:spacing w:line="240" w:lineRule="auto"/>
              <w:rPr>
                <w:rFonts w:ascii="Verdana" w:hAnsi="Verdana" w:cs="Arial"/>
                <w:sz w:val="20"/>
              </w:rPr>
            </w:pPr>
            <w:r w:rsidRPr="00DA4BDF">
              <w:rPr>
                <w:rFonts w:ascii="Verdana" w:hAnsi="Verdana" w:cs="Arial"/>
                <w:sz w:val="20"/>
              </w:rPr>
              <w:t>Graduate job</w:t>
            </w:r>
          </w:p>
        </w:tc>
        <w:tc>
          <w:tcPr>
            <w:tcW w:w="850" w:type="dxa"/>
            <w:vAlign w:val="bottom"/>
          </w:tcPr>
          <w:p w:rsidR="00865B95" w:rsidRPr="00DA4BDF" w:rsidRDefault="00AD6EED" w:rsidP="00AE51A3">
            <w:pPr>
              <w:spacing w:line="240" w:lineRule="auto"/>
              <w:jc w:val="center"/>
              <w:rPr>
                <w:rFonts w:ascii="Verdana" w:hAnsi="Verdana" w:cs="Arial"/>
                <w:sz w:val="20"/>
              </w:rPr>
            </w:pPr>
            <w:r w:rsidRPr="00DA4BDF">
              <w:rPr>
                <w:rFonts w:ascii="Verdana" w:hAnsi="Verdana" w:cs="Arial"/>
                <w:sz w:val="20"/>
              </w:rPr>
              <w:t>66%</w:t>
            </w:r>
          </w:p>
        </w:tc>
        <w:tc>
          <w:tcPr>
            <w:tcW w:w="1134" w:type="dxa"/>
            <w:vAlign w:val="bottom"/>
          </w:tcPr>
          <w:p w:rsidR="00865B95" w:rsidRPr="00DA4BDF" w:rsidRDefault="00AD6EED" w:rsidP="00AE51A3">
            <w:pPr>
              <w:spacing w:line="240" w:lineRule="auto"/>
              <w:jc w:val="center"/>
              <w:rPr>
                <w:rFonts w:ascii="Verdana" w:hAnsi="Verdana" w:cs="Arial"/>
                <w:sz w:val="20"/>
              </w:rPr>
            </w:pPr>
            <w:r w:rsidRPr="00DA4BDF">
              <w:rPr>
                <w:rFonts w:ascii="Verdana" w:hAnsi="Verdana" w:cs="Arial"/>
                <w:sz w:val="20"/>
              </w:rPr>
              <w:t>60%</w:t>
            </w:r>
          </w:p>
        </w:tc>
        <w:tc>
          <w:tcPr>
            <w:tcW w:w="1418" w:type="dxa"/>
            <w:vAlign w:val="bottom"/>
          </w:tcPr>
          <w:p w:rsidR="00865B95" w:rsidRPr="00DA4BDF" w:rsidRDefault="00AD6EED" w:rsidP="00AE51A3">
            <w:pPr>
              <w:spacing w:line="240" w:lineRule="auto"/>
              <w:jc w:val="center"/>
              <w:rPr>
                <w:rFonts w:ascii="Verdana" w:hAnsi="Verdana" w:cs="Arial"/>
                <w:sz w:val="20"/>
              </w:rPr>
            </w:pPr>
            <w:r w:rsidRPr="00DA4BDF">
              <w:rPr>
                <w:rFonts w:ascii="Verdana" w:hAnsi="Verdana" w:cs="Arial"/>
                <w:sz w:val="20"/>
              </w:rPr>
              <w:t>6.0%</w:t>
            </w:r>
          </w:p>
        </w:tc>
      </w:tr>
      <w:tr w:rsidR="00865B95" w:rsidRPr="00DA4BDF" w:rsidTr="00AE51A3">
        <w:trPr>
          <w:jc w:val="center"/>
        </w:trPr>
        <w:tc>
          <w:tcPr>
            <w:tcW w:w="3369" w:type="dxa"/>
            <w:vAlign w:val="bottom"/>
          </w:tcPr>
          <w:p w:rsidR="00865B95" w:rsidRPr="00DA4BDF" w:rsidRDefault="00BB3D53" w:rsidP="00623C36">
            <w:pPr>
              <w:spacing w:line="240" w:lineRule="auto"/>
              <w:rPr>
                <w:rFonts w:ascii="Verdana" w:hAnsi="Verdana" w:cs="Arial"/>
                <w:sz w:val="20"/>
              </w:rPr>
            </w:pPr>
            <w:r w:rsidRPr="00DA4BDF">
              <w:rPr>
                <w:rFonts w:ascii="Verdana" w:hAnsi="Verdana" w:cs="Arial"/>
                <w:sz w:val="20"/>
              </w:rPr>
              <w:t>Degree needed or expected</w:t>
            </w:r>
          </w:p>
        </w:tc>
        <w:tc>
          <w:tcPr>
            <w:tcW w:w="850" w:type="dxa"/>
            <w:vAlign w:val="bottom"/>
          </w:tcPr>
          <w:p w:rsidR="00865B95" w:rsidRPr="00DA4BDF" w:rsidRDefault="00AD6EED" w:rsidP="00AE51A3">
            <w:pPr>
              <w:spacing w:line="240" w:lineRule="auto"/>
              <w:jc w:val="center"/>
              <w:rPr>
                <w:rFonts w:ascii="Verdana" w:hAnsi="Verdana" w:cs="Arial"/>
                <w:sz w:val="20"/>
              </w:rPr>
            </w:pPr>
            <w:r w:rsidRPr="00DA4BDF">
              <w:rPr>
                <w:rFonts w:ascii="Verdana" w:hAnsi="Verdana" w:cs="Arial"/>
                <w:sz w:val="20"/>
              </w:rPr>
              <w:t>63%</w:t>
            </w:r>
          </w:p>
        </w:tc>
        <w:tc>
          <w:tcPr>
            <w:tcW w:w="1134" w:type="dxa"/>
            <w:vAlign w:val="bottom"/>
          </w:tcPr>
          <w:p w:rsidR="00865B95" w:rsidRPr="00DA4BDF" w:rsidRDefault="00AD6EED" w:rsidP="00AE51A3">
            <w:pPr>
              <w:spacing w:line="240" w:lineRule="auto"/>
              <w:jc w:val="center"/>
              <w:rPr>
                <w:rFonts w:ascii="Verdana" w:hAnsi="Verdana" w:cs="Arial"/>
                <w:sz w:val="20"/>
              </w:rPr>
            </w:pPr>
            <w:r w:rsidRPr="00DA4BDF">
              <w:rPr>
                <w:rFonts w:ascii="Verdana" w:hAnsi="Verdana" w:cs="Arial"/>
                <w:sz w:val="20"/>
              </w:rPr>
              <w:t>62%</w:t>
            </w:r>
          </w:p>
        </w:tc>
        <w:tc>
          <w:tcPr>
            <w:tcW w:w="1418" w:type="dxa"/>
            <w:vAlign w:val="bottom"/>
          </w:tcPr>
          <w:p w:rsidR="00865B95" w:rsidRPr="00DA4BDF" w:rsidRDefault="00AD6EED" w:rsidP="00AE51A3">
            <w:pPr>
              <w:spacing w:line="240" w:lineRule="auto"/>
              <w:jc w:val="center"/>
              <w:rPr>
                <w:rFonts w:ascii="Verdana" w:hAnsi="Verdana" w:cs="Arial"/>
                <w:sz w:val="20"/>
              </w:rPr>
            </w:pPr>
            <w:r w:rsidRPr="00DA4BDF">
              <w:rPr>
                <w:rFonts w:ascii="Verdana" w:hAnsi="Verdana" w:cs="Arial"/>
                <w:sz w:val="20"/>
              </w:rPr>
              <w:t>1.0%</w:t>
            </w:r>
          </w:p>
        </w:tc>
      </w:tr>
      <w:tr w:rsidR="00865B95" w:rsidRPr="00DA4BDF" w:rsidTr="00AE51A3">
        <w:trPr>
          <w:jc w:val="center"/>
        </w:trPr>
        <w:tc>
          <w:tcPr>
            <w:tcW w:w="3369" w:type="dxa"/>
            <w:vAlign w:val="bottom"/>
          </w:tcPr>
          <w:p w:rsidR="00865B95" w:rsidRPr="00DA4BDF" w:rsidRDefault="00BB3D53" w:rsidP="00623C36">
            <w:pPr>
              <w:spacing w:line="240" w:lineRule="auto"/>
              <w:rPr>
                <w:rFonts w:ascii="Verdana" w:hAnsi="Verdana" w:cs="Arial"/>
                <w:sz w:val="20"/>
              </w:rPr>
            </w:pPr>
            <w:r w:rsidRPr="00DA4BDF">
              <w:rPr>
                <w:rFonts w:ascii="Verdana" w:hAnsi="Verdana" w:cs="Arial"/>
                <w:sz w:val="20"/>
              </w:rPr>
              <w:t>Fits career plans</w:t>
            </w:r>
          </w:p>
        </w:tc>
        <w:tc>
          <w:tcPr>
            <w:tcW w:w="850" w:type="dxa"/>
            <w:vAlign w:val="bottom"/>
          </w:tcPr>
          <w:p w:rsidR="00865B95" w:rsidRPr="00DA4BDF" w:rsidRDefault="00AD6EED" w:rsidP="00AE51A3">
            <w:pPr>
              <w:spacing w:line="240" w:lineRule="auto"/>
              <w:jc w:val="center"/>
              <w:rPr>
                <w:rFonts w:ascii="Verdana" w:hAnsi="Verdana" w:cs="Arial"/>
                <w:sz w:val="20"/>
              </w:rPr>
            </w:pPr>
            <w:r w:rsidRPr="00DA4BDF">
              <w:rPr>
                <w:rFonts w:ascii="Verdana" w:hAnsi="Verdana" w:cs="Arial"/>
                <w:sz w:val="20"/>
              </w:rPr>
              <w:t>57%</w:t>
            </w:r>
          </w:p>
        </w:tc>
        <w:tc>
          <w:tcPr>
            <w:tcW w:w="1134" w:type="dxa"/>
            <w:vAlign w:val="bottom"/>
          </w:tcPr>
          <w:p w:rsidR="00865B95" w:rsidRPr="00DA4BDF" w:rsidRDefault="00AD6EED" w:rsidP="00AE51A3">
            <w:pPr>
              <w:spacing w:line="240" w:lineRule="auto"/>
              <w:jc w:val="center"/>
              <w:rPr>
                <w:rFonts w:ascii="Verdana" w:hAnsi="Verdana" w:cs="Arial"/>
                <w:sz w:val="20"/>
              </w:rPr>
            </w:pPr>
            <w:r w:rsidRPr="00DA4BDF">
              <w:rPr>
                <w:rFonts w:ascii="Verdana" w:hAnsi="Verdana" w:cs="Arial"/>
                <w:sz w:val="20"/>
              </w:rPr>
              <w:t>52%</w:t>
            </w:r>
          </w:p>
        </w:tc>
        <w:tc>
          <w:tcPr>
            <w:tcW w:w="1418" w:type="dxa"/>
            <w:vAlign w:val="bottom"/>
          </w:tcPr>
          <w:p w:rsidR="00865B95" w:rsidRPr="00DA4BDF" w:rsidRDefault="00AD6EED" w:rsidP="00AE51A3">
            <w:pPr>
              <w:spacing w:line="240" w:lineRule="auto"/>
              <w:jc w:val="center"/>
              <w:rPr>
                <w:rFonts w:ascii="Verdana" w:hAnsi="Verdana" w:cs="Arial"/>
                <w:sz w:val="20"/>
              </w:rPr>
            </w:pPr>
            <w:r w:rsidRPr="00DA4BDF">
              <w:rPr>
                <w:rFonts w:ascii="Verdana" w:hAnsi="Verdana" w:cs="Arial"/>
                <w:sz w:val="20"/>
              </w:rPr>
              <w:t>4.2%</w:t>
            </w:r>
          </w:p>
        </w:tc>
      </w:tr>
    </w:tbl>
    <w:p w:rsidR="001C5F43" w:rsidRDefault="001C5F43" w:rsidP="003E07F0">
      <w:pPr>
        <w:rPr>
          <w:rFonts w:ascii="Verdana" w:hAnsi="Verdana"/>
        </w:rPr>
      </w:pPr>
    </w:p>
    <w:p w:rsidR="00865B95" w:rsidRPr="001C5F43" w:rsidRDefault="00283B68"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1C5F43">
        <w:rPr>
          <w:rFonts w:ascii="Verdana" w:hAnsi="Verdana"/>
          <w:lang w:val="en-GB" w:eastAsia="en-GB"/>
        </w:rPr>
        <w:t xml:space="preserve">Using as measures of job quality the proportion in graduate jobs, in jobs </w:t>
      </w:r>
      <w:r w:rsidR="00901132">
        <w:rPr>
          <w:rFonts w:ascii="Verdana" w:hAnsi="Verdana"/>
          <w:lang w:val="en-GB" w:eastAsia="en-GB"/>
        </w:rPr>
        <w:t>where</w:t>
      </w:r>
      <w:r w:rsidRPr="001C5F43">
        <w:rPr>
          <w:rFonts w:ascii="Verdana" w:hAnsi="Verdana"/>
          <w:lang w:val="en-GB" w:eastAsia="en-GB"/>
        </w:rPr>
        <w:t xml:space="preserve"> the graduate believes their degree was needed or was at least an advantage, and </w:t>
      </w:r>
      <w:r w:rsidRPr="00DA4BDF">
        <w:rPr>
          <w:rFonts w:ascii="Verdana" w:hAnsi="Verdana"/>
          <w:lang w:val="en-GB" w:eastAsia="en-GB"/>
        </w:rPr>
        <w:t xml:space="preserve">in jobs that fitted their career plans, men seem to be </w:t>
      </w:r>
      <w:r w:rsidR="00296EB2" w:rsidRPr="00DA4BDF">
        <w:rPr>
          <w:rFonts w:ascii="Verdana" w:hAnsi="Verdana"/>
          <w:lang w:val="en-GB" w:eastAsia="en-GB"/>
        </w:rPr>
        <w:t>more successful than women in their initial employment.</w:t>
      </w:r>
    </w:p>
    <w:p w:rsidR="007C07B1" w:rsidRPr="00DA4BDF" w:rsidRDefault="007C07B1"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t xml:space="preserve">Of the employment characteristics shown in </w:t>
      </w:r>
      <w:r w:rsidR="001C5F43" w:rsidRPr="001C5F43">
        <w:rPr>
          <w:rFonts w:ascii="Verdana" w:hAnsi="Verdana"/>
          <w:lang w:val="en-GB" w:eastAsia="en-GB"/>
        </w:rPr>
        <w:t>T</w:t>
      </w:r>
      <w:r w:rsidRPr="00DA4BDF">
        <w:rPr>
          <w:rFonts w:ascii="Verdana" w:hAnsi="Verdana"/>
          <w:lang w:val="en-GB" w:eastAsia="en-GB"/>
        </w:rPr>
        <w:t xml:space="preserve">able A3, having a ‘graduate job’ is most objective. </w:t>
      </w:r>
      <w:r w:rsidR="00296EB2" w:rsidRPr="00DA4BDF">
        <w:rPr>
          <w:rFonts w:ascii="Verdana" w:hAnsi="Verdana"/>
          <w:lang w:val="en-GB" w:eastAsia="en-GB"/>
        </w:rPr>
        <w:t>While i</w:t>
      </w:r>
      <w:r w:rsidRPr="00DA4BDF">
        <w:rPr>
          <w:rFonts w:ascii="Verdana" w:hAnsi="Verdana"/>
          <w:lang w:val="en-GB" w:eastAsia="en-GB"/>
        </w:rPr>
        <w:t xml:space="preserve">t does depend on the </w:t>
      </w:r>
      <w:r w:rsidR="00296EB2" w:rsidRPr="00DA4BDF">
        <w:rPr>
          <w:rFonts w:ascii="Verdana" w:hAnsi="Verdana"/>
          <w:lang w:val="en-GB" w:eastAsia="en-GB"/>
        </w:rPr>
        <w:t xml:space="preserve">graduate's </w:t>
      </w:r>
      <w:r w:rsidRPr="00DA4BDF">
        <w:rPr>
          <w:rFonts w:ascii="Verdana" w:hAnsi="Verdana"/>
          <w:lang w:val="en-GB" w:eastAsia="en-GB"/>
        </w:rPr>
        <w:t xml:space="preserve">description of the job, </w:t>
      </w:r>
      <w:r w:rsidR="00296EB2" w:rsidRPr="00DA4BDF">
        <w:rPr>
          <w:rFonts w:ascii="Verdana" w:hAnsi="Verdana"/>
          <w:lang w:val="en-GB" w:eastAsia="en-GB"/>
        </w:rPr>
        <w:t xml:space="preserve">it does not depend on their </w:t>
      </w:r>
      <w:r w:rsidRPr="00DA4BDF">
        <w:rPr>
          <w:rFonts w:ascii="Verdana" w:hAnsi="Verdana"/>
          <w:lang w:val="en-GB" w:eastAsia="en-GB"/>
        </w:rPr>
        <w:t xml:space="preserve">judgement or aspirations. Also, unlike salary, the data </w:t>
      </w:r>
      <w:r w:rsidR="00F75EC7" w:rsidRPr="00DA4BDF">
        <w:rPr>
          <w:rFonts w:ascii="Verdana" w:hAnsi="Verdana"/>
          <w:lang w:val="en-GB" w:eastAsia="en-GB"/>
        </w:rPr>
        <w:t xml:space="preserve">used to classify jobs as graduate and non-graduate </w:t>
      </w:r>
      <w:r w:rsidRPr="00DA4BDF">
        <w:rPr>
          <w:rFonts w:ascii="Verdana" w:hAnsi="Verdana"/>
          <w:lang w:val="en-GB" w:eastAsia="en-GB"/>
        </w:rPr>
        <w:t>is available for almost all DLHE respondents, so this six percentage point difference between men and women is likely to be real.</w:t>
      </w:r>
    </w:p>
    <w:p w:rsidR="007C07B1" w:rsidRPr="00DA4BDF" w:rsidRDefault="007C07B1"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t xml:space="preserve"> These employment characteristic statistics need to be taken in the context of the lower participation, higher drop out</w:t>
      </w:r>
      <w:r w:rsidR="00F75EC7" w:rsidRPr="00DA4BDF">
        <w:rPr>
          <w:rFonts w:ascii="Verdana" w:hAnsi="Verdana"/>
          <w:lang w:val="en-GB" w:eastAsia="en-GB"/>
        </w:rPr>
        <w:t>,</w:t>
      </w:r>
      <w:r w:rsidRPr="00DA4BDF">
        <w:rPr>
          <w:rFonts w:ascii="Verdana" w:hAnsi="Verdana"/>
          <w:lang w:val="en-GB" w:eastAsia="en-GB"/>
        </w:rPr>
        <w:t xml:space="preserve"> and higher unemployment </w:t>
      </w:r>
      <w:r w:rsidR="00F75EC7" w:rsidRPr="00DA4BDF">
        <w:rPr>
          <w:rFonts w:ascii="Verdana" w:hAnsi="Verdana"/>
          <w:lang w:val="en-GB" w:eastAsia="en-GB"/>
        </w:rPr>
        <w:t xml:space="preserve">rates for </w:t>
      </w:r>
      <w:r w:rsidRPr="00DA4BDF">
        <w:rPr>
          <w:rFonts w:ascii="Verdana" w:hAnsi="Verdana"/>
          <w:lang w:val="en-GB" w:eastAsia="en-GB"/>
        </w:rPr>
        <w:t xml:space="preserve">of men. </w:t>
      </w:r>
      <w:r w:rsidR="001C5F43" w:rsidRPr="001C5F43">
        <w:rPr>
          <w:rFonts w:ascii="Verdana" w:hAnsi="Verdana"/>
          <w:lang w:val="en-GB" w:eastAsia="en-GB"/>
        </w:rPr>
        <w:t>C</w:t>
      </w:r>
      <w:r w:rsidR="00296EB2" w:rsidRPr="00DA4BDF">
        <w:rPr>
          <w:rFonts w:ascii="Verdana" w:hAnsi="Verdana"/>
          <w:lang w:val="en-GB" w:eastAsia="en-GB"/>
        </w:rPr>
        <w:t>ombined, t</w:t>
      </w:r>
      <w:r w:rsidRPr="00DA4BDF">
        <w:rPr>
          <w:rFonts w:ascii="Verdana" w:hAnsi="Verdana"/>
          <w:lang w:val="en-GB" w:eastAsia="en-GB"/>
        </w:rPr>
        <w:t xml:space="preserve">hese factors </w:t>
      </w:r>
      <w:r w:rsidR="00296EB2" w:rsidRPr="00DA4BDF">
        <w:rPr>
          <w:rFonts w:ascii="Verdana" w:hAnsi="Verdana"/>
          <w:lang w:val="en-GB" w:eastAsia="en-GB"/>
        </w:rPr>
        <w:t xml:space="preserve">mean </w:t>
      </w:r>
      <w:r w:rsidRPr="00DA4BDF">
        <w:rPr>
          <w:rFonts w:ascii="Verdana" w:hAnsi="Verdana"/>
          <w:lang w:val="en-GB" w:eastAsia="en-GB"/>
        </w:rPr>
        <w:t xml:space="preserve">that only 44 per cent of the graduate jobs are </w:t>
      </w:r>
      <w:r w:rsidR="00204CB1" w:rsidRPr="00DA4BDF">
        <w:rPr>
          <w:rFonts w:ascii="Verdana" w:hAnsi="Verdana"/>
          <w:lang w:val="en-GB" w:eastAsia="en-GB"/>
        </w:rPr>
        <w:t xml:space="preserve">held by </w:t>
      </w:r>
      <w:r w:rsidRPr="00DA4BDF">
        <w:rPr>
          <w:rFonts w:ascii="Verdana" w:hAnsi="Verdana"/>
          <w:lang w:val="en-GB" w:eastAsia="en-GB"/>
        </w:rPr>
        <w:t>men, even though the male population is larger.</w:t>
      </w:r>
      <w:r w:rsidR="00D766C4" w:rsidRPr="00DA4BDF">
        <w:rPr>
          <w:rFonts w:ascii="Verdana" w:hAnsi="Verdana"/>
          <w:lang w:val="en-GB" w:eastAsia="en-GB"/>
        </w:rPr>
        <w:t xml:space="preserve">  </w:t>
      </w:r>
      <w:r w:rsidR="00296EB2" w:rsidRPr="00DA4BDF">
        <w:rPr>
          <w:rFonts w:ascii="Verdana" w:hAnsi="Verdana"/>
          <w:lang w:val="en-GB" w:eastAsia="en-GB"/>
        </w:rPr>
        <w:t>T</w:t>
      </w:r>
      <w:r w:rsidR="00D766C4" w:rsidRPr="00DA4BDF">
        <w:rPr>
          <w:rFonts w:ascii="Verdana" w:hAnsi="Verdana"/>
          <w:lang w:val="en-GB" w:eastAsia="en-GB"/>
        </w:rPr>
        <w:t xml:space="preserve">o the extent that men are </w:t>
      </w:r>
      <w:r w:rsidR="000F64B4" w:rsidRPr="00DA4BDF">
        <w:rPr>
          <w:rFonts w:ascii="Verdana" w:hAnsi="Verdana"/>
          <w:lang w:val="en-GB" w:eastAsia="en-GB"/>
        </w:rPr>
        <w:t>disadvantaged</w:t>
      </w:r>
      <w:r w:rsidR="00D766C4" w:rsidRPr="00DA4BDF">
        <w:rPr>
          <w:rFonts w:ascii="Verdana" w:hAnsi="Verdana"/>
          <w:lang w:val="en-GB" w:eastAsia="en-GB"/>
        </w:rPr>
        <w:t xml:space="preserve">, their disadvantage </w:t>
      </w:r>
      <w:r w:rsidR="00296EB2" w:rsidRPr="00DA4BDF">
        <w:rPr>
          <w:rFonts w:ascii="Verdana" w:hAnsi="Verdana"/>
          <w:lang w:val="en-GB" w:eastAsia="en-GB"/>
        </w:rPr>
        <w:t>appears to arise from</w:t>
      </w:r>
      <w:r w:rsidR="00D766C4" w:rsidRPr="00DA4BDF">
        <w:rPr>
          <w:rFonts w:ascii="Verdana" w:hAnsi="Verdana"/>
          <w:lang w:val="en-GB" w:eastAsia="en-GB"/>
        </w:rPr>
        <w:t xml:space="preserve"> their </w:t>
      </w:r>
      <w:r w:rsidR="00296EB2" w:rsidRPr="00DA4BDF">
        <w:rPr>
          <w:rFonts w:ascii="Verdana" w:hAnsi="Verdana"/>
          <w:lang w:val="en-GB" w:eastAsia="en-GB"/>
        </w:rPr>
        <w:t xml:space="preserve">lower </w:t>
      </w:r>
      <w:r w:rsidR="00D766C4" w:rsidRPr="00DA4BDF">
        <w:rPr>
          <w:rFonts w:ascii="Verdana" w:hAnsi="Verdana"/>
          <w:lang w:val="en-GB" w:eastAsia="en-GB"/>
        </w:rPr>
        <w:t xml:space="preserve">participation in higher education, and in their </w:t>
      </w:r>
      <w:r w:rsidR="00296EB2" w:rsidRPr="00DA4BDF">
        <w:rPr>
          <w:rFonts w:ascii="Verdana" w:hAnsi="Verdana"/>
          <w:lang w:val="en-GB" w:eastAsia="en-GB"/>
        </w:rPr>
        <w:t xml:space="preserve">subsequent </w:t>
      </w:r>
      <w:r w:rsidR="00D766C4" w:rsidRPr="00DA4BDF">
        <w:rPr>
          <w:rFonts w:ascii="Verdana" w:hAnsi="Verdana"/>
          <w:lang w:val="en-GB" w:eastAsia="en-GB"/>
        </w:rPr>
        <w:t xml:space="preserve">performance once </w:t>
      </w:r>
      <w:r w:rsidR="00296EB2" w:rsidRPr="00DA4BDF">
        <w:rPr>
          <w:rFonts w:ascii="Verdana" w:hAnsi="Verdana"/>
          <w:lang w:val="en-GB" w:eastAsia="en-GB"/>
        </w:rPr>
        <w:t>there</w:t>
      </w:r>
      <w:r w:rsidR="00D766C4" w:rsidRPr="00DA4BDF">
        <w:rPr>
          <w:rFonts w:ascii="Verdana" w:hAnsi="Verdana"/>
          <w:lang w:val="en-GB" w:eastAsia="en-GB"/>
        </w:rPr>
        <w:t xml:space="preserve">.  </w:t>
      </w:r>
      <w:r w:rsidR="00204CB1" w:rsidRPr="00DA4BDF">
        <w:rPr>
          <w:rFonts w:ascii="Verdana" w:hAnsi="Verdana"/>
          <w:lang w:val="en-GB" w:eastAsia="en-GB"/>
        </w:rPr>
        <w:t>Women appear to ha</w:t>
      </w:r>
      <w:r w:rsidR="00D766C4" w:rsidRPr="00DA4BDF">
        <w:rPr>
          <w:rFonts w:ascii="Verdana" w:hAnsi="Verdana"/>
          <w:lang w:val="en-GB" w:eastAsia="en-GB"/>
        </w:rPr>
        <w:t>ve the</w:t>
      </w:r>
      <w:r w:rsidR="00204CB1" w:rsidRPr="00DA4BDF">
        <w:rPr>
          <w:rFonts w:ascii="Verdana" w:hAnsi="Verdana"/>
          <w:lang w:val="en-GB" w:eastAsia="en-GB"/>
        </w:rPr>
        <w:t xml:space="preserve"> </w:t>
      </w:r>
      <w:r w:rsidR="00D766C4" w:rsidRPr="00DA4BDF">
        <w:rPr>
          <w:rFonts w:ascii="Verdana" w:hAnsi="Verdana"/>
          <w:lang w:val="en-GB" w:eastAsia="en-GB"/>
        </w:rPr>
        <w:t xml:space="preserve">advantage over men when it comes to participation in higher </w:t>
      </w:r>
      <w:r w:rsidR="000F64B4" w:rsidRPr="00DA4BDF">
        <w:rPr>
          <w:rFonts w:ascii="Verdana" w:hAnsi="Verdana"/>
          <w:lang w:val="en-GB" w:eastAsia="en-GB"/>
        </w:rPr>
        <w:t>education</w:t>
      </w:r>
      <w:r w:rsidR="00D766C4" w:rsidRPr="00DA4BDF">
        <w:rPr>
          <w:rFonts w:ascii="Verdana" w:hAnsi="Verdana"/>
          <w:lang w:val="en-GB" w:eastAsia="en-GB"/>
        </w:rPr>
        <w:t xml:space="preserve"> and their </w:t>
      </w:r>
      <w:r w:rsidR="000F64B4" w:rsidRPr="00DA4BDF">
        <w:rPr>
          <w:rFonts w:ascii="Verdana" w:hAnsi="Verdana"/>
          <w:lang w:val="en-GB" w:eastAsia="en-GB"/>
        </w:rPr>
        <w:t>subsequent</w:t>
      </w:r>
      <w:r w:rsidR="00D766C4" w:rsidRPr="00DA4BDF">
        <w:rPr>
          <w:rFonts w:ascii="Verdana" w:hAnsi="Verdana"/>
          <w:lang w:val="en-GB" w:eastAsia="en-GB"/>
        </w:rPr>
        <w:t xml:space="preserve"> </w:t>
      </w:r>
      <w:r w:rsidR="00296EB2" w:rsidRPr="00DA4BDF">
        <w:rPr>
          <w:rFonts w:ascii="Verdana" w:hAnsi="Verdana"/>
          <w:lang w:val="en-GB" w:eastAsia="en-GB"/>
        </w:rPr>
        <w:t>HE</w:t>
      </w:r>
      <w:r w:rsidR="00D766C4" w:rsidRPr="00DA4BDF">
        <w:rPr>
          <w:rFonts w:ascii="Verdana" w:hAnsi="Verdana"/>
          <w:lang w:val="en-GB" w:eastAsia="en-GB"/>
        </w:rPr>
        <w:t xml:space="preserve"> performance, but to be disadvantaged in key respects in the transition to work.</w:t>
      </w:r>
    </w:p>
    <w:p w:rsidR="00AD6EED" w:rsidRPr="00DA4BDF" w:rsidRDefault="00AD6EED" w:rsidP="00623C36">
      <w:pPr>
        <w:pStyle w:val="Heading2"/>
        <w:spacing w:before="120" w:after="240" w:line="240" w:lineRule="auto"/>
        <w:rPr>
          <w:bCs w:val="0"/>
          <w:iCs w:val="0"/>
          <w:sz w:val="24"/>
          <w:szCs w:val="28"/>
          <w:lang w:val="en-US" w:eastAsia="en-US"/>
        </w:rPr>
      </w:pPr>
      <w:r w:rsidRPr="00DA4BDF">
        <w:rPr>
          <w:bCs w:val="0"/>
          <w:iCs w:val="0"/>
          <w:sz w:val="24"/>
          <w:szCs w:val="28"/>
          <w:lang w:val="en-US" w:eastAsia="en-US"/>
        </w:rPr>
        <w:t>Activities of 2004-05 graduates three and a half years after qualifying</w:t>
      </w:r>
    </w:p>
    <w:p w:rsidR="00AD6EED" w:rsidRPr="00DA4BDF" w:rsidRDefault="00596CA0"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t>The information about graduates three and a half years after graduation is based on a sample survey carried out by IFF Research, using contact details provided by HEIs and a sampling frame defined by HESA.</w:t>
      </w:r>
    </w:p>
    <w:p w:rsidR="00596CA0" w:rsidRPr="00DA4BDF" w:rsidRDefault="00596CA0"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t>The sampling was complex, in part dependent on the contact information that was available. Overall, of the graduates who could potentially have been included</w:t>
      </w:r>
      <w:r w:rsidR="00F75EC7" w:rsidRPr="00DA4BDF">
        <w:rPr>
          <w:rFonts w:ascii="Verdana" w:hAnsi="Verdana"/>
          <w:lang w:val="en-GB" w:eastAsia="en-GB"/>
        </w:rPr>
        <w:t>,</w:t>
      </w:r>
      <w:r w:rsidRPr="00DA4BDF">
        <w:rPr>
          <w:rFonts w:ascii="Verdana" w:hAnsi="Verdana"/>
          <w:lang w:val="en-GB" w:eastAsia="en-GB"/>
        </w:rPr>
        <w:t xml:space="preserve"> 9.4 per cent </w:t>
      </w:r>
      <w:r w:rsidR="00901132">
        <w:rPr>
          <w:rFonts w:ascii="Verdana" w:hAnsi="Verdana"/>
          <w:lang w:val="en-GB" w:eastAsia="en-GB"/>
        </w:rPr>
        <w:t>of</w:t>
      </w:r>
      <w:r w:rsidRPr="00DA4BDF">
        <w:rPr>
          <w:rFonts w:ascii="Verdana" w:hAnsi="Verdana"/>
          <w:lang w:val="en-GB" w:eastAsia="en-GB"/>
        </w:rPr>
        <w:t xml:space="preserve"> the men and 10.9 per</w:t>
      </w:r>
      <w:r w:rsidR="00136C5E">
        <w:rPr>
          <w:rFonts w:ascii="Verdana" w:hAnsi="Verdana"/>
          <w:lang w:val="en-GB" w:eastAsia="en-GB"/>
        </w:rPr>
        <w:t xml:space="preserve"> </w:t>
      </w:r>
      <w:r w:rsidRPr="00DA4BDF">
        <w:rPr>
          <w:rFonts w:ascii="Verdana" w:hAnsi="Verdana"/>
          <w:lang w:val="en-GB" w:eastAsia="en-GB"/>
        </w:rPr>
        <w:t>cent of the women responded to the survey. The difference in these response rates could introduce different relative response biases, and this uncertainty needs to be borne in mind in interpreting the results.</w:t>
      </w:r>
    </w:p>
    <w:p w:rsidR="00F75EC7" w:rsidRPr="00DA4BDF" w:rsidRDefault="00911A9F"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lastRenderedPageBreak/>
        <w:t xml:space="preserve">Table A4 shows the reported activities of the respondents to the </w:t>
      </w:r>
      <w:r w:rsidR="00FE2C5F" w:rsidRPr="00DA4BDF">
        <w:rPr>
          <w:rFonts w:ascii="Verdana" w:hAnsi="Verdana"/>
          <w:lang w:val="en-GB" w:eastAsia="en-GB"/>
        </w:rPr>
        <w:t>DLHE Longitudinal</w:t>
      </w:r>
      <w:r w:rsidRPr="00DA4BDF">
        <w:rPr>
          <w:rFonts w:ascii="Verdana" w:hAnsi="Verdana"/>
          <w:lang w:val="en-GB" w:eastAsia="en-GB"/>
        </w:rPr>
        <w:t xml:space="preserve"> survey. </w:t>
      </w:r>
      <w:r w:rsidR="00F75EC7" w:rsidRPr="00DA4BDF">
        <w:rPr>
          <w:rFonts w:ascii="Verdana" w:hAnsi="Verdana"/>
          <w:lang w:val="en-GB" w:eastAsia="en-GB"/>
        </w:rPr>
        <w:t xml:space="preserve">Unlike the snapshot taken shortly after graduation, the proportions of male and female graduates in employment are almost equal, and the unemployment rates are much closer. </w:t>
      </w:r>
    </w:p>
    <w:p w:rsidR="00911A9F" w:rsidRPr="00DA4BDF" w:rsidRDefault="00911A9F" w:rsidP="00C42576">
      <w:pPr>
        <w:pStyle w:val="Heading2"/>
        <w:spacing w:line="240" w:lineRule="auto"/>
        <w:rPr>
          <w:b w:val="0"/>
          <w:bCs w:val="0"/>
          <w:iCs w:val="0"/>
          <w:u w:val="single"/>
        </w:rPr>
      </w:pPr>
      <w:r w:rsidRPr="00DA4BDF">
        <w:rPr>
          <w:b w:val="0"/>
          <w:bCs w:val="0"/>
          <w:iCs w:val="0"/>
          <w:u w:val="single"/>
        </w:rPr>
        <w:t>Table A4: Activities three and a half years after graduation</w:t>
      </w:r>
      <w:r w:rsidR="00623C36" w:rsidRPr="00DA4BDF">
        <w:rPr>
          <w:b w:val="0"/>
          <w:bCs w:val="0"/>
          <w:iCs w:val="0"/>
          <w:u w:val="single"/>
        </w:rPr>
        <w:t xml:space="preserve"> </w:t>
      </w:r>
      <w:r w:rsidRPr="00DA4BDF">
        <w:rPr>
          <w:b w:val="0"/>
          <w:bCs w:val="0"/>
          <w:iCs w:val="0"/>
          <w:u w:val="single"/>
        </w:rPr>
        <w:t>(Young full-time home graduates, weighted 2004-05 DLHE Longitudinal data)</w:t>
      </w: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384"/>
        <w:gridCol w:w="1275"/>
        <w:gridCol w:w="1701"/>
      </w:tblGrid>
      <w:tr w:rsidR="00911A9F" w:rsidRPr="00DA4BDF" w:rsidTr="00AE51A3">
        <w:trPr>
          <w:jc w:val="center"/>
        </w:trPr>
        <w:tc>
          <w:tcPr>
            <w:tcW w:w="2552" w:type="dxa"/>
            <w:vMerge w:val="restart"/>
          </w:tcPr>
          <w:p w:rsidR="00911A9F" w:rsidRPr="00DA4BDF" w:rsidRDefault="00911A9F" w:rsidP="00C42576">
            <w:pPr>
              <w:keepNext/>
              <w:spacing w:line="240" w:lineRule="auto"/>
              <w:jc w:val="center"/>
              <w:rPr>
                <w:rFonts w:ascii="Verdana" w:hAnsi="Verdana"/>
                <w:b/>
                <w:sz w:val="20"/>
                <w:szCs w:val="22"/>
              </w:rPr>
            </w:pPr>
          </w:p>
          <w:p w:rsidR="00911A9F" w:rsidRPr="00DA4BDF" w:rsidRDefault="00911A9F" w:rsidP="00C42576">
            <w:pPr>
              <w:keepNext/>
              <w:spacing w:line="240" w:lineRule="auto"/>
              <w:jc w:val="center"/>
              <w:rPr>
                <w:rFonts w:ascii="Verdana" w:hAnsi="Verdana"/>
                <w:b/>
                <w:sz w:val="20"/>
                <w:szCs w:val="22"/>
              </w:rPr>
            </w:pPr>
            <w:r w:rsidRPr="00DA4BDF">
              <w:rPr>
                <w:rFonts w:ascii="Verdana" w:hAnsi="Verdana"/>
                <w:b/>
                <w:sz w:val="20"/>
                <w:szCs w:val="22"/>
              </w:rPr>
              <w:t>Activity</w:t>
            </w:r>
          </w:p>
        </w:tc>
        <w:tc>
          <w:tcPr>
            <w:tcW w:w="4360" w:type="dxa"/>
            <w:gridSpan w:val="3"/>
            <w:vAlign w:val="bottom"/>
          </w:tcPr>
          <w:p w:rsidR="00911A9F" w:rsidRPr="00DA4BDF" w:rsidRDefault="00911A9F" w:rsidP="00AE51A3">
            <w:pPr>
              <w:keepNext/>
              <w:spacing w:line="240" w:lineRule="auto"/>
              <w:jc w:val="center"/>
              <w:rPr>
                <w:rFonts w:ascii="Verdana" w:hAnsi="Verdana"/>
                <w:b/>
                <w:sz w:val="20"/>
                <w:szCs w:val="22"/>
              </w:rPr>
            </w:pPr>
            <w:r w:rsidRPr="00DA4BDF">
              <w:rPr>
                <w:rFonts w:ascii="Verdana" w:hAnsi="Verdana"/>
                <w:b/>
                <w:sz w:val="20"/>
                <w:szCs w:val="22"/>
              </w:rPr>
              <w:t>% of all activities</w:t>
            </w:r>
          </w:p>
        </w:tc>
      </w:tr>
      <w:tr w:rsidR="00911A9F" w:rsidRPr="00DA4BDF" w:rsidTr="00AE51A3">
        <w:trPr>
          <w:jc w:val="center"/>
        </w:trPr>
        <w:tc>
          <w:tcPr>
            <w:tcW w:w="2552" w:type="dxa"/>
            <w:vMerge/>
          </w:tcPr>
          <w:p w:rsidR="00911A9F" w:rsidRPr="00DA4BDF" w:rsidRDefault="00911A9F" w:rsidP="00C42576">
            <w:pPr>
              <w:keepNext/>
              <w:spacing w:line="240" w:lineRule="auto"/>
              <w:rPr>
                <w:rFonts w:ascii="Verdana" w:hAnsi="Verdana"/>
                <w:sz w:val="20"/>
                <w:szCs w:val="22"/>
              </w:rPr>
            </w:pPr>
          </w:p>
        </w:tc>
        <w:tc>
          <w:tcPr>
            <w:tcW w:w="1384" w:type="dxa"/>
            <w:vAlign w:val="bottom"/>
          </w:tcPr>
          <w:p w:rsidR="00911A9F" w:rsidRPr="00DA4BDF" w:rsidRDefault="00911A9F" w:rsidP="00AE51A3">
            <w:pPr>
              <w:keepNext/>
              <w:spacing w:line="240" w:lineRule="auto"/>
              <w:jc w:val="center"/>
              <w:rPr>
                <w:rFonts w:ascii="Verdana" w:hAnsi="Verdana"/>
                <w:b/>
                <w:sz w:val="20"/>
                <w:szCs w:val="22"/>
              </w:rPr>
            </w:pPr>
            <w:r w:rsidRPr="00DA4BDF">
              <w:rPr>
                <w:rFonts w:ascii="Verdana" w:hAnsi="Verdana"/>
                <w:b/>
                <w:sz w:val="20"/>
                <w:szCs w:val="22"/>
              </w:rPr>
              <w:t>Men</w:t>
            </w:r>
          </w:p>
        </w:tc>
        <w:tc>
          <w:tcPr>
            <w:tcW w:w="1275" w:type="dxa"/>
            <w:vAlign w:val="bottom"/>
          </w:tcPr>
          <w:p w:rsidR="00911A9F" w:rsidRPr="00DA4BDF" w:rsidRDefault="00911A9F" w:rsidP="00AE51A3">
            <w:pPr>
              <w:keepNext/>
              <w:spacing w:line="240" w:lineRule="auto"/>
              <w:jc w:val="center"/>
              <w:rPr>
                <w:rFonts w:ascii="Verdana" w:hAnsi="Verdana"/>
                <w:b/>
                <w:sz w:val="20"/>
                <w:szCs w:val="22"/>
              </w:rPr>
            </w:pPr>
            <w:r w:rsidRPr="00DA4BDF">
              <w:rPr>
                <w:rFonts w:ascii="Verdana" w:hAnsi="Verdana"/>
                <w:b/>
                <w:sz w:val="20"/>
                <w:szCs w:val="22"/>
              </w:rPr>
              <w:t>Women</w:t>
            </w:r>
          </w:p>
        </w:tc>
        <w:tc>
          <w:tcPr>
            <w:tcW w:w="1701" w:type="dxa"/>
            <w:vAlign w:val="bottom"/>
          </w:tcPr>
          <w:p w:rsidR="00911A9F" w:rsidRPr="00DA4BDF" w:rsidRDefault="00911A9F" w:rsidP="00AE51A3">
            <w:pPr>
              <w:keepNext/>
              <w:spacing w:line="240" w:lineRule="auto"/>
              <w:jc w:val="center"/>
              <w:rPr>
                <w:rFonts w:ascii="Verdana" w:hAnsi="Verdana"/>
                <w:b/>
                <w:sz w:val="20"/>
                <w:szCs w:val="22"/>
              </w:rPr>
            </w:pPr>
            <w:r w:rsidRPr="00DA4BDF">
              <w:rPr>
                <w:rFonts w:ascii="Verdana" w:hAnsi="Verdana"/>
                <w:b/>
                <w:sz w:val="20"/>
                <w:szCs w:val="22"/>
              </w:rPr>
              <w:t>Difference</w:t>
            </w:r>
          </w:p>
        </w:tc>
      </w:tr>
      <w:tr w:rsidR="00911A9F" w:rsidRPr="00DA4BDF" w:rsidTr="00AE51A3">
        <w:trPr>
          <w:jc w:val="center"/>
        </w:trPr>
        <w:tc>
          <w:tcPr>
            <w:tcW w:w="2552" w:type="dxa"/>
            <w:vAlign w:val="bottom"/>
          </w:tcPr>
          <w:p w:rsidR="00911A9F" w:rsidRPr="00DA4BDF" w:rsidRDefault="00911A9F" w:rsidP="00C42576">
            <w:pPr>
              <w:keepNext/>
              <w:spacing w:line="240" w:lineRule="auto"/>
              <w:rPr>
                <w:rFonts w:ascii="Verdana" w:hAnsi="Verdana" w:cs="Arial"/>
                <w:sz w:val="20"/>
                <w:szCs w:val="22"/>
              </w:rPr>
            </w:pPr>
            <w:r w:rsidRPr="00DA4BDF">
              <w:rPr>
                <w:rFonts w:ascii="Verdana" w:hAnsi="Verdana" w:cs="Arial"/>
                <w:sz w:val="20"/>
                <w:szCs w:val="22"/>
              </w:rPr>
              <w:t>Full-time paid work</w:t>
            </w:r>
          </w:p>
        </w:tc>
        <w:tc>
          <w:tcPr>
            <w:tcW w:w="1384"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81%</w:t>
            </w:r>
          </w:p>
        </w:tc>
        <w:tc>
          <w:tcPr>
            <w:tcW w:w="1275"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81%</w:t>
            </w:r>
          </w:p>
        </w:tc>
        <w:tc>
          <w:tcPr>
            <w:tcW w:w="1701"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0.3%</w:t>
            </w:r>
          </w:p>
        </w:tc>
      </w:tr>
      <w:tr w:rsidR="00911A9F" w:rsidRPr="00DA4BDF" w:rsidTr="00AE51A3">
        <w:trPr>
          <w:jc w:val="center"/>
        </w:trPr>
        <w:tc>
          <w:tcPr>
            <w:tcW w:w="2552" w:type="dxa"/>
            <w:vAlign w:val="bottom"/>
          </w:tcPr>
          <w:p w:rsidR="00911A9F" w:rsidRPr="00DA4BDF" w:rsidRDefault="00911A9F" w:rsidP="00C42576">
            <w:pPr>
              <w:keepNext/>
              <w:spacing w:line="240" w:lineRule="auto"/>
              <w:rPr>
                <w:rFonts w:ascii="Verdana" w:hAnsi="Verdana" w:cs="Arial"/>
                <w:sz w:val="20"/>
                <w:szCs w:val="22"/>
              </w:rPr>
            </w:pPr>
            <w:r w:rsidRPr="00DA4BDF">
              <w:rPr>
                <w:rFonts w:ascii="Verdana" w:hAnsi="Verdana" w:cs="Arial"/>
                <w:sz w:val="20"/>
                <w:szCs w:val="22"/>
              </w:rPr>
              <w:t>Part-time paid work</w:t>
            </w:r>
          </w:p>
        </w:tc>
        <w:tc>
          <w:tcPr>
            <w:tcW w:w="1384"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3%</w:t>
            </w:r>
          </w:p>
        </w:tc>
        <w:tc>
          <w:tcPr>
            <w:tcW w:w="1275"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5%</w:t>
            </w:r>
          </w:p>
        </w:tc>
        <w:tc>
          <w:tcPr>
            <w:tcW w:w="1701"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-1.6%</w:t>
            </w:r>
          </w:p>
        </w:tc>
      </w:tr>
      <w:tr w:rsidR="00911A9F" w:rsidRPr="00DA4BDF" w:rsidTr="00AE51A3">
        <w:trPr>
          <w:jc w:val="center"/>
        </w:trPr>
        <w:tc>
          <w:tcPr>
            <w:tcW w:w="2552" w:type="dxa"/>
            <w:vAlign w:val="bottom"/>
          </w:tcPr>
          <w:p w:rsidR="00911A9F" w:rsidRPr="00DA4BDF" w:rsidRDefault="00911A9F" w:rsidP="00C42576">
            <w:pPr>
              <w:keepNext/>
              <w:spacing w:line="240" w:lineRule="auto"/>
              <w:rPr>
                <w:rFonts w:ascii="Verdana" w:hAnsi="Verdana" w:cs="Arial"/>
                <w:sz w:val="20"/>
                <w:szCs w:val="22"/>
              </w:rPr>
            </w:pPr>
            <w:r w:rsidRPr="00DA4BDF">
              <w:rPr>
                <w:rFonts w:ascii="Verdana" w:hAnsi="Verdana" w:cs="Arial"/>
                <w:sz w:val="20"/>
                <w:szCs w:val="22"/>
              </w:rPr>
              <w:t>Self-employed</w:t>
            </w:r>
          </w:p>
        </w:tc>
        <w:tc>
          <w:tcPr>
            <w:tcW w:w="1384"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5%</w:t>
            </w:r>
          </w:p>
        </w:tc>
        <w:tc>
          <w:tcPr>
            <w:tcW w:w="1275"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2%</w:t>
            </w:r>
          </w:p>
        </w:tc>
        <w:tc>
          <w:tcPr>
            <w:tcW w:w="1701"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2.1%</w:t>
            </w:r>
          </w:p>
        </w:tc>
      </w:tr>
      <w:tr w:rsidR="00911A9F" w:rsidRPr="00DA4BDF" w:rsidTr="00AE51A3">
        <w:trPr>
          <w:jc w:val="center"/>
        </w:trPr>
        <w:tc>
          <w:tcPr>
            <w:tcW w:w="2552" w:type="dxa"/>
            <w:vAlign w:val="bottom"/>
          </w:tcPr>
          <w:p w:rsidR="00911A9F" w:rsidRPr="00DA4BDF" w:rsidRDefault="00911A9F" w:rsidP="00C42576">
            <w:pPr>
              <w:keepNext/>
              <w:spacing w:line="240" w:lineRule="auto"/>
              <w:rPr>
                <w:rFonts w:ascii="Verdana" w:hAnsi="Verdana" w:cs="Arial"/>
                <w:sz w:val="20"/>
                <w:szCs w:val="22"/>
              </w:rPr>
            </w:pPr>
            <w:r w:rsidRPr="00DA4BDF">
              <w:rPr>
                <w:rFonts w:ascii="Verdana" w:hAnsi="Verdana" w:cs="Arial"/>
                <w:sz w:val="20"/>
                <w:szCs w:val="22"/>
              </w:rPr>
              <w:t>Other employment</w:t>
            </w:r>
          </w:p>
        </w:tc>
        <w:tc>
          <w:tcPr>
            <w:tcW w:w="1384"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1%</w:t>
            </w:r>
          </w:p>
        </w:tc>
        <w:tc>
          <w:tcPr>
            <w:tcW w:w="1275"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1%</w:t>
            </w:r>
          </w:p>
        </w:tc>
        <w:tc>
          <w:tcPr>
            <w:tcW w:w="1701"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-0.2%</w:t>
            </w:r>
          </w:p>
        </w:tc>
      </w:tr>
      <w:tr w:rsidR="00911A9F" w:rsidRPr="00DA4BDF" w:rsidTr="00AE51A3">
        <w:trPr>
          <w:jc w:val="center"/>
        </w:trPr>
        <w:tc>
          <w:tcPr>
            <w:tcW w:w="2552" w:type="dxa"/>
            <w:vAlign w:val="bottom"/>
          </w:tcPr>
          <w:p w:rsidR="00911A9F" w:rsidRPr="00DA4BDF" w:rsidRDefault="00911A9F" w:rsidP="00C42576">
            <w:pPr>
              <w:keepNext/>
              <w:spacing w:line="240" w:lineRule="auto"/>
              <w:rPr>
                <w:rFonts w:ascii="Verdana" w:hAnsi="Verdana" w:cs="Arial"/>
                <w:sz w:val="20"/>
                <w:szCs w:val="22"/>
              </w:rPr>
            </w:pPr>
            <w:r w:rsidRPr="00DA4BDF">
              <w:rPr>
                <w:rFonts w:ascii="Verdana" w:hAnsi="Verdana" w:cs="Arial"/>
                <w:sz w:val="20"/>
                <w:szCs w:val="22"/>
              </w:rPr>
              <w:t>Further study only</w:t>
            </w:r>
          </w:p>
        </w:tc>
        <w:tc>
          <w:tcPr>
            <w:tcW w:w="1384"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7%</w:t>
            </w:r>
          </w:p>
        </w:tc>
        <w:tc>
          <w:tcPr>
            <w:tcW w:w="1275"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8%</w:t>
            </w:r>
          </w:p>
        </w:tc>
        <w:tc>
          <w:tcPr>
            <w:tcW w:w="1701"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-0.8%</w:t>
            </w:r>
          </w:p>
        </w:tc>
      </w:tr>
      <w:tr w:rsidR="00911A9F" w:rsidRPr="00DA4BDF" w:rsidTr="00AE51A3">
        <w:trPr>
          <w:jc w:val="center"/>
        </w:trPr>
        <w:tc>
          <w:tcPr>
            <w:tcW w:w="2552" w:type="dxa"/>
            <w:vAlign w:val="bottom"/>
          </w:tcPr>
          <w:p w:rsidR="00911A9F" w:rsidRPr="00DA4BDF" w:rsidRDefault="00911A9F" w:rsidP="00C42576">
            <w:pPr>
              <w:keepNext/>
              <w:spacing w:line="240" w:lineRule="auto"/>
              <w:rPr>
                <w:rFonts w:ascii="Verdana" w:hAnsi="Verdana" w:cs="Arial"/>
                <w:sz w:val="20"/>
                <w:szCs w:val="22"/>
              </w:rPr>
            </w:pPr>
            <w:r w:rsidRPr="00DA4BDF">
              <w:rPr>
                <w:rFonts w:ascii="Verdana" w:hAnsi="Verdana" w:cs="Arial"/>
                <w:sz w:val="20"/>
                <w:szCs w:val="22"/>
              </w:rPr>
              <w:t>Unemployed</w:t>
            </w:r>
          </w:p>
        </w:tc>
        <w:tc>
          <w:tcPr>
            <w:tcW w:w="1384"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3%</w:t>
            </w:r>
          </w:p>
        </w:tc>
        <w:tc>
          <w:tcPr>
            <w:tcW w:w="1275"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2%</w:t>
            </w:r>
          </w:p>
        </w:tc>
        <w:tc>
          <w:tcPr>
            <w:tcW w:w="1701"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1.2%</w:t>
            </w:r>
          </w:p>
        </w:tc>
      </w:tr>
      <w:tr w:rsidR="00911A9F" w:rsidRPr="00DA4BDF" w:rsidTr="00AE51A3">
        <w:trPr>
          <w:jc w:val="center"/>
        </w:trPr>
        <w:tc>
          <w:tcPr>
            <w:tcW w:w="2552" w:type="dxa"/>
            <w:vAlign w:val="bottom"/>
          </w:tcPr>
          <w:p w:rsidR="00911A9F" w:rsidRPr="00DA4BDF" w:rsidRDefault="00911A9F" w:rsidP="00C42576">
            <w:pPr>
              <w:keepNext/>
              <w:spacing w:line="240" w:lineRule="auto"/>
              <w:rPr>
                <w:rFonts w:ascii="Verdana" w:hAnsi="Verdana" w:cs="Arial"/>
                <w:sz w:val="20"/>
                <w:szCs w:val="22"/>
              </w:rPr>
            </w:pPr>
            <w:r w:rsidRPr="00DA4BDF">
              <w:rPr>
                <w:rFonts w:ascii="Verdana" w:hAnsi="Verdana" w:cs="Arial"/>
                <w:sz w:val="20"/>
                <w:szCs w:val="22"/>
              </w:rPr>
              <w:t>Unavailable for work</w:t>
            </w:r>
          </w:p>
        </w:tc>
        <w:tc>
          <w:tcPr>
            <w:tcW w:w="1384"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1%</w:t>
            </w:r>
          </w:p>
        </w:tc>
        <w:tc>
          <w:tcPr>
            <w:tcW w:w="1275"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2%</w:t>
            </w:r>
          </w:p>
        </w:tc>
        <w:tc>
          <w:tcPr>
            <w:tcW w:w="1701"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-1.0%</w:t>
            </w:r>
          </w:p>
        </w:tc>
      </w:tr>
      <w:tr w:rsidR="00911A9F" w:rsidRPr="00DA4BDF" w:rsidTr="00AE51A3">
        <w:trPr>
          <w:jc w:val="center"/>
        </w:trPr>
        <w:tc>
          <w:tcPr>
            <w:tcW w:w="2552" w:type="dxa"/>
            <w:vAlign w:val="bottom"/>
          </w:tcPr>
          <w:p w:rsidR="00911A9F" w:rsidRPr="00DA4BDF" w:rsidRDefault="00911A9F" w:rsidP="00C42576">
            <w:pPr>
              <w:keepNext/>
              <w:spacing w:line="240" w:lineRule="auto"/>
              <w:rPr>
                <w:rFonts w:ascii="Verdana" w:hAnsi="Verdana" w:cs="Arial"/>
                <w:sz w:val="20"/>
                <w:szCs w:val="22"/>
              </w:rPr>
            </w:pPr>
            <w:r w:rsidRPr="00DA4BDF">
              <w:rPr>
                <w:rFonts w:ascii="Verdana" w:hAnsi="Verdana" w:cs="Arial"/>
                <w:sz w:val="20"/>
                <w:szCs w:val="22"/>
              </w:rPr>
              <w:t>Other</w:t>
            </w:r>
          </w:p>
        </w:tc>
        <w:tc>
          <w:tcPr>
            <w:tcW w:w="1384"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0%</w:t>
            </w:r>
          </w:p>
        </w:tc>
        <w:tc>
          <w:tcPr>
            <w:tcW w:w="1275"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0%</w:t>
            </w:r>
          </w:p>
        </w:tc>
        <w:tc>
          <w:tcPr>
            <w:tcW w:w="1701" w:type="dxa"/>
            <w:vAlign w:val="bottom"/>
          </w:tcPr>
          <w:p w:rsidR="00911A9F" w:rsidRPr="00DA4BDF" w:rsidRDefault="00911A9F" w:rsidP="00AE51A3">
            <w:pPr>
              <w:keepNext/>
              <w:spacing w:line="240" w:lineRule="auto"/>
              <w:jc w:val="center"/>
              <w:rPr>
                <w:rFonts w:ascii="Verdana" w:hAnsi="Verdana" w:cs="Arial"/>
                <w:sz w:val="20"/>
                <w:szCs w:val="22"/>
              </w:rPr>
            </w:pPr>
            <w:r w:rsidRPr="00DA4BDF">
              <w:rPr>
                <w:rFonts w:ascii="Verdana" w:hAnsi="Verdana" w:cs="Arial"/>
                <w:sz w:val="20"/>
                <w:szCs w:val="22"/>
              </w:rPr>
              <w:t>0.0%</w:t>
            </w:r>
          </w:p>
        </w:tc>
      </w:tr>
      <w:tr w:rsidR="00911A9F" w:rsidRPr="00DA4BDF" w:rsidTr="00AE51A3">
        <w:trPr>
          <w:jc w:val="center"/>
        </w:trPr>
        <w:tc>
          <w:tcPr>
            <w:tcW w:w="2552" w:type="dxa"/>
            <w:vAlign w:val="bottom"/>
          </w:tcPr>
          <w:p w:rsidR="00911A9F" w:rsidRPr="00DA4BDF" w:rsidRDefault="00911A9F" w:rsidP="00D705A0">
            <w:pPr>
              <w:spacing w:line="240" w:lineRule="auto"/>
              <w:rPr>
                <w:rFonts w:ascii="Verdana" w:hAnsi="Verdana" w:cs="Arial"/>
                <w:b/>
                <w:sz w:val="20"/>
                <w:szCs w:val="22"/>
              </w:rPr>
            </w:pPr>
            <w:r w:rsidRPr="00DA4BDF">
              <w:rPr>
                <w:rFonts w:ascii="Verdana" w:hAnsi="Verdana" w:cs="Arial"/>
                <w:b/>
                <w:sz w:val="20"/>
                <w:szCs w:val="22"/>
              </w:rPr>
              <w:t>All activities</w:t>
            </w:r>
          </w:p>
        </w:tc>
        <w:tc>
          <w:tcPr>
            <w:tcW w:w="1384" w:type="dxa"/>
            <w:vAlign w:val="bottom"/>
          </w:tcPr>
          <w:p w:rsidR="00911A9F" w:rsidRPr="00136C5E" w:rsidRDefault="00911A9F" w:rsidP="00AE51A3">
            <w:pPr>
              <w:spacing w:line="240" w:lineRule="auto"/>
              <w:jc w:val="center"/>
              <w:rPr>
                <w:rFonts w:ascii="Verdana" w:hAnsi="Verdana" w:cs="Arial"/>
                <w:b/>
                <w:sz w:val="20"/>
                <w:szCs w:val="22"/>
              </w:rPr>
            </w:pPr>
            <w:r w:rsidRPr="00136C5E">
              <w:rPr>
                <w:rFonts w:ascii="Verdana" w:hAnsi="Verdana" w:cs="Arial"/>
                <w:b/>
                <w:sz w:val="20"/>
                <w:szCs w:val="22"/>
              </w:rPr>
              <w:t>100%</w:t>
            </w:r>
          </w:p>
        </w:tc>
        <w:tc>
          <w:tcPr>
            <w:tcW w:w="1275" w:type="dxa"/>
            <w:vAlign w:val="bottom"/>
          </w:tcPr>
          <w:p w:rsidR="00911A9F" w:rsidRPr="00136C5E" w:rsidRDefault="00911A9F" w:rsidP="00AE51A3">
            <w:pPr>
              <w:spacing w:line="240" w:lineRule="auto"/>
              <w:jc w:val="center"/>
              <w:rPr>
                <w:rFonts w:ascii="Verdana" w:hAnsi="Verdana" w:cs="Arial"/>
                <w:b/>
                <w:sz w:val="20"/>
                <w:szCs w:val="22"/>
              </w:rPr>
            </w:pPr>
            <w:r w:rsidRPr="00136C5E">
              <w:rPr>
                <w:rFonts w:ascii="Verdana" w:hAnsi="Verdana" w:cs="Arial"/>
                <w:b/>
                <w:sz w:val="20"/>
                <w:szCs w:val="22"/>
              </w:rPr>
              <w:t>100%</w:t>
            </w:r>
          </w:p>
        </w:tc>
        <w:tc>
          <w:tcPr>
            <w:tcW w:w="1701" w:type="dxa"/>
            <w:vAlign w:val="bottom"/>
          </w:tcPr>
          <w:p w:rsidR="00911A9F" w:rsidRPr="00136C5E" w:rsidRDefault="00911A9F" w:rsidP="00AE51A3">
            <w:pPr>
              <w:spacing w:line="240" w:lineRule="auto"/>
              <w:jc w:val="center"/>
              <w:rPr>
                <w:rFonts w:ascii="Verdana" w:hAnsi="Verdana" w:cs="Arial"/>
                <w:b/>
                <w:sz w:val="20"/>
                <w:szCs w:val="22"/>
              </w:rPr>
            </w:pPr>
            <w:r w:rsidRPr="00136C5E">
              <w:rPr>
                <w:rFonts w:ascii="Verdana" w:hAnsi="Verdana" w:cs="Arial"/>
                <w:b/>
                <w:sz w:val="20"/>
                <w:szCs w:val="22"/>
              </w:rPr>
              <w:t>0.0%</w:t>
            </w:r>
          </w:p>
        </w:tc>
      </w:tr>
    </w:tbl>
    <w:p w:rsidR="00B253CA" w:rsidRPr="00DA4BDF" w:rsidRDefault="00B253CA" w:rsidP="003E07F0">
      <w:pPr>
        <w:rPr>
          <w:rFonts w:ascii="Verdana" w:hAnsi="Verdana"/>
          <w:sz w:val="22"/>
          <w:szCs w:val="22"/>
          <w:u w:val="single"/>
        </w:rPr>
      </w:pPr>
      <w:r w:rsidRPr="00DA4BDF">
        <w:rPr>
          <w:rFonts w:ascii="Verdana" w:hAnsi="Verdana"/>
          <w:sz w:val="22"/>
          <w:szCs w:val="22"/>
        </w:rPr>
        <w:t xml:space="preserve"> </w:t>
      </w:r>
    </w:p>
    <w:p w:rsidR="00B253CA" w:rsidRPr="00DA4BDF" w:rsidRDefault="00B253CA"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t>All graduates</w:t>
      </w:r>
      <w:r w:rsidR="00F75EC7" w:rsidRPr="00DA4BDF">
        <w:rPr>
          <w:rFonts w:ascii="Verdana" w:hAnsi="Verdana"/>
          <w:lang w:val="en-GB" w:eastAsia="en-GB"/>
        </w:rPr>
        <w:t>, whether in employment or not,</w:t>
      </w:r>
      <w:r w:rsidRPr="00DA4BDF">
        <w:rPr>
          <w:rFonts w:ascii="Verdana" w:hAnsi="Verdana"/>
          <w:lang w:val="en-GB" w:eastAsia="en-GB"/>
        </w:rPr>
        <w:t xml:space="preserve"> were asked their level of satisfaction with their career so far. Table A5 shows the results.</w:t>
      </w:r>
    </w:p>
    <w:p w:rsidR="00B253CA" w:rsidRPr="00DA4BDF" w:rsidRDefault="00C30F0E" w:rsidP="00623C36">
      <w:pPr>
        <w:pStyle w:val="Heading2"/>
        <w:spacing w:line="240" w:lineRule="auto"/>
        <w:rPr>
          <w:b w:val="0"/>
          <w:bCs w:val="0"/>
          <w:iCs w:val="0"/>
          <w:u w:val="single"/>
        </w:rPr>
      </w:pPr>
      <w:r w:rsidRPr="00DA4BDF">
        <w:rPr>
          <w:b w:val="0"/>
          <w:bCs w:val="0"/>
          <w:iCs w:val="0"/>
          <w:u w:val="single"/>
        </w:rPr>
        <w:t>Table A</w:t>
      </w:r>
      <w:r w:rsidR="00B253CA" w:rsidRPr="00DA4BDF">
        <w:rPr>
          <w:b w:val="0"/>
          <w:bCs w:val="0"/>
          <w:iCs w:val="0"/>
          <w:u w:val="single"/>
        </w:rPr>
        <w:t>5</w:t>
      </w:r>
      <w:r w:rsidRPr="00DA4BDF">
        <w:rPr>
          <w:b w:val="0"/>
          <w:bCs w:val="0"/>
          <w:iCs w:val="0"/>
          <w:u w:val="single"/>
        </w:rPr>
        <w:t xml:space="preserve">: Satisfaction with career </w:t>
      </w:r>
      <w:r w:rsidR="00B253CA" w:rsidRPr="00DA4BDF">
        <w:rPr>
          <w:b w:val="0"/>
          <w:bCs w:val="0"/>
          <w:iCs w:val="0"/>
          <w:u w:val="single"/>
        </w:rPr>
        <w:t>(Y</w:t>
      </w:r>
      <w:r w:rsidR="003E07F0">
        <w:rPr>
          <w:b w:val="0"/>
          <w:bCs w:val="0"/>
          <w:iCs w:val="0"/>
          <w:u w:val="single"/>
        </w:rPr>
        <w:t xml:space="preserve">oung full-time home graduates, </w:t>
      </w:r>
      <w:r w:rsidR="00B253CA" w:rsidRPr="00DA4BDF">
        <w:rPr>
          <w:b w:val="0"/>
          <w:bCs w:val="0"/>
          <w:iCs w:val="0"/>
          <w:u w:val="single"/>
        </w:rPr>
        <w:t>weighted 2004-05 DLHE Longitudinal data)</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2"/>
        <w:gridCol w:w="1591"/>
        <w:gridCol w:w="1591"/>
        <w:gridCol w:w="1592"/>
      </w:tblGrid>
      <w:tr w:rsidR="00C30F0E" w:rsidRPr="00DA4BDF" w:rsidTr="00AE51A3">
        <w:trPr>
          <w:trHeight w:val="243"/>
          <w:jc w:val="center"/>
        </w:trPr>
        <w:tc>
          <w:tcPr>
            <w:tcW w:w="3272" w:type="dxa"/>
            <w:vMerge w:val="restart"/>
          </w:tcPr>
          <w:p w:rsidR="00C30F0E" w:rsidRPr="00DA4BDF" w:rsidRDefault="00C30F0E" w:rsidP="00D705A0">
            <w:pPr>
              <w:spacing w:line="240" w:lineRule="auto"/>
              <w:jc w:val="center"/>
              <w:rPr>
                <w:rFonts w:ascii="Verdana" w:hAnsi="Verdana"/>
                <w:b/>
                <w:sz w:val="20"/>
                <w:szCs w:val="22"/>
              </w:rPr>
            </w:pPr>
            <w:r w:rsidRPr="00DA4BDF">
              <w:rPr>
                <w:rFonts w:ascii="Verdana" w:hAnsi="Verdana"/>
                <w:sz w:val="20"/>
                <w:szCs w:val="22"/>
                <w:u w:val="single"/>
              </w:rPr>
              <w:t xml:space="preserve"> </w:t>
            </w:r>
          </w:p>
          <w:p w:rsidR="00C30F0E" w:rsidRPr="00DA4BDF" w:rsidRDefault="00C30F0E" w:rsidP="00D705A0">
            <w:pPr>
              <w:spacing w:line="240" w:lineRule="auto"/>
              <w:jc w:val="center"/>
              <w:rPr>
                <w:rFonts w:ascii="Verdana" w:hAnsi="Verdana"/>
                <w:b/>
                <w:sz w:val="20"/>
                <w:szCs w:val="22"/>
              </w:rPr>
            </w:pPr>
            <w:r w:rsidRPr="00DA4BDF">
              <w:rPr>
                <w:rFonts w:ascii="Verdana" w:hAnsi="Verdana"/>
                <w:b/>
                <w:sz w:val="20"/>
                <w:szCs w:val="22"/>
              </w:rPr>
              <w:t>Level of satisfaction</w:t>
            </w:r>
          </w:p>
        </w:tc>
        <w:tc>
          <w:tcPr>
            <w:tcW w:w="4774" w:type="dxa"/>
            <w:gridSpan w:val="3"/>
            <w:vAlign w:val="bottom"/>
          </w:tcPr>
          <w:p w:rsidR="00C30F0E" w:rsidRPr="00DA4BDF" w:rsidRDefault="00C30F0E" w:rsidP="00AE51A3">
            <w:pPr>
              <w:spacing w:line="240" w:lineRule="auto"/>
              <w:jc w:val="center"/>
              <w:rPr>
                <w:rFonts w:ascii="Verdana" w:hAnsi="Verdana"/>
                <w:b/>
                <w:sz w:val="20"/>
                <w:szCs w:val="22"/>
              </w:rPr>
            </w:pPr>
            <w:r w:rsidRPr="00DA4BDF">
              <w:rPr>
                <w:rFonts w:ascii="Verdana" w:hAnsi="Verdana"/>
                <w:b/>
                <w:sz w:val="20"/>
                <w:szCs w:val="22"/>
              </w:rPr>
              <w:t>% of all indicating level of satisfaction</w:t>
            </w:r>
          </w:p>
        </w:tc>
      </w:tr>
      <w:tr w:rsidR="00C30F0E" w:rsidRPr="00DA4BDF" w:rsidTr="00AE51A3">
        <w:trPr>
          <w:trHeight w:val="243"/>
          <w:jc w:val="center"/>
        </w:trPr>
        <w:tc>
          <w:tcPr>
            <w:tcW w:w="3272" w:type="dxa"/>
            <w:vMerge/>
          </w:tcPr>
          <w:p w:rsidR="00C30F0E" w:rsidRPr="00DA4BDF" w:rsidRDefault="00C30F0E" w:rsidP="00D705A0">
            <w:pPr>
              <w:spacing w:line="240" w:lineRule="auto"/>
              <w:rPr>
                <w:rFonts w:ascii="Verdana" w:hAnsi="Verdana"/>
                <w:sz w:val="20"/>
                <w:szCs w:val="22"/>
              </w:rPr>
            </w:pPr>
          </w:p>
        </w:tc>
        <w:tc>
          <w:tcPr>
            <w:tcW w:w="1591" w:type="dxa"/>
            <w:vAlign w:val="bottom"/>
          </w:tcPr>
          <w:p w:rsidR="00C30F0E" w:rsidRPr="00DA4BDF" w:rsidRDefault="00C30F0E" w:rsidP="00AE51A3">
            <w:pPr>
              <w:spacing w:line="240" w:lineRule="auto"/>
              <w:jc w:val="center"/>
              <w:rPr>
                <w:rFonts w:ascii="Verdana" w:hAnsi="Verdana"/>
                <w:b/>
                <w:sz w:val="20"/>
                <w:szCs w:val="22"/>
              </w:rPr>
            </w:pPr>
            <w:r w:rsidRPr="00DA4BDF">
              <w:rPr>
                <w:rFonts w:ascii="Verdana" w:hAnsi="Verdana"/>
                <w:b/>
                <w:sz w:val="20"/>
                <w:szCs w:val="22"/>
              </w:rPr>
              <w:t>Men</w:t>
            </w:r>
          </w:p>
        </w:tc>
        <w:tc>
          <w:tcPr>
            <w:tcW w:w="1591" w:type="dxa"/>
            <w:vAlign w:val="bottom"/>
          </w:tcPr>
          <w:p w:rsidR="00C30F0E" w:rsidRPr="00DA4BDF" w:rsidRDefault="00C30F0E" w:rsidP="00AE51A3">
            <w:pPr>
              <w:spacing w:line="240" w:lineRule="auto"/>
              <w:jc w:val="center"/>
              <w:rPr>
                <w:rFonts w:ascii="Verdana" w:hAnsi="Verdana"/>
                <w:b/>
                <w:sz w:val="20"/>
                <w:szCs w:val="22"/>
              </w:rPr>
            </w:pPr>
            <w:r w:rsidRPr="00DA4BDF">
              <w:rPr>
                <w:rFonts w:ascii="Verdana" w:hAnsi="Verdana"/>
                <w:b/>
                <w:sz w:val="20"/>
                <w:szCs w:val="22"/>
              </w:rPr>
              <w:t>Women</w:t>
            </w:r>
          </w:p>
        </w:tc>
        <w:tc>
          <w:tcPr>
            <w:tcW w:w="1592" w:type="dxa"/>
            <w:vAlign w:val="bottom"/>
          </w:tcPr>
          <w:p w:rsidR="00C30F0E" w:rsidRPr="00DA4BDF" w:rsidRDefault="00C30F0E" w:rsidP="00AE51A3">
            <w:pPr>
              <w:spacing w:line="240" w:lineRule="auto"/>
              <w:jc w:val="center"/>
              <w:rPr>
                <w:rFonts w:ascii="Verdana" w:hAnsi="Verdana"/>
                <w:b/>
                <w:sz w:val="20"/>
                <w:szCs w:val="22"/>
              </w:rPr>
            </w:pPr>
            <w:r w:rsidRPr="00DA4BDF">
              <w:rPr>
                <w:rFonts w:ascii="Verdana" w:hAnsi="Verdana"/>
                <w:b/>
                <w:sz w:val="20"/>
                <w:szCs w:val="22"/>
              </w:rPr>
              <w:t>Difference</w:t>
            </w:r>
          </w:p>
        </w:tc>
      </w:tr>
      <w:tr w:rsidR="00C30F0E" w:rsidRPr="00DA4BDF" w:rsidTr="00AE51A3">
        <w:trPr>
          <w:trHeight w:val="243"/>
          <w:jc w:val="center"/>
        </w:trPr>
        <w:tc>
          <w:tcPr>
            <w:tcW w:w="3272" w:type="dxa"/>
          </w:tcPr>
          <w:p w:rsidR="00C30F0E" w:rsidRPr="00DA4BDF" w:rsidRDefault="00C30F0E" w:rsidP="00D705A0">
            <w:pPr>
              <w:spacing w:line="240" w:lineRule="auto"/>
              <w:rPr>
                <w:rFonts w:ascii="Verdana" w:hAnsi="Verdana" w:cs="Arial"/>
                <w:b/>
                <w:sz w:val="20"/>
                <w:szCs w:val="22"/>
              </w:rPr>
            </w:pPr>
            <w:r w:rsidRPr="00DA4BDF">
              <w:rPr>
                <w:rFonts w:ascii="Verdana" w:hAnsi="Verdana"/>
                <w:sz w:val="20"/>
                <w:szCs w:val="22"/>
              </w:rPr>
              <w:t xml:space="preserve">“Very” </w:t>
            </w:r>
          </w:p>
        </w:tc>
        <w:tc>
          <w:tcPr>
            <w:tcW w:w="1591" w:type="dxa"/>
            <w:vAlign w:val="bottom"/>
          </w:tcPr>
          <w:p w:rsidR="00C30F0E" w:rsidRPr="00DA4BDF" w:rsidRDefault="00C30F0E" w:rsidP="00AE51A3">
            <w:pPr>
              <w:spacing w:line="240" w:lineRule="auto"/>
              <w:jc w:val="center"/>
              <w:rPr>
                <w:rFonts w:ascii="Verdana" w:hAnsi="Verdana" w:cs="Arial"/>
                <w:sz w:val="20"/>
                <w:szCs w:val="22"/>
              </w:rPr>
            </w:pPr>
            <w:r w:rsidRPr="00DA4BDF">
              <w:rPr>
                <w:rFonts w:ascii="Verdana" w:hAnsi="Verdana" w:cs="Arial"/>
                <w:sz w:val="20"/>
                <w:szCs w:val="22"/>
              </w:rPr>
              <w:t>34.3%</w:t>
            </w:r>
          </w:p>
        </w:tc>
        <w:tc>
          <w:tcPr>
            <w:tcW w:w="1591" w:type="dxa"/>
            <w:vAlign w:val="bottom"/>
          </w:tcPr>
          <w:p w:rsidR="00C30F0E" w:rsidRPr="00DA4BDF" w:rsidRDefault="00C30F0E" w:rsidP="00AE51A3">
            <w:pPr>
              <w:spacing w:line="240" w:lineRule="auto"/>
              <w:jc w:val="center"/>
              <w:rPr>
                <w:rFonts w:ascii="Verdana" w:hAnsi="Verdana" w:cs="Arial"/>
                <w:sz w:val="20"/>
                <w:szCs w:val="22"/>
              </w:rPr>
            </w:pPr>
            <w:r w:rsidRPr="00DA4BDF">
              <w:rPr>
                <w:rFonts w:ascii="Verdana" w:hAnsi="Verdana" w:cs="Arial"/>
                <w:sz w:val="20"/>
                <w:szCs w:val="22"/>
              </w:rPr>
              <w:t>37.2%</w:t>
            </w:r>
          </w:p>
        </w:tc>
        <w:tc>
          <w:tcPr>
            <w:tcW w:w="1592" w:type="dxa"/>
            <w:vAlign w:val="bottom"/>
          </w:tcPr>
          <w:p w:rsidR="00C30F0E" w:rsidRPr="00DA4BDF" w:rsidRDefault="00C30F0E" w:rsidP="00AE51A3">
            <w:pPr>
              <w:spacing w:line="240" w:lineRule="auto"/>
              <w:jc w:val="center"/>
              <w:rPr>
                <w:rFonts w:ascii="Verdana" w:hAnsi="Verdana" w:cs="Arial"/>
                <w:sz w:val="20"/>
                <w:szCs w:val="22"/>
              </w:rPr>
            </w:pPr>
            <w:r w:rsidRPr="00DA4BDF">
              <w:rPr>
                <w:rFonts w:ascii="Verdana" w:hAnsi="Verdana" w:cs="Arial"/>
                <w:sz w:val="20"/>
                <w:szCs w:val="22"/>
              </w:rPr>
              <w:t>-2.8%</w:t>
            </w:r>
          </w:p>
        </w:tc>
      </w:tr>
      <w:tr w:rsidR="00C30F0E" w:rsidRPr="00DA4BDF" w:rsidTr="00AE51A3">
        <w:trPr>
          <w:trHeight w:val="243"/>
          <w:jc w:val="center"/>
        </w:trPr>
        <w:tc>
          <w:tcPr>
            <w:tcW w:w="3272" w:type="dxa"/>
          </w:tcPr>
          <w:p w:rsidR="00C30F0E" w:rsidRPr="00DA4BDF" w:rsidRDefault="00C30F0E" w:rsidP="00D705A0">
            <w:pPr>
              <w:spacing w:line="240" w:lineRule="auto"/>
              <w:rPr>
                <w:rFonts w:ascii="Verdana" w:hAnsi="Verdana" w:cs="Arial"/>
                <w:sz w:val="20"/>
                <w:szCs w:val="22"/>
              </w:rPr>
            </w:pPr>
            <w:r w:rsidRPr="00DA4BDF">
              <w:rPr>
                <w:rFonts w:ascii="Verdana" w:hAnsi="Verdana"/>
                <w:sz w:val="20"/>
                <w:szCs w:val="22"/>
              </w:rPr>
              <w:t>“Very” or “Fairly”</w:t>
            </w:r>
          </w:p>
        </w:tc>
        <w:tc>
          <w:tcPr>
            <w:tcW w:w="1591" w:type="dxa"/>
            <w:vAlign w:val="bottom"/>
          </w:tcPr>
          <w:p w:rsidR="00C30F0E" w:rsidRPr="00DA4BDF" w:rsidRDefault="00C30F0E" w:rsidP="00AE51A3">
            <w:pPr>
              <w:spacing w:line="240" w:lineRule="auto"/>
              <w:jc w:val="center"/>
              <w:rPr>
                <w:rFonts w:ascii="Verdana" w:hAnsi="Verdana" w:cs="Arial"/>
                <w:sz w:val="20"/>
                <w:szCs w:val="22"/>
              </w:rPr>
            </w:pPr>
            <w:r w:rsidRPr="00DA4BDF">
              <w:rPr>
                <w:rFonts w:ascii="Verdana" w:hAnsi="Verdana" w:cs="Arial"/>
                <w:sz w:val="20"/>
                <w:szCs w:val="22"/>
              </w:rPr>
              <w:t>84.6%</w:t>
            </w:r>
          </w:p>
        </w:tc>
        <w:tc>
          <w:tcPr>
            <w:tcW w:w="1591" w:type="dxa"/>
            <w:vAlign w:val="bottom"/>
          </w:tcPr>
          <w:p w:rsidR="00C30F0E" w:rsidRPr="00DA4BDF" w:rsidRDefault="00C30F0E" w:rsidP="00AE51A3">
            <w:pPr>
              <w:spacing w:line="240" w:lineRule="auto"/>
              <w:jc w:val="center"/>
              <w:rPr>
                <w:rFonts w:ascii="Verdana" w:hAnsi="Verdana" w:cs="Arial"/>
                <w:sz w:val="20"/>
                <w:szCs w:val="22"/>
              </w:rPr>
            </w:pPr>
            <w:r w:rsidRPr="00DA4BDF">
              <w:rPr>
                <w:rFonts w:ascii="Verdana" w:hAnsi="Verdana" w:cs="Arial"/>
                <w:sz w:val="20"/>
                <w:szCs w:val="22"/>
              </w:rPr>
              <w:t>86.1%</w:t>
            </w:r>
          </w:p>
        </w:tc>
        <w:tc>
          <w:tcPr>
            <w:tcW w:w="1592" w:type="dxa"/>
            <w:vAlign w:val="bottom"/>
          </w:tcPr>
          <w:p w:rsidR="00C30F0E" w:rsidRPr="00DA4BDF" w:rsidRDefault="00C30F0E" w:rsidP="00AE51A3">
            <w:pPr>
              <w:spacing w:line="240" w:lineRule="auto"/>
              <w:jc w:val="center"/>
              <w:rPr>
                <w:rFonts w:ascii="Verdana" w:hAnsi="Verdana" w:cs="Arial"/>
                <w:sz w:val="20"/>
                <w:szCs w:val="22"/>
              </w:rPr>
            </w:pPr>
            <w:r w:rsidRPr="00DA4BDF">
              <w:rPr>
                <w:rFonts w:ascii="Verdana" w:hAnsi="Verdana" w:cs="Arial"/>
                <w:sz w:val="20"/>
                <w:szCs w:val="22"/>
              </w:rPr>
              <w:t>-1.5%</w:t>
            </w:r>
          </w:p>
        </w:tc>
      </w:tr>
      <w:tr w:rsidR="00C30F0E" w:rsidRPr="00DA4BDF" w:rsidTr="00AE51A3">
        <w:trPr>
          <w:trHeight w:val="243"/>
          <w:jc w:val="center"/>
        </w:trPr>
        <w:tc>
          <w:tcPr>
            <w:tcW w:w="3272" w:type="dxa"/>
          </w:tcPr>
          <w:p w:rsidR="00C30F0E" w:rsidRPr="00DA4BDF" w:rsidRDefault="00C30F0E" w:rsidP="00D705A0">
            <w:pPr>
              <w:spacing w:line="240" w:lineRule="auto"/>
              <w:rPr>
                <w:rFonts w:ascii="Verdana" w:hAnsi="Verdana" w:cs="Arial"/>
                <w:sz w:val="20"/>
                <w:szCs w:val="22"/>
              </w:rPr>
            </w:pPr>
            <w:r w:rsidRPr="00DA4BDF">
              <w:rPr>
                <w:rFonts w:ascii="Verdana" w:hAnsi="Verdana"/>
                <w:sz w:val="20"/>
                <w:szCs w:val="22"/>
              </w:rPr>
              <w:t>“Very”,  “Fairly” or “Not very”</w:t>
            </w:r>
          </w:p>
        </w:tc>
        <w:tc>
          <w:tcPr>
            <w:tcW w:w="1591" w:type="dxa"/>
            <w:vAlign w:val="bottom"/>
          </w:tcPr>
          <w:p w:rsidR="00C30F0E" w:rsidRPr="00DA4BDF" w:rsidRDefault="00C30F0E" w:rsidP="00AE51A3">
            <w:pPr>
              <w:spacing w:line="240" w:lineRule="auto"/>
              <w:jc w:val="center"/>
              <w:rPr>
                <w:rFonts w:ascii="Verdana" w:hAnsi="Verdana" w:cs="Arial"/>
                <w:sz w:val="20"/>
                <w:szCs w:val="22"/>
              </w:rPr>
            </w:pPr>
            <w:r w:rsidRPr="00DA4BDF">
              <w:rPr>
                <w:rFonts w:ascii="Verdana" w:hAnsi="Verdana" w:cs="Arial"/>
                <w:sz w:val="20"/>
                <w:szCs w:val="22"/>
              </w:rPr>
              <w:t>96.5%</w:t>
            </w:r>
          </w:p>
        </w:tc>
        <w:tc>
          <w:tcPr>
            <w:tcW w:w="1591" w:type="dxa"/>
            <w:vAlign w:val="bottom"/>
          </w:tcPr>
          <w:p w:rsidR="00C30F0E" w:rsidRPr="00DA4BDF" w:rsidRDefault="00C30F0E" w:rsidP="00AE51A3">
            <w:pPr>
              <w:spacing w:line="240" w:lineRule="auto"/>
              <w:jc w:val="center"/>
              <w:rPr>
                <w:rFonts w:ascii="Verdana" w:hAnsi="Verdana" w:cs="Arial"/>
                <w:sz w:val="20"/>
                <w:szCs w:val="22"/>
              </w:rPr>
            </w:pPr>
            <w:r w:rsidRPr="00DA4BDF">
              <w:rPr>
                <w:rFonts w:ascii="Verdana" w:hAnsi="Verdana" w:cs="Arial"/>
                <w:sz w:val="20"/>
                <w:szCs w:val="22"/>
              </w:rPr>
              <w:t>96.5%</w:t>
            </w:r>
          </w:p>
        </w:tc>
        <w:tc>
          <w:tcPr>
            <w:tcW w:w="1592" w:type="dxa"/>
            <w:vAlign w:val="bottom"/>
          </w:tcPr>
          <w:p w:rsidR="00C30F0E" w:rsidRPr="00DA4BDF" w:rsidRDefault="00C30F0E" w:rsidP="00AE51A3">
            <w:pPr>
              <w:spacing w:line="240" w:lineRule="auto"/>
              <w:jc w:val="center"/>
              <w:rPr>
                <w:rFonts w:ascii="Verdana" w:hAnsi="Verdana" w:cs="Arial"/>
                <w:sz w:val="20"/>
                <w:szCs w:val="22"/>
              </w:rPr>
            </w:pPr>
            <w:r w:rsidRPr="00DA4BDF">
              <w:rPr>
                <w:rFonts w:ascii="Verdana" w:hAnsi="Verdana" w:cs="Arial"/>
                <w:sz w:val="20"/>
                <w:szCs w:val="22"/>
              </w:rPr>
              <w:t>0.0%</w:t>
            </w:r>
          </w:p>
        </w:tc>
      </w:tr>
      <w:tr w:rsidR="00C30F0E" w:rsidRPr="00DA4BDF" w:rsidTr="00AE51A3">
        <w:trPr>
          <w:trHeight w:val="243"/>
          <w:jc w:val="center"/>
        </w:trPr>
        <w:tc>
          <w:tcPr>
            <w:tcW w:w="3272" w:type="dxa"/>
          </w:tcPr>
          <w:p w:rsidR="00C30F0E" w:rsidRPr="00136C5E" w:rsidRDefault="00C30F0E" w:rsidP="00D705A0">
            <w:pPr>
              <w:spacing w:line="240" w:lineRule="auto"/>
              <w:rPr>
                <w:rFonts w:ascii="Verdana" w:hAnsi="Verdana" w:cs="Arial"/>
                <w:b/>
                <w:sz w:val="20"/>
                <w:szCs w:val="22"/>
              </w:rPr>
            </w:pPr>
            <w:r w:rsidRPr="00136C5E">
              <w:rPr>
                <w:rFonts w:ascii="Verdana" w:hAnsi="Verdana" w:cs="Arial"/>
                <w:b/>
                <w:sz w:val="20"/>
                <w:szCs w:val="22"/>
              </w:rPr>
              <w:t>All levels of satisfaction</w:t>
            </w:r>
          </w:p>
        </w:tc>
        <w:tc>
          <w:tcPr>
            <w:tcW w:w="1591" w:type="dxa"/>
            <w:vAlign w:val="bottom"/>
          </w:tcPr>
          <w:p w:rsidR="00C30F0E" w:rsidRPr="00136C5E" w:rsidRDefault="00C30F0E" w:rsidP="00AE51A3">
            <w:pPr>
              <w:spacing w:line="240" w:lineRule="auto"/>
              <w:jc w:val="center"/>
              <w:rPr>
                <w:rFonts w:ascii="Verdana" w:hAnsi="Verdana" w:cs="Arial"/>
                <w:b/>
                <w:sz w:val="20"/>
                <w:szCs w:val="22"/>
              </w:rPr>
            </w:pPr>
            <w:r w:rsidRPr="00136C5E">
              <w:rPr>
                <w:rFonts w:ascii="Verdana" w:hAnsi="Verdana" w:cs="Arial"/>
                <w:b/>
                <w:sz w:val="20"/>
                <w:szCs w:val="22"/>
              </w:rPr>
              <w:t>100.0%</w:t>
            </w:r>
          </w:p>
        </w:tc>
        <w:tc>
          <w:tcPr>
            <w:tcW w:w="1591" w:type="dxa"/>
            <w:vAlign w:val="bottom"/>
          </w:tcPr>
          <w:p w:rsidR="00C30F0E" w:rsidRPr="00136C5E" w:rsidRDefault="00C30F0E" w:rsidP="00AE51A3">
            <w:pPr>
              <w:spacing w:line="240" w:lineRule="auto"/>
              <w:jc w:val="center"/>
              <w:rPr>
                <w:rFonts w:ascii="Verdana" w:hAnsi="Verdana" w:cs="Arial"/>
                <w:b/>
                <w:sz w:val="20"/>
                <w:szCs w:val="22"/>
              </w:rPr>
            </w:pPr>
            <w:r w:rsidRPr="00136C5E">
              <w:rPr>
                <w:rFonts w:ascii="Verdana" w:hAnsi="Verdana" w:cs="Arial"/>
                <w:b/>
                <w:sz w:val="20"/>
                <w:szCs w:val="22"/>
              </w:rPr>
              <w:t>100.0%</w:t>
            </w:r>
          </w:p>
        </w:tc>
        <w:tc>
          <w:tcPr>
            <w:tcW w:w="1592" w:type="dxa"/>
            <w:vAlign w:val="bottom"/>
          </w:tcPr>
          <w:p w:rsidR="00C30F0E" w:rsidRPr="00136C5E" w:rsidRDefault="00C30F0E" w:rsidP="00AE51A3">
            <w:pPr>
              <w:spacing w:line="240" w:lineRule="auto"/>
              <w:jc w:val="center"/>
              <w:rPr>
                <w:rFonts w:ascii="Verdana" w:hAnsi="Verdana" w:cs="Arial"/>
                <w:b/>
                <w:sz w:val="20"/>
                <w:szCs w:val="22"/>
              </w:rPr>
            </w:pPr>
            <w:r w:rsidRPr="00136C5E">
              <w:rPr>
                <w:rFonts w:ascii="Verdana" w:hAnsi="Verdana" w:cs="Arial"/>
                <w:b/>
                <w:sz w:val="20"/>
                <w:szCs w:val="22"/>
              </w:rPr>
              <w:t>0.0%</w:t>
            </w:r>
          </w:p>
        </w:tc>
      </w:tr>
    </w:tbl>
    <w:p w:rsidR="00C007D7" w:rsidRPr="00DA4BDF" w:rsidRDefault="00C007D7" w:rsidP="003E07F0">
      <w:pPr>
        <w:rPr>
          <w:rFonts w:ascii="Verdana" w:hAnsi="Verdana"/>
          <w:sz w:val="22"/>
          <w:szCs w:val="22"/>
          <w:u w:val="single"/>
        </w:rPr>
      </w:pPr>
    </w:p>
    <w:p w:rsidR="00C007D7" w:rsidRPr="00DA4BDF" w:rsidRDefault="00C007D7"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t>Larger proportions of women expressed high levels of satisfaction</w:t>
      </w:r>
      <w:r w:rsidR="00296EB2" w:rsidRPr="00DA4BDF">
        <w:rPr>
          <w:rFonts w:ascii="Verdana" w:hAnsi="Verdana"/>
          <w:lang w:val="en-GB" w:eastAsia="en-GB"/>
        </w:rPr>
        <w:t xml:space="preserve"> with their career</w:t>
      </w:r>
      <w:r w:rsidRPr="00DA4BDF">
        <w:rPr>
          <w:rFonts w:ascii="Verdana" w:hAnsi="Verdana"/>
          <w:lang w:val="en-GB" w:eastAsia="en-GB"/>
        </w:rPr>
        <w:t xml:space="preserve">. Less than </w:t>
      </w:r>
      <w:r w:rsidR="00296EB2" w:rsidRPr="00DA4BDF">
        <w:rPr>
          <w:rFonts w:ascii="Verdana" w:hAnsi="Verdana"/>
          <w:lang w:val="en-GB" w:eastAsia="en-GB"/>
        </w:rPr>
        <w:t>4</w:t>
      </w:r>
      <w:r w:rsidRPr="00DA4BDF">
        <w:rPr>
          <w:rFonts w:ascii="Verdana" w:hAnsi="Verdana"/>
          <w:lang w:val="en-GB" w:eastAsia="en-GB"/>
        </w:rPr>
        <w:t xml:space="preserve"> per cent of </w:t>
      </w:r>
      <w:r w:rsidR="00296EB2" w:rsidRPr="00DA4BDF">
        <w:rPr>
          <w:rFonts w:ascii="Verdana" w:hAnsi="Verdana"/>
          <w:lang w:val="en-GB" w:eastAsia="en-GB"/>
        </w:rPr>
        <w:t>all respondents</w:t>
      </w:r>
      <w:r w:rsidRPr="00DA4BDF">
        <w:rPr>
          <w:rFonts w:ascii="Verdana" w:hAnsi="Verdana"/>
          <w:lang w:val="en-GB" w:eastAsia="en-GB"/>
        </w:rPr>
        <w:t xml:space="preserve"> were ‘not at all’ satisfied.</w:t>
      </w:r>
      <w:r w:rsidR="00296EB2" w:rsidRPr="00DA4BDF">
        <w:rPr>
          <w:rFonts w:ascii="Verdana" w:hAnsi="Verdana"/>
          <w:lang w:val="en-GB" w:eastAsia="en-GB"/>
        </w:rPr>
        <w:t xml:space="preserve">  </w:t>
      </w:r>
      <w:r w:rsidRPr="00DA4BDF">
        <w:rPr>
          <w:rFonts w:ascii="Verdana" w:hAnsi="Verdana"/>
          <w:lang w:val="en-GB" w:eastAsia="en-GB"/>
        </w:rPr>
        <w:t xml:space="preserve">Responses to this satisfaction question do not provide an objective measure. Some will be more satisfied with lower achievements than others. However, the question does give a measure </w:t>
      </w:r>
      <w:r w:rsidR="00433E29" w:rsidRPr="00DA4BDF">
        <w:rPr>
          <w:rFonts w:ascii="Verdana" w:hAnsi="Verdana"/>
          <w:lang w:val="en-GB" w:eastAsia="en-GB"/>
        </w:rPr>
        <w:t xml:space="preserve">of </w:t>
      </w:r>
      <w:r w:rsidRPr="00DA4BDF">
        <w:rPr>
          <w:rFonts w:ascii="Verdana" w:hAnsi="Verdana"/>
          <w:lang w:val="en-GB" w:eastAsia="en-GB"/>
        </w:rPr>
        <w:t xml:space="preserve">success for graduates across all activities, using their criteria as to what is important. </w:t>
      </w:r>
    </w:p>
    <w:p w:rsidR="00B27104" w:rsidRPr="00DA4BDF" w:rsidRDefault="00402FCF"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t>For the 81 per cent of graduates in full-time employment</w:t>
      </w:r>
      <w:r w:rsidR="00F75EC7" w:rsidRPr="00DA4BDF">
        <w:rPr>
          <w:rFonts w:ascii="Verdana" w:hAnsi="Verdana"/>
          <w:lang w:val="en-GB" w:eastAsia="en-GB"/>
        </w:rPr>
        <w:t>,</w:t>
      </w:r>
      <w:r w:rsidR="003E07F0">
        <w:rPr>
          <w:rFonts w:ascii="Verdana" w:hAnsi="Verdana"/>
          <w:lang w:val="en-GB" w:eastAsia="en-GB"/>
        </w:rPr>
        <w:t xml:space="preserve"> T</w:t>
      </w:r>
      <w:r w:rsidRPr="00DA4BDF">
        <w:rPr>
          <w:rFonts w:ascii="Verdana" w:hAnsi="Verdana"/>
          <w:lang w:val="en-GB" w:eastAsia="en-GB"/>
        </w:rPr>
        <w:t xml:space="preserve">able A6 shows that men report higher average salaries measured by the median or the mean. </w:t>
      </w:r>
      <w:r w:rsidR="00C42576" w:rsidRPr="00DA4BDF">
        <w:rPr>
          <w:rFonts w:ascii="Verdana" w:hAnsi="Verdana"/>
          <w:lang w:val="en-GB" w:eastAsia="en-GB"/>
        </w:rPr>
        <w:t>Like the DLHE, the salary data for graduates in other types of employment is less reliable.</w:t>
      </w:r>
    </w:p>
    <w:p w:rsidR="009121BB" w:rsidRPr="00DA4BDF" w:rsidRDefault="00296EB2"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t xml:space="preserve">Broadly, </w:t>
      </w:r>
      <w:r w:rsidR="00402FCF" w:rsidRPr="00DA4BDF">
        <w:rPr>
          <w:rFonts w:ascii="Verdana" w:hAnsi="Verdana"/>
          <w:lang w:val="en-GB" w:eastAsia="en-GB"/>
        </w:rPr>
        <w:t>difference</w:t>
      </w:r>
      <w:r w:rsidR="004B448B">
        <w:rPr>
          <w:rFonts w:ascii="Verdana" w:hAnsi="Verdana"/>
          <w:lang w:val="en-GB" w:eastAsia="en-GB"/>
        </w:rPr>
        <w:t>s</w:t>
      </w:r>
      <w:r w:rsidR="00402FCF" w:rsidRPr="00DA4BDF">
        <w:rPr>
          <w:rFonts w:ascii="Verdana" w:hAnsi="Verdana"/>
          <w:lang w:val="en-GB" w:eastAsia="en-GB"/>
        </w:rPr>
        <w:t xml:space="preserve"> between men and women in median salaries </w:t>
      </w:r>
      <w:r w:rsidRPr="00DA4BDF">
        <w:rPr>
          <w:rFonts w:ascii="Verdana" w:hAnsi="Verdana"/>
          <w:lang w:val="en-GB" w:eastAsia="en-GB"/>
        </w:rPr>
        <w:t xml:space="preserve">six months after graduation appears similar to </w:t>
      </w:r>
      <w:r w:rsidR="004B448B">
        <w:rPr>
          <w:rFonts w:ascii="Verdana" w:hAnsi="Verdana"/>
          <w:lang w:val="en-GB" w:eastAsia="en-GB"/>
        </w:rPr>
        <w:t xml:space="preserve">those of the </w:t>
      </w:r>
      <w:r w:rsidR="00402FCF" w:rsidRPr="00DA4BDF">
        <w:rPr>
          <w:rFonts w:ascii="Verdana" w:hAnsi="Verdana"/>
          <w:lang w:val="en-GB" w:eastAsia="en-GB"/>
        </w:rPr>
        <w:t>2007-08</w:t>
      </w:r>
      <w:r w:rsidR="004B448B">
        <w:rPr>
          <w:rFonts w:ascii="Verdana" w:hAnsi="Verdana"/>
          <w:lang w:val="en-GB" w:eastAsia="en-GB"/>
        </w:rPr>
        <w:t xml:space="preserve"> cohort</w:t>
      </w:r>
      <w:r w:rsidR="00402FCF" w:rsidRPr="00DA4BDF">
        <w:rPr>
          <w:rFonts w:ascii="Verdana" w:hAnsi="Verdana"/>
          <w:lang w:val="en-GB" w:eastAsia="en-GB"/>
        </w:rPr>
        <w:t>, while the difference in mean salaries is a</w:t>
      </w:r>
      <w:r w:rsidR="00B27104" w:rsidRPr="00DA4BDF">
        <w:rPr>
          <w:rFonts w:ascii="Verdana" w:hAnsi="Verdana"/>
          <w:lang w:val="en-GB" w:eastAsia="en-GB"/>
        </w:rPr>
        <w:t>bout</w:t>
      </w:r>
      <w:r w:rsidR="00402FCF" w:rsidRPr="00DA4BDF">
        <w:rPr>
          <w:rFonts w:ascii="Verdana" w:hAnsi="Verdana"/>
          <w:lang w:val="en-GB" w:eastAsia="en-GB"/>
        </w:rPr>
        <w:t xml:space="preserve"> twice as great. Further analysis of the distribution of salaries is needed to see what lies behind these figures, but they are consistent</w:t>
      </w:r>
      <w:r w:rsidR="00FE2C5F" w:rsidRPr="00DA4BDF">
        <w:rPr>
          <w:rFonts w:ascii="Verdana" w:hAnsi="Verdana"/>
          <w:lang w:val="en-GB" w:eastAsia="en-GB"/>
        </w:rPr>
        <w:t xml:space="preserve"> with the existence of a </w:t>
      </w:r>
      <w:r w:rsidR="00402FCF" w:rsidRPr="00DA4BDF">
        <w:rPr>
          <w:rFonts w:ascii="Verdana" w:hAnsi="Verdana"/>
          <w:lang w:val="en-GB" w:eastAsia="en-GB"/>
        </w:rPr>
        <w:t>highly paid mostly male group gaining higher increases in pay than the average.</w:t>
      </w:r>
    </w:p>
    <w:p w:rsidR="00402FCF" w:rsidRPr="001C5F43" w:rsidRDefault="00402FCF" w:rsidP="001C5F43">
      <w:pPr>
        <w:pStyle w:val="Heading2"/>
        <w:spacing w:line="240" w:lineRule="auto"/>
        <w:rPr>
          <w:b w:val="0"/>
          <w:bCs w:val="0"/>
          <w:iCs w:val="0"/>
          <w:u w:val="single"/>
        </w:rPr>
      </w:pPr>
      <w:r w:rsidRPr="001C5F43">
        <w:rPr>
          <w:b w:val="0"/>
          <w:bCs w:val="0"/>
          <w:iCs w:val="0"/>
          <w:u w:val="single"/>
        </w:rPr>
        <w:lastRenderedPageBreak/>
        <w:t xml:space="preserve">Table A6: Salaries (Young full-time </w:t>
      </w:r>
      <w:r w:rsidR="00D32B8D" w:rsidRPr="001C5F43">
        <w:rPr>
          <w:b w:val="0"/>
          <w:bCs w:val="0"/>
          <w:iCs w:val="0"/>
          <w:u w:val="single"/>
        </w:rPr>
        <w:t xml:space="preserve">home </w:t>
      </w:r>
      <w:r w:rsidRPr="001C5F43">
        <w:rPr>
          <w:b w:val="0"/>
          <w:bCs w:val="0"/>
          <w:iCs w:val="0"/>
          <w:u w:val="single"/>
        </w:rPr>
        <w:t>graduate</w:t>
      </w:r>
      <w:r w:rsidR="00AE51A3">
        <w:rPr>
          <w:b w:val="0"/>
          <w:bCs w:val="0"/>
          <w:iCs w:val="0"/>
          <w:u w:val="single"/>
        </w:rPr>
        <w:t>s</w:t>
      </w:r>
      <w:r w:rsidR="00D32B8D">
        <w:rPr>
          <w:b w:val="0"/>
          <w:bCs w:val="0"/>
          <w:iCs w:val="0"/>
          <w:u w:val="single"/>
        </w:rPr>
        <w:t xml:space="preserve"> in full-time employment</w:t>
      </w:r>
      <w:r w:rsidR="00AE51A3">
        <w:rPr>
          <w:b w:val="0"/>
          <w:bCs w:val="0"/>
          <w:iCs w:val="0"/>
          <w:u w:val="single"/>
        </w:rPr>
        <w:t xml:space="preserve">, weighted </w:t>
      </w:r>
      <w:r w:rsidR="00901132">
        <w:rPr>
          <w:b w:val="0"/>
          <w:bCs w:val="0"/>
          <w:iCs w:val="0"/>
          <w:u w:val="single"/>
        </w:rPr>
        <w:t xml:space="preserve">2004-05 DLHE Longitudinal </w:t>
      </w:r>
      <w:r w:rsidRPr="001C5F43">
        <w:rPr>
          <w:b w:val="0"/>
          <w:bCs w:val="0"/>
          <w:iCs w:val="0"/>
          <w:u w:val="single"/>
        </w:rPr>
        <w:t>data)</w:t>
      </w:r>
    </w:p>
    <w:tbl>
      <w:tblPr>
        <w:tblW w:w="6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1134"/>
        <w:gridCol w:w="1134"/>
        <w:gridCol w:w="1418"/>
        <w:gridCol w:w="1829"/>
      </w:tblGrid>
      <w:tr w:rsidR="00C30F0E" w:rsidRPr="00DA4BDF" w:rsidTr="00AE51A3">
        <w:trPr>
          <w:jc w:val="center"/>
        </w:trPr>
        <w:tc>
          <w:tcPr>
            <w:tcW w:w="1022" w:type="dxa"/>
          </w:tcPr>
          <w:p w:rsidR="00C30F0E" w:rsidRPr="00DA4BDF" w:rsidRDefault="00C30F0E" w:rsidP="00D705A0">
            <w:pPr>
              <w:spacing w:line="240" w:lineRule="auto"/>
              <w:rPr>
                <w:rFonts w:ascii="Verdana" w:hAnsi="Verdana"/>
                <w:sz w:val="20"/>
              </w:rPr>
            </w:pPr>
          </w:p>
        </w:tc>
        <w:tc>
          <w:tcPr>
            <w:tcW w:w="1134" w:type="dxa"/>
            <w:vAlign w:val="bottom"/>
          </w:tcPr>
          <w:p w:rsidR="00C30F0E" w:rsidRPr="00136C5E" w:rsidRDefault="00C30F0E" w:rsidP="00AE51A3">
            <w:pPr>
              <w:spacing w:line="240" w:lineRule="auto"/>
              <w:jc w:val="center"/>
              <w:rPr>
                <w:rFonts w:ascii="Verdana" w:hAnsi="Verdana"/>
                <w:b/>
                <w:sz w:val="20"/>
              </w:rPr>
            </w:pPr>
          </w:p>
          <w:p w:rsidR="00C30F0E" w:rsidRPr="00136C5E" w:rsidRDefault="00C30F0E" w:rsidP="00AE51A3">
            <w:pPr>
              <w:spacing w:line="240" w:lineRule="auto"/>
              <w:jc w:val="center"/>
              <w:rPr>
                <w:rFonts w:ascii="Verdana" w:hAnsi="Verdana"/>
                <w:b/>
                <w:sz w:val="20"/>
              </w:rPr>
            </w:pPr>
            <w:r w:rsidRPr="00136C5E">
              <w:rPr>
                <w:rFonts w:ascii="Verdana" w:hAnsi="Verdana"/>
                <w:b/>
                <w:sz w:val="20"/>
              </w:rPr>
              <w:t>Men</w:t>
            </w:r>
          </w:p>
        </w:tc>
        <w:tc>
          <w:tcPr>
            <w:tcW w:w="1134" w:type="dxa"/>
            <w:vAlign w:val="bottom"/>
          </w:tcPr>
          <w:p w:rsidR="00C30F0E" w:rsidRPr="00136C5E" w:rsidRDefault="00C30F0E" w:rsidP="00AE51A3">
            <w:pPr>
              <w:spacing w:line="240" w:lineRule="auto"/>
              <w:jc w:val="center"/>
              <w:rPr>
                <w:rFonts w:ascii="Verdana" w:hAnsi="Verdana"/>
                <w:b/>
                <w:sz w:val="20"/>
              </w:rPr>
            </w:pPr>
          </w:p>
          <w:p w:rsidR="00C30F0E" w:rsidRPr="00136C5E" w:rsidRDefault="00C30F0E" w:rsidP="00AE51A3">
            <w:pPr>
              <w:spacing w:line="240" w:lineRule="auto"/>
              <w:jc w:val="center"/>
              <w:rPr>
                <w:rFonts w:ascii="Verdana" w:hAnsi="Verdana"/>
                <w:b/>
                <w:sz w:val="20"/>
              </w:rPr>
            </w:pPr>
            <w:r w:rsidRPr="00136C5E">
              <w:rPr>
                <w:rFonts w:ascii="Verdana" w:hAnsi="Verdana"/>
                <w:b/>
                <w:sz w:val="20"/>
              </w:rPr>
              <w:t>Women</w:t>
            </w:r>
          </w:p>
        </w:tc>
        <w:tc>
          <w:tcPr>
            <w:tcW w:w="1418" w:type="dxa"/>
            <w:vAlign w:val="bottom"/>
          </w:tcPr>
          <w:p w:rsidR="00C30F0E" w:rsidRPr="00136C5E" w:rsidRDefault="00C30F0E" w:rsidP="00AE51A3">
            <w:pPr>
              <w:spacing w:line="240" w:lineRule="auto"/>
              <w:jc w:val="center"/>
              <w:rPr>
                <w:rFonts w:ascii="Verdana" w:hAnsi="Verdana"/>
                <w:b/>
                <w:sz w:val="20"/>
              </w:rPr>
            </w:pPr>
          </w:p>
          <w:p w:rsidR="00C30F0E" w:rsidRPr="00136C5E" w:rsidRDefault="00C30F0E" w:rsidP="00AE51A3">
            <w:pPr>
              <w:spacing w:line="240" w:lineRule="auto"/>
              <w:jc w:val="center"/>
              <w:rPr>
                <w:rFonts w:ascii="Verdana" w:hAnsi="Verdana"/>
                <w:b/>
                <w:sz w:val="20"/>
              </w:rPr>
            </w:pPr>
            <w:r w:rsidRPr="00136C5E">
              <w:rPr>
                <w:rFonts w:ascii="Verdana" w:hAnsi="Verdana"/>
                <w:b/>
                <w:sz w:val="20"/>
              </w:rPr>
              <w:t>Difference</w:t>
            </w:r>
          </w:p>
        </w:tc>
        <w:tc>
          <w:tcPr>
            <w:tcW w:w="1829" w:type="dxa"/>
            <w:vAlign w:val="bottom"/>
          </w:tcPr>
          <w:p w:rsidR="00C30F0E" w:rsidRPr="00136C5E" w:rsidRDefault="00136C5E" w:rsidP="00AE51A3">
            <w:pPr>
              <w:spacing w:line="240" w:lineRule="auto"/>
              <w:jc w:val="center"/>
              <w:rPr>
                <w:rFonts w:ascii="Verdana" w:hAnsi="Verdana"/>
                <w:b/>
                <w:sz w:val="20"/>
              </w:rPr>
            </w:pPr>
            <w:r>
              <w:rPr>
                <w:rFonts w:ascii="Verdana" w:hAnsi="Verdana"/>
                <w:b/>
                <w:sz w:val="20"/>
              </w:rPr>
              <w:t>%</w:t>
            </w:r>
            <w:r w:rsidR="00C30F0E" w:rsidRPr="00136C5E">
              <w:rPr>
                <w:rFonts w:ascii="Verdana" w:hAnsi="Verdana"/>
                <w:b/>
                <w:sz w:val="20"/>
              </w:rPr>
              <w:t xml:space="preserve"> male premium</w:t>
            </w:r>
          </w:p>
        </w:tc>
      </w:tr>
      <w:tr w:rsidR="00C30F0E" w:rsidRPr="00DA4BDF" w:rsidTr="00AE51A3">
        <w:trPr>
          <w:jc w:val="center"/>
        </w:trPr>
        <w:tc>
          <w:tcPr>
            <w:tcW w:w="1022" w:type="dxa"/>
          </w:tcPr>
          <w:p w:rsidR="00C30F0E" w:rsidRPr="00DA4BDF" w:rsidRDefault="00C30F0E" w:rsidP="00D705A0">
            <w:pPr>
              <w:spacing w:line="240" w:lineRule="auto"/>
              <w:rPr>
                <w:rFonts w:ascii="Verdana" w:hAnsi="Verdana"/>
                <w:sz w:val="20"/>
              </w:rPr>
            </w:pPr>
            <w:r w:rsidRPr="00DA4BDF">
              <w:rPr>
                <w:rFonts w:ascii="Verdana" w:hAnsi="Verdana"/>
                <w:sz w:val="20"/>
              </w:rPr>
              <w:t>Median</w:t>
            </w:r>
          </w:p>
        </w:tc>
        <w:tc>
          <w:tcPr>
            <w:tcW w:w="1134" w:type="dxa"/>
            <w:vAlign w:val="bottom"/>
          </w:tcPr>
          <w:p w:rsidR="00C30F0E" w:rsidRPr="00DA4BDF" w:rsidRDefault="00C30F0E" w:rsidP="00AE51A3">
            <w:pPr>
              <w:spacing w:line="240" w:lineRule="auto"/>
              <w:jc w:val="center"/>
              <w:rPr>
                <w:rFonts w:ascii="Verdana" w:hAnsi="Verdana" w:cs="Arial"/>
                <w:sz w:val="20"/>
              </w:rPr>
            </w:pPr>
            <w:r w:rsidRPr="00DA4BDF">
              <w:rPr>
                <w:rFonts w:ascii="Verdana" w:hAnsi="Verdana" w:cs="Arial"/>
                <w:sz w:val="20"/>
              </w:rPr>
              <w:t>£25,000</w:t>
            </w:r>
          </w:p>
        </w:tc>
        <w:tc>
          <w:tcPr>
            <w:tcW w:w="1134" w:type="dxa"/>
            <w:vAlign w:val="bottom"/>
          </w:tcPr>
          <w:p w:rsidR="00C30F0E" w:rsidRPr="00DA4BDF" w:rsidRDefault="00C30F0E" w:rsidP="00AE51A3">
            <w:pPr>
              <w:spacing w:line="240" w:lineRule="auto"/>
              <w:jc w:val="center"/>
              <w:rPr>
                <w:rFonts w:ascii="Verdana" w:hAnsi="Verdana" w:cs="Arial"/>
                <w:sz w:val="20"/>
              </w:rPr>
            </w:pPr>
            <w:r w:rsidRPr="00DA4BDF">
              <w:rPr>
                <w:rFonts w:ascii="Verdana" w:hAnsi="Verdana" w:cs="Arial"/>
                <w:sz w:val="20"/>
              </w:rPr>
              <w:t>£23,000</w:t>
            </w:r>
          </w:p>
        </w:tc>
        <w:tc>
          <w:tcPr>
            <w:tcW w:w="1418" w:type="dxa"/>
            <w:vAlign w:val="bottom"/>
          </w:tcPr>
          <w:p w:rsidR="00C30F0E" w:rsidRPr="00DA4BDF" w:rsidRDefault="00C30F0E" w:rsidP="00AE51A3">
            <w:pPr>
              <w:spacing w:line="240" w:lineRule="auto"/>
              <w:jc w:val="center"/>
              <w:rPr>
                <w:rFonts w:ascii="Verdana" w:hAnsi="Verdana" w:cs="Arial"/>
                <w:sz w:val="20"/>
              </w:rPr>
            </w:pPr>
            <w:r w:rsidRPr="00DA4BDF">
              <w:rPr>
                <w:rFonts w:ascii="Verdana" w:hAnsi="Verdana" w:cs="Arial"/>
                <w:sz w:val="20"/>
              </w:rPr>
              <w:t>£2,000</w:t>
            </w:r>
          </w:p>
        </w:tc>
        <w:tc>
          <w:tcPr>
            <w:tcW w:w="1829" w:type="dxa"/>
            <w:vAlign w:val="bottom"/>
          </w:tcPr>
          <w:p w:rsidR="00C30F0E" w:rsidRPr="00DA4BDF" w:rsidRDefault="00C30F0E" w:rsidP="00AE51A3">
            <w:pPr>
              <w:spacing w:line="240" w:lineRule="auto"/>
              <w:jc w:val="center"/>
              <w:rPr>
                <w:rFonts w:ascii="Verdana" w:hAnsi="Verdana" w:cs="Arial"/>
                <w:sz w:val="20"/>
              </w:rPr>
            </w:pPr>
            <w:r w:rsidRPr="00DA4BDF">
              <w:rPr>
                <w:rFonts w:ascii="Verdana" w:hAnsi="Verdana" w:cs="Arial"/>
                <w:sz w:val="20"/>
              </w:rPr>
              <w:t>9%</w:t>
            </w:r>
          </w:p>
        </w:tc>
      </w:tr>
      <w:tr w:rsidR="00C30F0E" w:rsidRPr="00DA4BDF" w:rsidTr="00AE51A3">
        <w:trPr>
          <w:jc w:val="center"/>
        </w:trPr>
        <w:tc>
          <w:tcPr>
            <w:tcW w:w="1022" w:type="dxa"/>
          </w:tcPr>
          <w:p w:rsidR="00C30F0E" w:rsidRPr="00DA4BDF" w:rsidRDefault="00C30F0E" w:rsidP="00D705A0">
            <w:pPr>
              <w:spacing w:line="240" w:lineRule="auto"/>
              <w:rPr>
                <w:rFonts w:ascii="Verdana" w:hAnsi="Verdana"/>
                <w:sz w:val="20"/>
              </w:rPr>
            </w:pPr>
            <w:r w:rsidRPr="00DA4BDF">
              <w:rPr>
                <w:rFonts w:ascii="Verdana" w:hAnsi="Verdana"/>
                <w:sz w:val="20"/>
              </w:rPr>
              <w:t>Mean</w:t>
            </w:r>
          </w:p>
        </w:tc>
        <w:tc>
          <w:tcPr>
            <w:tcW w:w="1134" w:type="dxa"/>
            <w:vAlign w:val="bottom"/>
          </w:tcPr>
          <w:p w:rsidR="00C30F0E" w:rsidRPr="00DA4BDF" w:rsidRDefault="00C30F0E" w:rsidP="00AE51A3">
            <w:pPr>
              <w:spacing w:line="240" w:lineRule="auto"/>
              <w:jc w:val="center"/>
              <w:rPr>
                <w:rFonts w:ascii="Verdana" w:hAnsi="Verdana" w:cs="Arial"/>
                <w:sz w:val="20"/>
              </w:rPr>
            </w:pPr>
            <w:r w:rsidRPr="00DA4BDF">
              <w:rPr>
                <w:rFonts w:ascii="Verdana" w:hAnsi="Verdana" w:cs="Arial"/>
                <w:sz w:val="20"/>
              </w:rPr>
              <w:t>£28,071</w:t>
            </w:r>
          </w:p>
        </w:tc>
        <w:tc>
          <w:tcPr>
            <w:tcW w:w="1134" w:type="dxa"/>
            <w:vAlign w:val="bottom"/>
          </w:tcPr>
          <w:p w:rsidR="00C30F0E" w:rsidRPr="00DA4BDF" w:rsidRDefault="00C30F0E" w:rsidP="00AE51A3">
            <w:pPr>
              <w:spacing w:line="240" w:lineRule="auto"/>
              <w:jc w:val="center"/>
              <w:rPr>
                <w:rFonts w:ascii="Verdana" w:hAnsi="Verdana" w:cs="Arial"/>
                <w:sz w:val="20"/>
              </w:rPr>
            </w:pPr>
            <w:r w:rsidRPr="00DA4BDF">
              <w:rPr>
                <w:rFonts w:ascii="Verdana" w:hAnsi="Verdana" w:cs="Arial"/>
                <w:sz w:val="20"/>
              </w:rPr>
              <w:t>£24,023</w:t>
            </w:r>
          </w:p>
        </w:tc>
        <w:tc>
          <w:tcPr>
            <w:tcW w:w="1418" w:type="dxa"/>
            <w:vAlign w:val="bottom"/>
          </w:tcPr>
          <w:p w:rsidR="00C30F0E" w:rsidRPr="00DA4BDF" w:rsidRDefault="00C30F0E" w:rsidP="00AE51A3">
            <w:pPr>
              <w:spacing w:line="240" w:lineRule="auto"/>
              <w:jc w:val="center"/>
              <w:rPr>
                <w:rFonts w:ascii="Verdana" w:hAnsi="Verdana" w:cs="Arial"/>
                <w:sz w:val="20"/>
              </w:rPr>
            </w:pPr>
            <w:r w:rsidRPr="00DA4BDF">
              <w:rPr>
                <w:rFonts w:ascii="Verdana" w:hAnsi="Verdana" w:cs="Arial"/>
                <w:sz w:val="20"/>
              </w:rPr>
              <w:t>£4,048</w:t>
            </w:r>
          </w:p>
        </w:tc>
        <w:tc>
          <w:tcPr>
            <w:tcW w:w="1829" w:type="dxa"/>
            <w:vAlign w:val="bottom"/>
          </w:tcPr>
          <w:p w:rsidR="00C30F0E" w:rsidRPr="00DA4BDF" w:rsidRDefault="00C30F0E" w:rsidP="00AE51A3">
            <w:pPr>
              <w:spacing w:line="240" w:lineRule="auto"/>
              <w:jc w:val="center"/>
              <w:rPr>
                <w:rFonts w:ascii="Verdana" w:hAnsi="Verdana" w:cs="Arial"/>
                <w:sz w:val="20"/>
              </w:rPr>
            </w:pPr>
            <w:r w:rsidRPr="00DA4BDF">
              <w:rPr>
                <w:rFonts w:ascii="Verdana" w:hAnsi="Verdana" w:cs="Arial"/>
                <w:sz w:val="20"/>
              </w:rPr>
              <w:t>17%</w:t>
            </w:r>
          </w:p>
        </w:tc>
      </w:tr>
    </w:tbl>
    <w:p w:rsidR="00AD6EED" w:rsidRPr="00DA4BDF" w:rsidRDefault="00AD6EED" w:rsidP="003E07F0">
      <w:pPr>
        <w:rPr>
          <w:rFonts w:ascii="Verdana" w:hAnsi="Verdana"/>
          <w:sz w:val="22"/>
          <w:szCs w:val="22"/>
          <w:u w:val="single"/>
        </w:rPr>
      </w:pPr>
    </w:p>
    <w:p w:rsidR="00AD6EED" w:rsidRPr="00DA4BDF" w:rsidRDefault="00402FCF"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t xml:space="preserve">About a third of the male premium can be accounted for by the differing subject profiles, somewhat less than the half that was explained </w:t>
      </w:r>
      <w:r w:rsidR="00B27104" w:rsidRPr="00DA4BDF">
        <w:rPr>
          <w:rFonts w:ascii="Verdana" w:hAnsi="Verdana"/>
          <w:lang w:val="en-GB" w:eastAsia="en-GB"/>
        </w:rPr>
        <w:t>in this way for salaries of graduates shortly after graduation.</w:t>
      </w:r>
      <w:r w:rsidRPr="00DA4BDF">
        <w:rPr>
          <w:rFonts w:ascii="Verdana" w:hAnsi="Verdana"/>
          <w:lang w:val="en-GB" w:eastAsia="en-GB"/>
        </w:rPr>
        <w:t xml:space="preserve"> </w:t>
      </w:r>
      <w:r w:rsidR="00433E29" w:rsidRPr="00DA4BDF">
        <w:rPr>
          <w:rFonts w:ascii="Verdana" w:hAnsi="Verdana"/>
          <w:lang w:val="en-GB" w:eastAsia="en-GB"/>
        </w:rPr>
        <w:t xml:space="preserve">  </w:t>
      </w:r>
      <w:r w:rsidR="000F64B4" w:rsidRPr="00DA4BDF">
        <w:rPr>
          <w:rFonts w:ascii="Verdana" w:hAnsi="Verdana"/>
          <w:lang w:val="en-GB" w:eastAsia="en-GB"/>
        </w:rPr>
        <w:t xml:space="preserve">The rest cannot be explained by the </w:t>
      </w:r>
      <w:r w:rsidR="00C42576" w:rsidRPr="00DA4BDF">
        <w:rPr>
          <w:rFonts w:ascii="Verdana" w:hAnsi="Verdana"/>
          <w:lang w:val="en-GB" w:eastAsia="en-GB"/>
        </w:rPr>
        <w:t xml:space="preserve">available </w:t>
      </w:r>
      <w:r w:rsidR="000F64B4" w:rsidRPr="00DA4BDF">
        <w:rPr>
          <w:rFonts w:ascii="Verdana" w:hAnsi="Verdana"/>
          <w:lang w:val="en-GB" w:eastAsia="en-GB"/>
        </w:rPr>
        <w:t>data, and further work is needed to understand whether they are as a result of biases in the job market, or as a result of choices and behavioural differences between men and women.</w:t>
      </w:r>
    </w:p>
    <w:p w:rsidR="00C30F0E" w:rsidRPr="00DA4BDF" w:rsidRDefault="00EA5328"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t xml:space="preserve">As with the DLHE survey, the average job quality can be assessed with other measures. Table A7 shows the proportion of men and women in graduate jobs, in jobs that the graduate believes </w:t>
      </w:r>
      <w:r w:rsidR="009121BB" w:rsidRPr="00DA4BDF">
        <w:rPr>
          <w:rFonts w:ascii="Verdana" w:hAnsi="Verdana"/>
          <w:lang w:val="en-GB" w:eastAsia="en-GB"/>
        </w:rPr>
        <w:t xml:space="preserve">a degree </w:t>
      </w:r>
      <w:r w:rsidRPr="00DA4BDF">
        <w:rPr>
          <w:rFonts w:ascii="Verdana" w:hAnsi="Verdana"/>
          <w:lang w:val="en-GB" w:eastAsia="en-GB"/>
        </w:rPr>
        <w:t xml:space="preserve">was required or </w:t>
      </w:r>
      <w:r w:rsidR="009121BB" w:rsidRPr="00DA4BDF">
        <w:rPr>
          <w:rFonts w:ascii="Verdana" w:hAnsi="Verdana"/>
          <w:lang w:val="en-GB" w:eastAsia="en-GB"/>
        </w:rPr>
        <w:t xml:space="preserve">was </w:t>
      </w:r>
      <w:r w:rsidRPr="00DA4BDF">
        <w:rPr>
          <w:rFonts w:ascii="Verdana" w:hAnsi="Verdana"/>
          <w:lang w:val="en-GB" w:eastAsia="en-GB"/>
        </w:rPr>
        <w:t>important, and jobs that fitted their career plans. In each of these three measures there are definitional and processing differences</w:t>
      </w:r>
      <w:r w:rsidR="00433E29" w:rsidRPr="00DA4BDF">
        <w:rPr>
          <w:rFonts w:ascii="Verdana" w:hAnsi="Verdana"/>
          <w:lang w:val="en-GB" w:eastAsia="en-GB"/>
        </w:rPr>
        <w:t xml:space="preserve"> from similar statistics derived from the DLHE data, but these</w:t>
      </w:r>
      <w:r w:rsidRPr="00DA4BDF">
        <w:rPr>
          <w:rFonts w:ascii="Verdana" w:hAnsi="Verdana"/>
          <w:lang w:val="en-GB" w:eastAsia="en-GB"/>
        </w:rPr>
        <w:t xml:space="preserve"> are unlikely to be the reason for the different pattern found after three and a half years. </w:t>
      </w:r>
    </w:p>
    <w:p w:rsidR="00C30F0E" w:rsidRPr="00DA4BDF" w:rsidRDefault="00C30F0E" w:rsidP="00623C36">
      <w:pPr>
        <w:pStyle w:val="Heading2"/>
        <w:spacing w:line="240" w:lineRule="auto"/>
        <w:rPr>
          <w:b w:val="0"/>
          <w:bCs w:val="0"/>
          <w:iCs w:val="0"/>
          <w:u w:val="single"/>
        </w:rPr>
      </w:pPr>
      <w:r w:rsidRPr="00DA4BDF">
        <w:rPr>
          <w:b w:val="0"/>
          <w:bCs w:val="0"/>
          <w:iCs w:val="0"/>
          <w:u w:val="single"/>
        </w:rPr>
        <w:t>Table A</w:t>
      </w:r>
      <w:r w:rsidR="00432891" w:rsidRPr="00DA4BDF">
        <w:rPr>
          <w:b w:val="0"/>
          <w:bCs w:val="0"/>
          <w:iCs w:val="0"/>
          <w:u w:val="single"/>
        </w:rPr>
        <w:t>7</w:t>
      </w:r>
      <w:r w:rsidRPr="00DA4BDF">
        <w:rPr>
          <w:b w:val="0"/>
          <w:bCs w:val="0"/>
          <w:iCs w:val="0"/>
          <w:u w:val="single"/>
        </w:rPr>
        <w:t>: Per cent graduates in ‘good’ jobs</w:t>
      </w:r>
      <w:r w:rsidR="00623C36" w:rsidRPr="00DA4BDF">
        <w:rPr>
          <w:b w:val="0"/>
          <w:bCs w:val="0"/>
          <w:iCs w:val="0"/>
          <w:u w:val="single"/>
        </w:rPr>
        <w:t xml:space="preserve"> </w:t>
      </w:r>
      <w:r w:rsidRPr="00DA4BDF">
        <w:rPr>
          <w:b w:val="0"/>
          <w:bCs w:val="0"/>
          <w:iCs w:val="0"/>
          <w:u w:val="single"/>
        </w:rPr>
        <w:t>(Young fu</w:t>
      </w:r>
      <w:r w:rsidR="00AE51A3">
        <w:rPr>
          <w:b w:val="0"/>
          <w:bCs w:val="0"/>
          <w:iCs w:val="0"/>
          <w:u w:val="single"/>
        </w:rPr>
        <w:t>ll-time home employed graduates,</w:t>
      </w:r>
      <w:r w:rsidRPr="00DA4BDF">
        <w:rPr>
          <w:b w:val="0"/>
          <w:bCs w:val="0"/>
          <w:iCs w:val="0"/>
          <w:u w:val="single"/>
        </w:rPr>
        <w:t xml:space="preserve"> 2007-08 DLHE)</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417"/>
        <w:gridCol w:w="1418"/>
        <w:gridCol w:w="1418"/>
      </w:tblGrid>
      <w:tr w:rsidR="00C30F0E" w:rsidRPr="00DA4BDF" w:rsidTr="00AE51A3">
        <w:tc>
          <w:tcPr>
            <w:tcW w:w="3510" w:type="dxa"/>
            <w:vMerge w:val="restart"/>
            <w:vAlign w:val="bottom"/>
          </w:tcPr>
          <w:p w:rsidR="00C30F0E" w:rsidRPr="00DA4BDF" w:rsidRDefault="00C30F0E" w:rsidP="00D705A0">
            <w:pPr>
              <w:spacing w:line="240" w:lineRule="auto"/>
              <w:rPr>
                <w:rFonts w:ascii="Verdana" w:hAnsi="Verdana" w:cs="Arial"/>
                <w:b/>
                <w:sz w:val="20"/>
              </w:rPr>
            </w:pPr>
            <w:r w:rsidRPr="00DA4BDF">
              <w:rPr>
                <w:rFonts w:ascii="Verdana" w:hAnsi="Verdana" w:cs="Arial"/>
                <w:b/>
                <w:sz w:val="20"/>
              </w:rPr>
              <w:t>Employment characteristic</w:t>
            </w:r>
          </w:p>
        </w:tc>
        <w:tc>
          <w:tcPr>
            <w:tcW w:w="4253" w:type="dxa"/>
            <w:gridSpan w:val="3"/>
            <w:vAlign w:val="bottom"/>
          </w:tcPr>
          <w:p w:rsidR="00C30F0E" w:rsidRPr="00DA4BDF" w:rsidRDefault="00C30F0E" w:rsidP="00AE51A3">
            <w:pPr>
              <w:spacing w:line="240" w:lineRule="auto"/>
              <w:jc w:val="center"/>
              <w:rPr>
                <w:rFonts w:ascii="Verdana" w:hAnsi="Verdana" w:cs="Arial"/>
                <w:b/>
                <w:sz w:val="20"/>
              </w:rPr>
            </w:pPr>
            <w:r w:rsidRPr="00DA4BDF">
              <w:rPr>
                <w:rFonts w:ascii="Verdana" w:hAnsi="Verdana" w:cs="Arial"/>
                <w:b/>
                <w:sz w:val="20"/>
              </w:rPr>
              <w:t>Per cent in ‘good’  jobs</w:t>
            </w:r>
          </w:p>
        </w:tc>
      </w:tr>
      <w:tr w:rsidR="00C30F0E" w:rsidRPr="00DA4BDF" w:rsidTr="00AE51A3">
        <w:tc>
          <w:tcPr>
            <w:tcW w:w="3510" w:type="dxa"/>
            <w:vMerge/>
            <w:vAlign w:val="bottom"/>
          </w:tcPr>
          <w:p w:rsidR="00C30F0E" w:rsidRPr="00DA4BDF" w:rsidRDefault="00C30F0E" w:rsidP="00D705A0">
            <w:pPr>
              <w:spacing w:line="240" w:lineRule="auto"/>
              <w:rPr>
                <w:rFonts w:ascii="Verdana" w:hAnsi="Verdana" w:cs="Arial"/>
                <w:b/>
                <w:sz w:val="20"/>
              </w:rPr>
            </w:pPr>
          </w:p>
        </w:tc>
        <w:tc>
          <w:tcPr>
            <w:tcW w:w="1417" w:type="dxa"/>
            <w:vAlign w:val="bottom"/>
          </w:tcPr>
          <w:p w:rsidR="00C30F0E" w:rsidRPr="00DA4BDF" w:rsidRDefault="00C30F0E" w:rsidP="00AE51A3">
            <w:pPr>
              <w:spacing w:line="240" w:lineRule="auto"/>
              <w:jc w:val="center"/>
              <w:rPr>
                <w:rFonts w:ascii="Verdana" w:hAnsi="Verdana" w:cs="Arial"/>
                <w:b/>
                <w:sz w:val="20"/>
              </w:rPr>
            </w:pPr>
            <w:r w:rsidRPr="00DA4BDF">
              <w:rPr>
                <w:rFonts w:ascii="Verdana" w:hAnsi="Verdana" w:cs="Arial"/>
                <w:b/>
                <w:sz w:val="20"/>
              </w:rPr>
              <w:t>Men</w:t>
            </w:r>
          </w:p>
        </w:tc>
        <w:tc>
          <w:tcPr>
            <w:tcW w:w="1418" w:type="dxa"/>
            <w:vAlign w:val="bottom"/>
          </w:tcPr>
          <w:p w:rsidR="00C30F0E" w:rsidRPr="00DA4BDF" w:rsidRDefault="00C30F0E" w:rsidP="00AE51A3">
            <w:pPr>
              <w:spacing w:line="240" w:lineRule="auto"/>
              <w:jc w:val="center"/>
              <w:rPr>
                <w:rFonts w:ascii="Verdana" w:hAnsi="Verdana" w:cs="Arial"/>
                <w:b/>
                <w:sz w:val="20"/>
              </w:rPr>
            </w:pPr>
            <w:r w:rsidRPr="00DA4BDF">
              <w:rPr>
                <w:rFonts w:ascii="Verdana" w:hAnsi="Verdana" w:cs="Arial"/>
                <w:b/>
                <w:sz w:val="20"/>
              </w:rPr>
              <w:t>Women</w:t>
            </w:r>
          </w:p>
        </w:tc>
        <w:tc>
          <w:tcPr>
            <w:tcW w:w="1418" w:type="dxa"/>
            <w:vAlign w:val="bottom"/>
          </w:tcPr>
          <w:p w:rsidR="00C30F0E" w:rsidRPr="00DA4BDF" w:rsidRDefault="00C30F0E" w:rsidP="00AE51A3">
            <w:pPr>
              <w:spacing w:line="240" w:lineRule="auto"/>
              <w:jc w:val="center"/>
              <w:rPr>
                <w:rFonts w:ascii="Verdana" w:hAnsi="Verdana" w:cs="Arial"/>
                <w:b/>
                <w:sz w:val="20"/>
              </w:rPr>
            </w:pPr>
            <w:r w:rsidRPr="00DA4BDF">
              <w:rPr>
                <w:rFonts w:ascii="Verdana" w:hAnsi="Verdana" w:cs="Arial"/>
                <w:b/>
                <w:sz w:val="20"/>
              </w:rPr>
              <w:t>Difference</w:t>
            </w:r>
          </w:p>
        </w:tc>
      </w:tr>
      <w:tr w:rsidR="00C30F0E" w:rsidRPr="00DA4BDF" w:rsidTr="00AE51A3">
        <w:tc>
          <w:tcPr>
            <w:tcW w:w="3510" w:type="dxa"/>
            <w:vAlign w:val="bottom"/>
          </w:tcPr>
          <w:p w:rsidR="00C30F0E" w:rsidRPr="00DA4BDF" w:rsidRDefault="00C30F0E" w:rsidP="00D705A0">
            <w:pPr>
              <w:spacing w:line="240" w:lineRule="auto"/>
              <w:rPr>
                <w:rFonts w:ascii="Verdana" w:hAnsi="Verdana" w:cs="Arial"/>
                <w:sz w:val="20"/>
              </w:rPr>
            </w:pPr>
            <w:r w:rsidRPr="00DA4BDF">
              <w:rPr>
                <w:rFonts w:ascii="Verdana" w:hAnsi="Verdana" w:cs="Arial"/>
                <w:sz w:val="20"/>
              </w:rPr>
              <w:t>Graduate job</w:t>
            </w:r>
          </w:p>
        </w:tc>
        <w:tc>
          <w:tcPr>
            <w:tcW w:w="1417" w:type="dxa"/>
            <w:vAlign w:val="bottom"/>
          </w:tcPr>
          <w:p w:rsidR="00C30F0E" w:rsidRPr="00DA4BDF" w:rsidRDefault="00A86876" w:rsidP="00AE51A3">
            <w:pPr>
              <w:spacing w:line="240" w:lineRule="auto"/>
              <w:jc w:val="center"/>
              <w:rPr>
                <w:rFonts w:ascii="Verdana" w:hAnsi="Verdana" w:cs="Arial"/>
                <w:sz w:val="20"/>
              </w:rPr>
            </w:pPr>
            <w:r w:rsidRPr="00DA4BDF">
              <w:rPr>
                <w:rFonts w:ascii="Verdana" w:hAnsi="Verdana" w:cs="Arial"/>
                <w:sz w:val="20"/>
              </w:rPr>
              <w:t>77</w:t>
            </w:r>
            <w:r w:rsidR="00C30F0E" w:rsidRPr="00DA4BDF">
              <w:rPr>
                <w:rFonts w:ascii="Verdana" w:hAnsi="Verdana" w:cs="Arial"/>
                <w:sz w:val="20"/>
              </w:rPr>
              <w:t>%</w:t>
            </w:r>
          </w:p>
        </w:tc>
        <w:tc>
          <w:tcPr>
            <w:tcW w:w="1418" w:type="dxa"/>
            <w:vAlign w:val="bottom"/>
          </w:tcPr>
          <w:p w:rsidR="00C30F0E" w:rsidRPr="00DA4BDF" w:rsidRDefault="00A86876" w:rsidP="00AE51A3">
            <w:pPr>
              <w:spacing w:line="240" w:lineRule="auto"/>
              <w:jc w:val="center"/>
              <w:rPr>
                <w:rFonts w:ascii="Verdana" w:hAnsi="Verdana" w:cs="Arial"/>
                <w:sz w:val="20"/>
              </w:rPr>
            </w:pPr>
            <w:r w:rsidRPr="00DA4BDF">
              <w:rPr>
                <w:rFonts w:ascii="Verdana" w:hAnsi="Verdana" w:cs="Arial"/>
                <w:sz w:val="20"/>
              </w:rPr>
              <w:t>76</w:t>
            </w:r>
            <w:r w:rsidR="00C30F0E" w:rsidRPr="00DA4BDF">
              <w:rPr>
                <w:rFonts w:ascii="Verdana" w:hAnsi="Verdana" w:cs="Arial"/>
                <w:sz w:val="20"/>
              </w:rPr>
              <w:t>%</w:t>
            </w:r>
          </w:p>
        </w:tc>
        <w:tc>
          <w:tcPr>
            <w:tcW w:w="1418" w:type="dxa"/>
            <w:vAlign w:val="bottom"/>
          </w:tcPr>
          <w:p w:rsidR="00C30F0E" w:rsidRPr="00DA4BDF" w:rsidRDefault="00A86876" w:rsidP="00AE51A3">
            <w:pPr>
              <w:spacing w:line="240" w:lineRule="auto"/>
              <w:jc w:val="center"/>
              <w:rPr>
                <w:rFonts w:ascii="Verdana" w:hAnsi="Verdana" w:cs="Arial"/>
                <w:sz w:val="20"/>
              </w:rPr>
            </w:pPr>
            <w:r w:rsidRPr="00DA4BDF">
              <w:rPr>
                <w:rFonts w:ascii="Verdana" w:hAnsi="Verdana" w:cs="Arial"/>
                <w:sz w:val="20"/>
              </w:rPr>
              <w:t>0.7</w:t>
            </w:r>
            <w:r w:rsidR="00C30F0E" w:rsidRPr="00DA4BDF">
              <w:rPr>
                <w:rFonts w:ascii="Verdana" w:hAnsi="Verdana" w:cs="Arial"/>
                <w:sz w:val="20"/>
              </w:rPr>
              <w:t>%</w:t>
            </w:r>
          </w:p>
        </w:tc>
      </w:tr>
      <w:tr w:rsidR="00C30F0E" w:rsidRPr="00DA4BDF" w:rsidTr="00AE51A3">
        <w:trPr>
          <w:trHeight w:val="70"/>
        </w:trPr>
        <w:tc>
          <w:tcPr>
            <w:tcW w:w="3510" w:type="dxa"/>
            <w:vAlign w:val="bottom"/>
          </w:tcPr>
          <w:p w:rsidR="00C30F0E" w:rsidRPr="00DA4BDF" w:rsidRDefault="00C30F0E" w:rsidP="00D705A0">
            <w:pPr>
              <w:spacing w:line="240" w:lineRule="auto"/>
              <w:rPr>
                <w:rFonts w:ascii="Verdana" w:hAnsi="Verdana" w:cs="Arial"/>
                <w:sz w:val="20"/>
              </w:rPr>
            </w:pPr>
            <w:r w:rsidRPr="00DA4BDF">
              <w:rPr>
                <w:rFonts w:ascii="Verdana" w:hAnsi="Verdana" w:cs="Arial"/>
                <w:sz w:val="20"/>
              </w:rPr>
              <w:t xml:space="preserve">Degree </w:t>
            </w:r>
            <w:r w:rsidR="00A86876" w:rsidRPr="00DA4BDF">
              <w:rPr>
                <w:rFonts w:ascii="Verdana" w:hAnsi="Verdana" w:cs="Arial"/>
                <w:sz w:val="20"/>
              </w:rPr>
              <w:t>requires or important</w:t>
            </w:r>
          </w:p>
        </w:tc>
        <w:tc>
          <w:tcPr>
            <w:tcW w:w="1417" w:type="dxa"/>
            <w:vAlign w:val="bottom"/>
          </w:tcPr>
          <w:p w:rsidR="00C30F0E" w:rsidRPr="00DA4BDF" w:rsidRDefault="00A86876" w:rsidP="00AE51A3">
            <w:pPr>
              <w:spacing w:line="240" w:lineRule="auto"/>
              <w:jc w:val="center"/>
              <w:rPr>
                <w:rFonts w:ascii="Verdana" w:hAnsi="Verdana" w:cs="Arial"/>
                <w:sz w:val="20"/>
              </w:rPr>
            </w:pPr>
            <w:r w:rsidRPr="00DA4BDF">
              <w:rPr>
                <w:rFonts w:ascii="Verdana" w:hAnsi="Verdana" w:cs="Arial"/>
                <w:sz w:val="20"/>
              </w:rPr>
              <w:t>65</w:t>
            </w:r>
            <w:r w:rsidR="00C30F0E" w:rsidRPr="00DA4BDF">
              <w:rPr>
                <w:rFonts w:ascii="Verdana" w:hAnsi="Verdana" w:cs="Arial"/>
                <w:sz w:val="20"/>
              </w:rPr>
              <w:t>%</w:t>
            </w:r>
          </w:p>
        </w:tc>
        <w:tc>
          <w:tcPr>
            <w:tcW w:w="1418" w:type="dxa"/>
            <w:vAlign w:val="bottom"/>
          </w:tcPr>
          <w:p w:rsidR="00C30F0E" w:rsidRPr="00DA4BDF" w:rsidRDefault="00A86876" w:rsidP="00AE51A3">
            <w:pPr>
              <w:spacing w:line="240" w:lineRule="auto"/>
              <w:jc w:val="center"/>
              <w:rPr>
                <w:rFonts w:ascii="Verdana" w:hAnsi="Verdana" w:cs="Arial"/>
                <w:sz w:val="20"/>
              </w:rPr>
            </w:pPr>
            <w:r w:rsidRPr="00DA4BDF">
              <w:rPr>
                <w:rFonts w:ascii="Verdana" w:hAnsi="Verdana" w:cs="Arial"/>
                <w:sz w:val="20"/>
              </w:rPr>
              <w:t>70</w:t>
            </w:r>
            <w:r w:rsidR="00C30F0E" w:rsidRPr="00DA4BDF">
              <w:rPr>
                <w:rFonts w:ascii="Verdana" w:hAnsi="Verdana" w:cs="Arial"/>
                <w:sz w:val="20"/>
              </w:rPr>
              <w:t>%</w:t>
            </w:r>
          </w:p>
        </w:tc>
        <w:tc>
          <w:tcPr>
            <w:tcW w:w="1418" w:type="dxa"/>
            <w:vAlign w:val="bottom"/>
          </w:tcPr>
          <w:p w:rsidR="00C30F0E" w:rsidRPr="00DA4BDF" w:rsidRDefault="00A86876" w:rsidP="00AE51A3">
            <w:pPr>
              <w:spacing w:line="240" w:lineRule="auto"/>
              <w:jc w:val="center"/>
              <w:rPr>
                <w:rFonts w:ascii="Verdana" w:hAnsi="Verdana" w:cs="Arial"/>
                <w:sz w:val="20"/>
              </w:rPr>
            </w:pPr>
            <w:r w:rsidRPr="00DA4BDF">
              <w:rPr>
                <w:rFonts w:ascii="Verdana" w:hAnsi="Verdana" w:cs="Arial"/>
                <w:sz w:val="20"/>
              </w:rPr>
              <w:t>-5.1</w:t>
            </w:r>
            <w:r w:rsidR="00C30F0E" w:rsidRPr="00DA4BDF">
              <w:rPr>
                <w:rFonts w:ascii="Verdana" w:hAnsi="Verdana" w:cs="Arial"/>
                <w:sz w:val="20"/>
              </w:rPr>
              <w:t>%</w:t>
            </w:r>
          </w:p>
        </w:tc>
      </w:tr>
      <w:tr w:rsidR="00C30F0E" w:rsidRPr="00DA4BDF" w:rsidTr="00AE51A3">
        <w:tc>
          <w:tcPr>
            <w:tcW w:w="3510" w:type="dxa"/>
            <w:vAlign w:val="bottom"/>
          </w:tcPr>
          <w:p w:rsidR="00C30F0E" w:rsidRPr="00DA4BDF" w:rsidRDefault="00C30F0E" w:rsidP="00D705A0">
            <w:pPr>
              <w:spacing w:line="240" w:lineRule="auto"/>
              <w:rPr>
                <w:rFonts w:ascii="Verdana" w:hAnsi="Verdana" w:cs="Arial"/>
                <w:sz w:val="20"/>
              </w:rPr>
            </w:pPr>
            <w:r w:rsidRPr="00DA4BDF">
              <w:rPr>
                <w:rFonts w:ascii="Verdana" w:hAnsi="Verdana" w:cs="Arial"/>
                <w:sz w:val="20"/>
              </w:rPr>
              <w:t>Fits career plans</w:t>
            </w:r>
          </w:p>
        </w:tc>
        <w:tc>
          <w:tcPr>
            <w:tcW w:w="1417" w:type="dxa"/>
            <w:vAlign w:val="bottom"/>
          </w:tcPr>
          <w:p w:rsidR="00C30F0E" w:rsidRPr="00DA4BDF" w:rsidRDefault="00A86876" w:rsidP="00AE51A3">
            <w:pPr>
              <w:spacing w:line="240" w:lineRule="auto"/>
              <w:jc w:val="center"/>
              <w:rPr>
                <w:rFonts w:ascii="Verdana" w:hAnsi="Verdana" w:cs="Arial"/>
                <w:sz w:val="20"/>
              </w:rPr>
            </w:pPr>
            <w:r w:rsidRPr="00DA4BDF">
              <w:rPr>
                <w:rFonts w:ascii="Verdana" w:hAnsi="Verdana" w:cs="Arial"/>
                <w:sz w:val="20"/>
              </w:rPr>
              <w:t>74</w:t>
            </w:r>
            <w:r w:rsidR="00C30F0E" w:rsidRPr="00DA4BDF">
              <w:rPr>
                <w:rFonts w:ascii="Verdana" w:hAnsi="Verdana" w:cs="Arial"/>
                <w:sz w:val="20"/>
              </w:rPr>
              <w:t>%</w:t>
            </w:r>
          </w:p>
        </w:tc>
        <w:tc>
          <w:tcPr>
            <w:tcW w:w="1418" w:type="dxa"/>
            <w:vAlign w:val="bottom"/>
          </w:tcPr>
          <w:p w:rsidR="00C30F0E" w:rsidRPr="00DA4BDF" w:rsidRDefault="00A86876" w:rsidP="00AE51A3">
            <w:pPr>
              <w:spacing w:line="240" w:lineRule="auto"/>
              <w:jc w:val="center"/>
              <w:rPr>
                <w:rFonts w:ascii="Verdana" w:hAnsi="Verdana" w:cs="Arial"/>
                <w:sz w:val="20"/>
              </w:rPr>
            </w:pPr>
            <w:r w:rsidRPr="00DA4BDF">
              <w:rPr>
                <w:rFonts w:ascii="Verdana" w:hAnsi="Verdana" w:cs="Arial"/>
                <w:sz w:val="20"/>
              </w:rPr>
              <w:t>74</w:t>
            </w:r>
            <w:r w:rsidR="00C30F0E" w:rsidRPr="00DA4BDF">
              <w:rPr>
                <w:rFonts w:ascii="Verdana" w:hAnsi="Verdana" w:cs="Arial"/>
                <w:sz w:val="20"/>
              </w:rPr>
              <w:t>%</w:t>
            </w:r>
          </w:p>
        </w:tc>
        <w:tc>
          <w:tcPr>
            <w:tcW w:w="1418" w:type="dxa"/>
            <w:vAlign w:val="bottom"/>
          </w:tcPr>
          <w:p w:rsidR="00C30F0E" w:rsidRPr="00DA4BDF" w:rsidRDefault="00A86876" w:rsidP="00AE51A3">
            <w:pPr>
              <w:spacing w:line="240" w:lineRule="auto"/>
              <w:jc w:val="center"/>
              <w:rPr>
                <w:rFonts w:ascii="Verdana" w:hAnsi="Verdana" w:cs="Arial"/>
                <w:sz w:val="20"/>
              </w:rPr>
            </w:pPr>
            <w:r w:rsidRPr="00DA4BDF">
              <w:rPr>
                <w:rFonts w:ascii="Verdana" w:hAnsi="Verdana" w:cs="Arial"/>
                <w:sz w:val="20"/>
              </w:rPr>
              <w:t>-0.7</w:t>
            </w:r>
            <w:r w:rsidR="00C30F0E" w:rsidRPr="00DA4BDF">
              <w:rPr>
                <w:rFonts w:ascii="Verdana" w:hAnsi="Verdana" w:cs="Arial"/>
                <w:sz w:val="20"/>
              </w:rPr>
              <w:t>%</w:t>
            </w:r>
          </w:p>
        </w:tc>
      </w:tr>
    </w:tbl>
    <w:p w:rsidR="00C30F0E" w:rsidRPr="001C5F43" w:rsidRDefault="00C30F0E" w:rsidP="003E07F0">
      <w:pPr>
        <w:rPr>
          <w:rFonts w:ascii="Verdana" w:hAnsi="Verdana"/>
          <w:sz w:val="22"/>
        </w:rPr>
      </w:pPr>
    </w:p>
    <w:p w:rsidR="009121BB" w:rsidRPr="00DA4BDF" w:rsidRDefault="00EA5328"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t>The proportion of women in employment in graduate jobs is almost as high as the proportion for men, and for the other two measures of job quality, women appear to be doing better.</w:t>
      </w:r>
    </w:p>
    <w:p w:rsidR="00432891" w:rsidRPr="00DA4BDF" w:rsidRDefault="00432891" w:rsidP="00623C36">
      <w:pPr>
        <w:pStyle w:val="Heading2"/>
        <w:spacing w:before="120" w:after="240" w:line="240" w:lineRule="auto"/>
        <w:rPr>
          <w:bCs w:val="0"/>
          <w:iCs w:val="0"/>
          <w:sz w:val="24"/>
          <w:szCs w:val="28"/>
          <w:lang w:val="en-US" w:eastAsia="en-US"/>
        </w:rPr>
      </w:pPr>
      <w:r w:rsidRPr="00DA4BDF">
        <w:rPr>
          <w:bCs w:val="0"/>
          <w:iCs w:val="0"/>
          <w:sz w:val="24"/>
          <w:szCs w:val="28"/>
          <w:lang w:val="en-US" w:eastAsia="en-US"/>
        </w:rPr>
        <w:t>Conclusion</w:t>
      </w:r>
    </w:p>
    <w:p w:rsidR="00EA5328" w:rsidRPr="00DA4BDF" w:rsidRDefault="00EA5328"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t xml:space="preserve">Shortly after graduation, men </w:t>
      </w:r>
      <w:r w:rsidR="00432891" w:rsidRPr="00DA4BDF">
        <w:rPr>
          <w:rFonts w:ascii="Verdana" w:hAnsi="Verdana"/>
          <w:lang w:val="en-GB" w:eastAsia="en-GB"/>
        </w:rPr>
        <w:t>have</w:t>
      </w:r>
      <w:r w:rsidRPr="00DA4BDF">
        <w:rPr>
          <w:rFonts w:ascii="Verdana" w:hAnsi="Verdana"/>
          <w:lang w:val="en-GB" w:eastAsia="en-GB"/>
        </w:rPr>
        <w:t xml:space="preserve"> higher levels of unemployment, but for those in employment, they appear on average to be in better quality jobs, as measured by salary and other measures. </w:t>
      </w:r>
    </w:p>
    <w:p w:rsidR="00C71503" w:rsidRPr="001C5F43" w:rsidRDefault="00FE2C5F" w:rsidP="001C5F43">
      <w:pPr>
        <w:pStyle w:val="BodyText"/>
        <w:numPr>
          <w:ilvl w:val="0"/>
          <w:numId w:val="7"/>
        </w:numPr>
        <w:overflowPunct/>
        <w:autoSpaceDE/>
        <w:autoSpaceDN/>
        <w:adjustRightInd/>
        <w:spacing w:after="240" w:line="300" w:lineRule="atLeast"/>
        <w:ind w:left="0" w:firstLine="0"/>
        <w:textAlignment w:val="auto"/>
        <w:rPr>
          <w:rFonts w:ascii="Verdana" w:hAnsi="Verdana"/>
          <w:lang w:val="en-GB" w:eastAsia="en-GB"/>
        </w:rPr>
      </w:pPr>
      <w:r w:rsidRPr="00DA4BDF">
        <w:rPr>
          <w:rFonts w:ascii="Verdana" w:hAnsi="Verdana"/>
          <w:lang w:val="en-GB" w:eastAsia="en-GB"/>
        </w:rPr>
        <w:t>T</w:t>
      </w:r>
      <w:r w:rsidR="00EA5328" w:rsidRPr="00DA4BDF">
        <w:rPr>
          <w:rFonts w:ascii="Verdana" w:hAnsi="Verdana"/>
          <w:lang w:val="en-GB" w:eastAsia="en-GB"/>
        </w:rPr>
        <w:t>hree and a half years</w:t>
      </w:r>
      <w:r w:rsidR="00432891" w:rsidRPr="00DA4BDF">
        <w:rPr>
          <w:rFonts w:ascii="Verdana" w:hAnsi="Verdana"/>
          <w:lang w:val="en-GB" w:eastAsia="en-GB"/>
        </w:rPr>
        <w:t xml:space="preserve"> after graduation, the unemployment rate for men is only a little higher than for women, and men’s salary premium persists. However, other measures of outcomes, of satisfaction with career, and of job quality</w:t>
      </w:r>
      <w:r w:rsidR="009121BB" w:rsidRPr="00DA4BDF">
        <w:rPr>
          <w:rFonts w:ascii="Verdana" w:hAnsi="Verdana"/>
          <w:lang w:val="en-GB" w:eastAsia="en-GB"/>
        </w:rPr>
        <w:t>,</w:t>
      </w:r>
      <w:r w:rsidR="00432891" w:rsidRPr="00DA4BDF">
        <w:rPr>
          <w:rFonts w:ascii="Verdana" w:hAnsi="Verdana"/>
          <w:lang w:val="en-GB" w:eastAsia="en-GB"/>
        </w:rPr>
        <w:t xml:space="preserve"> suggest that women achieve at least a similar level of success.</w:t>
      </w:r>
    </w:p>
    <w:p w:rsidR="001C5F43" w:rsidRDefault="00DE7AED" w:rsidP="00DE7AED">
      <w:pPr>
        <w:spacing w:after="240" w:line="360" w:lineRule="auto"/>
        <w:contextualSpacing/>
        <w:jc w:val="center"/>
        <w:rPr>
          <w:rFonts w:ascii="Verdana" w:hAnsi="Verdana"/>
          <w:b/>
          <w:sz w:val="24"/>
          <w:szCs w:val="24"/>
          <w:lang w:eastAsia="en-US"/>
        </w:rPr>
      </w:pPr>
      <w:r>
        <w:rPr>
          <w:bCs/>
          <w:iCs/>
          <w:sz w:val="24"/>
          <w:szCs w:val="28"/>
          <w:lang w:val="en-US" w:eastAsia="en-US"/>
        </w:rPr>
        <w:br w:type="page"/>
      </w:r>
      <w:r w:rsidRPr="00DE7AED">
        <w:rPr>
          <w:rFonts w:ascii="Verdana" w:hAnsi="Verdana"/>
          <w:b/>
          <w:sz w:val="24"/>
          <w:szCs w:val="24"/>
          <w:lang w:eastAsia="en-US"/>
        </w:rPr>
        <w:lastRenderedPageBreak/>
        <w:t>Male and female pa</w:t>
      </w:r>
      <w:r w:rsidR="001C5F43">
        <w:rPr>
          <w:rFonts w:ascii="Verdana" w:hAnsi="Verdana"/>
          <w:b/>
          <w:sz w:val="24"/>
          <w:szCs w:val="24"/>
          <w:lang w:eastAsia="en-US"/>
        </w:rPr>
        <w:t xml:space="preserve">rticipation and progression in </w:t>
      </w:r>
    </w:p>
    <w:p w:rsidR="001C5F43" w:rsidRDefault="001C5F43" w:rsidP="00DE7AED">
      <w:pPr>
        <w:spacing w:after="240" w:line="360" w:lineRule="auto"/>
        <w:contextualSpacing/>
        <w:jc w:val="center"/>
        <w:rPr>
          <w:rFonts w:ascii="Verdana" w:hAnsi="Verdana"/>
          <w:b/>
          <w:sz w:val="24"/>
          <w:szCs w:val="24"/>
          <w:lang w:eastAsia="en-US"/>
        </w:rPr>
      </w:pPr>
      <w:r>
        <w:rPr>
          <w:rFonts w:ascii="Verdana" w:hAnsi="Verdana"/>
          <w:b/>
          <w:sz w:val="24"/>
          <w:szCs w:val="24"/>
          <w:lang w:eastAsia="en-US"/>
        </w:rPr>
        <w:t>h</w:t>
      </w:r>
      <w:r w:rsidR="00DE7AED" w:rsidRPr="00DE7AED">
        <w:rPr>
          <w:rFonts w:ascii="Verdana" w:hAnsi="Verdana"/>
          <w:b/>
          <w:sz w:val="24"/>
          <w:szCs w:val="24"/>
          <w:lang w:eastAsia="en-US"/>
        </w:rPr>
        <w:t xml:space="preserve">igher </w:t>
      </w:r>
      <w:r>
        <w:rPr>
          <w:rFonts w:ascii="Verdana" w:hAnsi="Verdana"/>
          <w:b/>
          <w:sz w:val="24"/>
          <w:szCs w:val="24"/>
          <w:lang w:eastAsia="en-US"/>
        </w:rPr>
        <w:t>e</w:t>
      </w:r>
      <w:r w:rsidR="00DE7AED" w:rsidRPr="00DE7AED">
        <w:rPr>
          <w:rFonts w:ascii="Verdana" w:hAnsi="Verdana"/>
          <w:b/>
          <w:sz w:val="24"/>
          <w:szCs w:val="24"/>
          <w:lang w:eastAsia="en-US"/>
        </w:rPr>
        <w:t>ducation</w:t>
      </w:r>
      <w:r>
        <w:rPr>
          <w:rFonts w:ascii="Verdana" w:hAnsi="Verdana"/>
          <w:b/>
          <w:sz w:val="24"/>
          <w:szCs w:val="24"/>
          <w:lang w:eastAsia="en-US"/>
        </w:rPr>
        <w:t>: further analysis</w:t>
      </w:r>
    </w:p>
    <w:p w:rsidR="00DE7AED" w:rsidRPr="00DE7AED" w:rsidRDefault="001C5F43" w:rsidP="00DE7AED">
      <w:pPr>
        <w:spacing w:after="240" w:line="360" w:lineRule="auto"/>
        <w:contextualSpacing/>
        <w:jc w:val="center"/>
        <w:rPr>
          <w:rFonts w:ascii="Verdana" w:hAnsi="Verdana"/>
          <w:b/>
          <w:sz w:val="24"/>
          <w:szCs w:val="24"/>
          <w:lang w:eastAsia="en-US"/>
        </w:rPr>
      </w:pPr>
      <w:r w:rsidRPr="00DE7AED">
        <w:rPr>
          <w:rFonts w:ascii="Verdana" w:hAnsi="Verdana"/>
          <w:b/>
          <w:sz w:val="24"/>
          <w:szCs w:val="24"/>
          <w:lang w:eastAsia="en-US"/>
        </w:rPr>
        <w:t>Part 2</w:t>
      </w:r>
      <w:r>
        <w:rPr>
          <w:rFonts w:ascii="Verdana" w:hAnsi="Verdana"/>
          <w:b/>
          <w:sz w:val="24"/>
          <w:szCs w:val="24"/>
          <w:lang w:eastAsia="en-US"/>
        </w:rPr>
        <w:t>:</w:t>
      </w:r>
      <w:r w:rsidR="00901132">
        <w:rPr>
          <w:rFonts w:ascii="Verdana" w:hAnsi="Verdana"/>
          <w:b/>
          <w:sz w:val="24"/>
          <w:szCs w:val="24"/>
          <w:lang w:eastAsia="en-US"/>
        </w:rPr>
        <w:t xml:space="preserve"> R</w:t>
      </w:r>
      <w:r w:rsidR="00DE7AED" w:rsidRPr="00DE7AED">
        <w:rPr>
          <w:rFonts w:ascii="Verdana" w:hAnsi="Verdana"/>
          <w:b/>
          <w:sz w:val="24"/>
          <w:szCs w:val="24"/>
          <w:lang w:eastAsia="en-US"/>
        </w:rPr>
        <w:t>esponses to comments</w:t>
      </w:r>
    </w:p>
    <w:p w:rsidR="00DE7AED" w:rsidRPr="00DE7AED" w:rsidRDefault="00DE7AED" w:rsidP="00DE7AED">
      <w:pPr>
        <w:spacing w:after="240" w:line="360" w:lineRule="auto"/>
        <w:contextualSpacing/>
        <w:jc w:val="center"/>
        <w:rPr>
          <w:rFonts w:ascii="Verdana" w:hAnsi="Verdana"/>
          <w:b/>
          <w:sz w:val="24"/>
          <w:szCs w:val="24"/>
          <w:lang w:eastAsia="en-US"/>
        </w:rPr>
      </w:pPr>
      <w:r w:rsidRPr="00DE7AED">
        <w:rPr>
          <w:rFonts w:ascii="Verdana" w:hAnsi="Verdana"/>
          <w:b/>
          <w:sz w:val="24"/>
          <w:szCs w:val="24"/>
          <w:lang w:eastAsia="en-US"/>
        </w:rPr>
        <w:t>John Thompson and Bahram Bekhradnia</w:t>
      </w:r>
    </w:p>
    <w:p w:rsidR="00F20F28" w:rsidRPr="00F20F28" w:rsidRDefault="00F20F28" w:rsidP="00AE51A3">
      <w:pPr>
        <w:pStyle w:val="Heading2"/>
        <w:spacing w:before="120" w:after="240" w:line="240" w:lineRule="auto"/>
        <w:rPr>
          <w:bCs w:val="0"/>
          <w:iCs w:val="0"/>
          <w:sz w:val="24"/>
          <w:szCs w:val="28"/>
          <w:lang w:val="en-US" w:eastAsia="en-US"/>
        </w:rPr>
      </w:pPr>
      <w:r w:rsidRPr="00F20F28">
        <w:rPr>
          <w:bCs w:val="0"/>
          <w:iCs w:val="0"/>
          <w:sz w:val="24"/>
          <w:szCs w:val="28"/>
          <w:lang w:val="en-US" w:eastAsia="en-US"/>
        </w:rPr>
        <w:t>Do the inequalities in HE participation matter?</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 xml:space="preserve">This report supplements the </w:t>
      </w:r>
      <w:r w:rsidR="00AE51A3">
        <w:rPr>
          <w:rFonts w:ascii="Verdana" w:hAnsi="Verdana"/>
          <w:lang w:val="en-GB" w:eastAsia="en-GB"/>
        </w:rPr>
        <w:t>research</w:t>
      </w:r>
      <w:r w:rsidRPr="00F20F28">
        <w:rPr>
          <w:rFonts w:ascii="Verdana" w:hAnsi="Verdana"/>
          <w:lang w:val="en-GB" w:eastAsia="en-GB"/>
        </w:rPr>
        <w:t xml:space="preserve"> published by </w:t>
      </w:r>
      <w:r w:rsidR="00136C5E">
        <w:rPr>
          <w:rFonts w:ascii="Verdana" w:hAnsi="Verdana"/>
          <w:lang w:val="en-GB" w:eastAsia="en-GB"/>
        </w:rPr>
        <w:t>HEPI in June 2009 on ‘Male and f</w:t>
      </w:r>
      <w:r w:rsidRPr="00F20F28">
        <w:rPr>
          <w:rFonts w:ascii="Verdana" w:hAnsi="Verdana"/>
          <w:lang w:val="en-GB" w:eastAsia="en-GB"/>
        </w:rPr>
        <w:t xml:space="preserve">emale </w:t>
      </w:r>
      <w:r w:rsidR="00136C5E">
        <w:rPr>
          <w:rFonts w:ascii="Verdana" w:hAnsi="Verdana"/>
          <w:lang w:val="en-GB" w:eastAsia="en-GB"/>
        </w:rPr>
        <w:t>p</w:t>
      </w:r>
      <w:r w:rsidRPr="00F20F28">
        <w:rPr>
          <w:rFonts w:ascii="Verdana" w:hAnsi="Verdana"/>
          <w:lang w:val="en-GB" w:eastAsia="en-GB"/>
        </w:rPr>
        <w:t xml:space="preserve">articipation and </w:t>
      </w:r>
      <w:r w:rsidR="00136C5E">
        <w:rPr>
          <w:rFonts w:ascii="Verdana" w:hAnsi="Verdana"/>
          <w:lang w:val="en-GB" w:eastAsia="en-GB"/>
        </w:rPr>
        <w:t>progression in higher e</w:t>
      </w:r>
      <w:r w:rsidRPr="00F20F28">
        <w:rPr>
          <w:rFonts w:ascii="Verdana" w:hAnsi="Verdana"/>
          <w:lang w:val="en-GB" w:eastAsia="en-GB"/>
        </w:rPr>
        <w:t>ducation</w:t>
      </w:r>
      <w:r w:rsidR="00136C5E">
        <w:rPr>
          <w:rFonts w:ascii="Verdana" w:hAnsi="Verdana"/>
          <w:lang w:val="en-GB" w:eastAsia="en-GB"/>
        </w:rPr>
        <w:t>’</w:t>
      </w:r>
      <w:r w:rsidRPr="00F20F28">
        <w:rPr>
          <w:rFonts w:ascii="Verdana" w:hAnsi="Verdana"/>
          <w:lang w:val="en-GB" w:eastAsia="en-GB"/>
        </w:rPr>
        <w:t>, and reports on some further work done following comments and res</w:t>
      </w:r>
      <w:r w:rsidR="00136C5E">
        <w:rPr>
          <w:rFonts w:ascii="Verdana" w:hAnsi="Verdana"/>
          <w:lang w:val="en-GB" w:eastAsia="en-GB"/>
        </w:rPr>
        <w:t>ponses to the original report.</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There are some valid comments about the admissions process and about changes in subject mix which we address below, but the key facts about the growing inequality of participation are not disputed. The main point of disagreement is whether the inequalities matter. Through a textual analysis Professor Louise Morley detects a “castration anxiety”</w:t>
      </w:r>
      <w:r w:rsidR="003E07F0">
        <w:rPr>
          <w:rFonts w:ascii="Verdana" w:hAnsi="Verdana"/>
          <w:lang w:val="en-GB" w:eastAsia="en-GB"/>
        </w:rPr>
        <w:t>.</w:t>
      </w:r>
      <w:r w:rsidRPr="003E07F0">
        <w:rPr>
          <w:rFonts w:ascii="Verdana" w:hAnsi="Verdana"/>
          <w:vertAlign w:val="superscript"/>
          <w:lang w:val="en-GB" w:eastAsia="en-GB"/>
        </w:rPr>
        <w:footnoteReference w:id="3"/>
      </w:r>
      <w:r w:rsidRPr="00F20F28">
        <w:rPr>
          <w:rFonts w:ascii="Verdana" w:hAnsi="Verdana"/>
          <w:lang w:val="en-GB" w:eastAsia="en-GB"/>
        </w:rPr>
        <w:t xml:space="preserve"> This may or may not be the case. The basis of our underlying motives is often hidden from us, but the authors’ motives are not important. What is important is whether the phenomena observed and reported</w:t>
      </w:r>
      <w:r w:rsidRPr="00F20F28" w:rsidDel="000B5A7A">
        <w:rPr>
          <w:rFonts w:ascii="Verdana" w:hAnsi="Verdana"/>
          <w:lang w:val="en-GB" w:eastAsia="en-GB"/>
        </w:rPr>
        <w:t xml:space="preserve"> </w:t>
      </w:r>
      <w:r w:rsidRPr="00F20F28">
        <w:rPr>
          <w:rFonts w:ascii="Verdana" w:hAnsi="Verdana"/>
          <w:lang w:val="en-GB" w:eastAsia="en-GB"/>
        </w:rPr>
        <w:t>matter to society as a whole. For some the current inequalities do not matter, and, indeed, anyone suggesting that there is a cause for concern is displaying ‘moral panic’. Given that the inequalities in participation are greater than the inequalities to the advantage of men more than thirty years ago, we think that such a position requires more explanation than has been given.</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In our view, of even greater concern is the possibility that current trends take us to a situation where higher education and the related professions are overwhelmingly female, and where almost the only men to progress to higher education are those from the most advantaged socio-economic groups. For some, there is no problem with such a scenario. As one of the contributors to the Time</w:t>
      </w:r>
      <w:r w:rsidR="003E07F0">
        <w:rPr>
          <w:rFonts w:ascii="Verdana" w:hAnsi="Verdana"/>
          <w:lang w:val="en-GB" w:eastAsia="en-GB"/>
        </w:rPr>
        <w:t>s</w:t>
      </w:r>
      <w:r w:rsidRPr="00F20F28">
        <w:rPr>
          <w:rFonts w:ascii="Verdana" w:hAnsi="Verdana"/>
          <w:lang w:val="en-GB" w:eastAsia="en-GB"/>
        </w:rPr>
        <w:t xml:space="preserve"> Hig</w:t>
      </w:r>
      <w:r w:rsidR="00136C5E">
        <w:rPr>
          <w:rFonts w:ascii="Verdana" w:hAnsi="Verdana"/>
          <w:lang w:val="en-GB" w:eastAsia="en-GB"/>
        </w:rPr>
        <w:t>her Education discussion put it:</w:t>
      </w:r>
      <w:r w:rsidRPr="00F20F28">
        <w:rPr>
          <w:rFonts w:ascii="Verdana" w:hAnsi="Verdana"/>
          <w:lang w:val="en-GB" w:eastAsia="en-GB"/>
        </w:rPr>
        <w:t xml:space="preserve"> </w:t>
      </w:r>
    </w:p>
    <w:p w:rsidR="00F20F28" w:rsidRPr="00F20F28" w:rsidRDefault="00F20F28" w:rsidP="001C5F43">
      <w:pPr>
        <w:pStyle w:val="BodyText"/>
        <w:numPr>
          <w:ilvl w:val="0"/>
          <w:numId w:val="0"/>
        </w:numPr>
        <w:overflowPunct/>
        <w:autoSpaceDE/>
        <w:autoSpaceDN/>
        <w:adjustRightInd/>
        <w:spacing w:after="240" w:line="300" w:lineRule="atLeast"/>
        <w:ind w:left="720"/>
        <w:textAlignment w:val="auto"/>
        <w:rPr>
          <w:rFonts w:ascii="Verdana" w:hAnsi="Verdana"/>
          <w:lang w:val="en-GB" w:eastAsia="en-GB"/>
        </w:rPr>
      </w:pPr>
      <w:r w:rsidRPr="00F20F28">
        <w:rPr>
          <w:rFonts w:ascii="Verdana" w:hAnsi="Verdana"/>
          <w:lang w:val="en-GB" w:eastAsia="en-GB"/>
        </w:rPr>
        <w:t>“</w:t>
      </w:r>
      <w:r w:rsidR="00AE51A3">
        <w:rPr>
          <w:rFonts w:ascii="Verdana" w:hAnsi="Verdana"/>
          <w:lang w:val="en-GB" w:eastAsia="en-GB"/>
        </w:rPr>
        <w:t>...</w:t>
      </w:r>
      <w:r w:rsidRPr="00F20F28">
        <w:rPr>
          <w:rFonts w:ascii="Verdana" w:hAnsi="Verdana"/>
          <w:lang w:val="en-GB" w:eastAsia="en-GB"/>
        </w:rPr>
        <w:t>if the boys don't want to get educated, why not let them play football while the more intelligent sex gets on with running the world</w:t>
      </w:r>
      <w:r w:rsidR="00136C5E">
        <w:rPr>
          <w:rFonts w:ascii="Verdana" w:hAnsi="Verdana"/>
          <w:lang w:val="en-GB" w:eastAsia="en-GB"/>
        </w:rPr>
        <w:t>.</w:t>
      </w:r>
      <w:r w:rsidRPr="00F20F28">
        <w:rPr>
          <w:rFonts w:ascii="Verdana" w:hAnsi="Verdana"/>
          <w:lang w:val="en-GB" w:eastAsia="en-GB"/>
        </w:rPr>
        <w:t>”</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If this is also the view of those professors of education and policy makers who think there is no cause for concern, then they should argue this, and perhaps try to anticipate the changes that would result. For our part we concur with the recent OECD report</w:t>
      </w:r>
      <w:r w:rsidR="003E07F0">
        <w:rPr>
          <w:rFonts w:ascii="Verdana" w:hAnsi="Verdana"/>
          <w:lang w:val="en-GB" w:eastAsia="en-GB"/>
        </w:rPr>
        <w:t xml:space="preserve"> that concluded that</w:t>
      </w:r>
      <w:r w:rsidR="00AE51A3">
        <w:rPr>
          <w:rFonts w:ascii="Verdana" w:hAnsi="Verdana"/>
          <w:lang w:val="en-GB" w:eastAsia="en-GB"/>
        </w:rPr>
        <w:t>:</w:t>
      </w:r>
    </w:p>
    <w:p w:rsidR="003E07F0" w:rsidRDefault="00F20F28" w:rsidP="001C5F43">
      <w:pPr>
        <w:pStyle w:val="BodyText"/>
        <w:numPr>
          <w:ilvl w:val="0"/>
          <w:numId w:val="0"/>
        </w:numPr>
        <w:overflowPunct/>
        <w:autoSpaceDE/>
        <w:autoSpaceDN/>
        <w:adjustRightInd/>
        <w:spacing w:after="240" w:line="300" w:lineRule="atLeast"/>
        <w:ind w:left="720"/>
        <w:textAlignment w:val="auto"/>
        <w:rPr>
          <w:rFonts w:ascii="Verdana" w:hAnsi="Verdana"/>
          <w:lang w:val="en-GB" w:eastAsia="en-GB"/>
        </w:rPr>
      </w:pPr>
      <w:r w:rsidRPr="00F20F28">
        <w:rPr>
          <w:rFonts w:ascii="Verdana" w:hAnsi="Verdana"/>
          <w:lang w:val="en-GB" w:eastAsia="en-GB"/>
        </w:rPr>
        <w:lastRenderedPageBreak/>
        <w:t>“</w:t>
      </w:r>
      <w:r w:rsidR="003E07F0">
        <w:rPr>
          <w:rFonts w:ascii="Verdana" w:hAnsi="Verdana"/>
          <w:lang w:val="en-GB" w:eastAsia="en-GB"/>
        </w:rPr>
        <w:t xml:space="preserve">[a] </w:t>
      </w:r>
      <w:r w:rsidRPr="00F20F28">
        <w:rPr>
          <w:rFonts w:ascii="Verdana" w:hAnsi="Verdana"/>
          <w:lang w:val="en-GB" w:eastAsia="en-GB"/>
        </w:rPr>
        <w:t>reason for concern about the reversal of inequalities has to do with the current ignorance of its</w:t>
      </w:r>
      <w:r w:rsidR="003E07F0">
        <w:rPr>
          <w:rFonts w:ascii="Verdana" w:hAnsi="Verdana"/>
          <w:lang w:val="en-GB" w:eastAsia="en-GB"/>
        </w:rPr>
        <w:t xml:space="preserve"> possible social consequences” </w:t>
      </w:r>
    </w:p>
    <w:p w:rsidR="00F20F28" w:rsidRPr="00F20F28" w:rsidRDefault="00524B1A" w:rsidP="003E07F0">
      <w:pPr>
        <w:pStyle w:val="BodyText"/>
        <w:numPr>
          <w:ilvl w:val="0"/>
          <w:numId w:val="0"/>
        </w:numPr>
        <w:overflowPunct/>
        <w:autoSpaceDE/>
        <w:autoSpaceDN/>
        <w:adjustRightInd/>
        <w:spacing w:after="240" w:line="300" w:lineRule="atLeast"/>
        <w:textAlignment w:val="auto"/>
        <w:rPr>
          <w:rFonts w:ascii="Verdana" w:hAnsi="Verdana"/>
          <w:lang w:val="en-GB" w:eastAsia="en-GB"/>
        </w:rPr>
      </w:pPr>
      <w:r>
        <w:rPr>
          <w:rFonts w:ascii="Verdana" w:hAnsi="Verdana"/>
          <w:lang w:val="en-GB" w:eastAsia="en-GB"/>
        </w:rPr>
        <w:t>and that</w:t>
      </w:r>
      <w:r w:rsidR="00AE51A3">
        <w:rPr>
          <w:rFonts w:ascii="Verdana" w:hAnsi="Verdana"/>
          <w:lang w:val="en-GB" w:eastAsia="en-GB"/>
        </w:rPr>
        <w:t>:</w:t>
      </w:r>
    </w:p>
    <w:p w:rsidR="00F20F28" w:rsidRPr="00F20F28" w:rsidRDefault="00F20F28" w:rsidP="001C5F43">
      <w:pPr>
        <w:pStyle w:val="BodyText"/>
        <w:numPr>
          <w:ilvl w:val="0"/>
          <w:numId w:val="0"/>
        </w:numPr>
        <w:overflowPunct/>
        <w:autoSpaceDE/>
        <w:autoSpaceDN/>
        <w:adjustRightInd/>
        <w:spacing w:after="240" w:line="300" w:lineRule="atLeast"/>
        <w:ind w:left="720"/>
        <w:textAlignment w:val="auto"/>
        <w:rPr>
          <w:rFonts w:ascii="Verdana" w:hAnsi="Verdana"/>
          <w:lang w:val="en-GB" w:eastAsia="en-GB"/>
        </w:rPr>
      </w:pPr>
      <w:r w:rsidRPr="00F20F28">
        <w:rPr>
          <w:rFonts w:ascii="Verdana" w:hAnsi="Verdana"/>
          <w:lang w:val="en-GB" w:eastAsia="en-GB"/>
        </w:rPr>
        <w:t>“Societies have accommodated themselves to inequalities to the detriment of women for centuries. They could no doubt just as easily accommodate themselves to inequalities to the detriment of men. Nevertheless, the ideal of equality remains preferable.”</w:t>
      </w:r>
    </w:p>
    <w:p w:rsidR="00F20F28" w:rsidRPr="00F20F28" w:rsidRDefault="00F20F28" w:rsidP="00F20F28">
      <w:pPr>
        <w:pStyle w:val="Heading2"/>
        <w:spacing w:before="120" w:after="240" w:line="240" w:lineRule="auto"/>
        <w:rPr>
          <w:bCs w:val="0"/>
          <w:iCs w:val="0"/>
          <w:sz w:val="24"/>
          <w:szCs w:val="28"/>
          <w:lang w:val="en-US" w:eastAsia="en-US"/>
        </w:rPr>
      </w:pPr>
      <w:r w:rsidRPr="00F20F28">
        <w:rPr>
          <w:bCs w:val="0"/>
          <w:iCs w:val="0"/>
          <w:sz w:val="24"/>
          <w:szCs w:val="28"/>
          <w:lang w:val="en-US" w:eastAsia="en-US"/>
        </w:rPr>
        <w:t>Possible bias in admissions</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 xml:space="preserve">Though most have accepted that women do not have lower participation than men at more prestigious institutions, some have suggested that women’s participation in these institutions relative to others may indicate that women are disadvantaged, that admissions tutors in these more prestigious institutions may be deliberately balancing the intake to prevent women forming a large majority. </w:t>
      </w:r>
    </w:p>
    <w:p w:rsidR="00F20F28" w:rsidRPr="00F20F28" w:rsidRDefault="00F20F28" w:rsidP="00136C5E">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The proportions of men and women (or indeed any other groups of students defined by some attribute) at different groups of institutions depends on a number of decisions:</w:t>
      </w:r>
    </w:p>
    <w:p w:rsidR="00F20F28" w:rsidRPr="00F20F28" w:rsidRDefault="00F20F28" w:rsidP="003E07F0">
      <w:pPr>
        <w:pStyle w:val="BodyText"/>
        <w:numPr>
          <w:ilvl w:val="1"/>
          <w:numId w:val="9"/>
        </w:numPr>
        <w:overflowPunct/>
        <w:autoSpaceDE/>
        <w:autoSpaceDN/>
        <w:adjustRightInd/>
        <w:spacing w:after="240" w:line="300" w:lineRule="atLeast"/>
        <w:textAlignment w:val="auto"/>
        <w:rPr>
          <w:rFonts w:ascii="Verdana" w:hAnsi="Verdana"/>
          <w:lang w:val="en-GB" w:eastAsia="en-GB"/>
        </w:rPr>
      </w:pPr>
      <w:r w:rsidRPr="00F20F28">
        <w:rPr>
          <w:rFonts w:ascii="Verdana" w:hAnsi="Verdana"/>
          <w:lang w:val="en-GB" w:eastAsia="en-GB"/>
        </w:rPr>
        <w:t xml:space="preserve">the numbers of students </w:t>
      </w:r>
      <w:r w:rsidR="00136C5E">
        <w:rPr>
          <w:rFonts w:ascii="Verdana" w:hAnsi="Verdana"/>
          <w:lang w:val="en-GB" w:eastAsia="en-GB"/>
        </w:rPr>
        <w:t>applying to such institutions (“the applicant</w:t>
      </w:r>
      <w:r w:rsidR="00AE51A3">
        <w:rPr>
          <w:rFonts w:ascii="Verdana" w:hAnsi="Verdana"/>
          <w:lang w:val="en-GB" w:eastAsia="en-GB"/>
        </w:rPr>
        <w:t>’</w:t>
      </w:r>
      <w:r w:rsidR="00136C5E">
        <w:rPr>
          <w:rFonts w:ascii="Verdana" w:hAnsi="Verdana"/>
          <w:lang w:val="en-GB" w:eastAsia="en-GB"/>
        </w:rPr>
        <w:t>s first decision</w:t>
      </w:r>
      <w:r w:rsidRPr="00F20F28">
        <w:rPr>
          <w:rFonts w:ascii="Verdana" w:hAnsi="Verdana"/>
          <w:lang w:val="en-GB" w:eastAsia="en-GB"/>
        </w:rPr>
        <w:t>”) ;</w:t>
      </w:r>
    </w:p>
    <w:p w:rsidR="00F20F28" w:rsidRPr="00F20F28" w:rsidRDefault="00F20F28" w:rsidP="003E07F0">
      <w:pPr>
        <w:pStyle w:val="BodyText"/>
        <w:numPr>
          <w:ilvl w:val="1"/>
          <w:numId w:val="9"/>
        </w:numPr>
        <w:overflowPunct/>
        <w:autoSpaceDE/>
        <w:autoSpaceDN/>
        <w:adjustRightInd/>
        <w:spacing w:after="240" w:line="300" w:lineRule="atLeast"/>
        <w:textAlignment w:val="auto"/>
        <w:rPr>
          <w:rFonts w:ascii="Verdana" w:hAnsi="Verdana"/>
          <w:lang w:val="en-GB" w:eastAsia="en-GB"/>
        </w:rPr>
      </w:pPr>
      <w:r w:rsidRPr="00F20F28">
        <w:rPr>
          <w:rFonts w:ascii="Verdana" w:hAnsi="Verdana"/>
          <w:lang w:val="en-GB" w:eastAsia="en-GB"/>
        </w:rPr>
        <w:t>the proportion of applicants gaining offers (“the institution’s main decision”);</w:t>
      </w:r>
    </w:p>
    <w:p w:rsidR="00F20F28" w:rsidRPr="00F20F28" w:rsidRDefault="00F20F28" w:rsidP="003E07F0">
      <w:pPr>
        <w:pStyle w:val="BodyText"/>
        <w:numPr>
          <w:ilvl w:val="1"/>
          <w:numId w:val="9"/>
        </w:numPr>
        <w:overflowPunct/>
        <w:autoSpaceDE/>
        <w:autoSpaceDN/>
        <w:adjustRightInd/>
        <w:spacing w:after="240" w:line="300" w:lineRule="atLeast"/>
        <w:textAlignment w:val="auto"/>
        <w:rPr>
          <w:rFonts w:ascii="Verdana" w:hAnsi="Verdana"/>
          <w:lang w:val="en-GB" w:eastAsia="en-GB"/>
        </w:rPr>
      </w:pPr>
      <w:r w:rsidRPr="00F20F28">
        <w:rPr>
          <w:rFonts w:ascii="Verdana" w:hAnsi="Verdana"/>
          <w:lang w:val="en-GB" w:eastAsia="en-GB"/>
        </w:rPr>
        <w:t>the decision of applicants to accep</w:t>
      </w:r>
      <w:r w:rsidR="00136C5E">
        <w:rPr>
          <w:rFonts w:ascii="Verdana" w:hAnsi="Verdana"/>
          <w:lang w:val="en-GB" w:eastAsia="en-GB"/>
        </w:rPr>
        <w:t>t an offer (“</w:t>
      </w:r>
      <w:r w:rsidRPr="00F20F28">
        <w:rPr>
          <w:rFonts w:ascii="Verdana" w:hAnsi="Verdana"/>
          <w:lang w:val="en-GB" w:eastAsia="en-GB"/>
        </w:rPr>
        <w:t>the applicant’s second decision”).</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 xml:space="preserve">The final outcome also depends on whether the applicant meets the requirements of the offer and (if not) whether the institution accepts the applicant even if they do not meet the offer, say when they just miss the required grades (the </w:t>
      </w:r>
      <w:r w:rsidR="00136C5E">
        <w:rPr>
          <w:rFonts w:ascii="Verdana" w:hAnsi="Verdana"/>
          <w:lang w:val="en-GB" w:eastAsia="en-GB"/>
        </w:rPr>
        <w:t>“</w:t>
      </w:r>
      <w:r w:rsidRPr="00F20F28">
        <w:rPr>
          <w:rFonts w:ascii="Verdana" w:hAnsi="Verdana"/>
          <w:lang w:val="en-GB" w:eastAsia="en-GB"/>
        </w:rPr>
        <w:t>institution’s secondary decision</w:t>
      </w:r>
      <w:r w:rsidR="00136C5E">
        <w:rPr>
          <w:rFonts w:ascii="Verdana" w:hAnsi="Verdana"/>
          <w:lang w:val="en-GB" w:eastAsia="en-GB"/>
        </w:rPr>
        <w:t>”</w:t>
      </w:r>
      <w:r w:rsidRPr="00F20F28">
        <w:rPr>
          <w:rFonts w:ascii="Verdana" w:hAnsi="Verdana"/>
          <w:lang w:val="en-GB" w:eastAsia="en-GB"/>
        </w:rPr>
        <w:t>).</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The process is further complicated by the fact that applicants can, and usually do, make more than one application, that they can accept an offer as an ‘insur</w:t>
      </w:r>
      <w:r w:rsidR="00136C5E">
        <w:rPr>
          <w:rFonts w:ascii="Verdana" w:hAnsi="Verdana"/>
          <w:lang w:val="en-GB" w:eastAsia="en-GB"/>
        </w:rPr>
        <w:t xml:space="preserve">ance’ place. And then there is </w:t>
      </w:r>
      <w:r w:rsidRPr="00F20F28">
        <w:rPr>
          <w:rFonts w:ascii="Verdana" w:hAnsi="Verdana"/>
          <w:lang w:val="en-GB" w:eastAsia="en-GB"/>
        </w:rPr>
        <w:t>clearing, the process whereby applicants who do not have confirmed offers find places at the end of the application cycle.</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 xml:space="preserve">It is suggested that institutions, and particularly prestigious institutions, may be biased against women in making their decisions. By ‘bias’ we mean that there is a systematic preference for men compared to women applying for the same course with the same demonstrable strengths. The main component of these </w:t>
      </w:r>
      <w:r w:rsidR="00AE51A3">
        <w:rPr>
          <w:rFonts w:ascii="Verdana" w:hAnsi="Verdana"/>
          <w:lang w:val="en-GB" w:eastAsia="en-GB"/>
        </w:rPr>
        <w:t>‘</w:t>
      </w:r>
      <w:r w:rsidRPr="00F20F28">
        <w:rPr>
          <w:rFonts w:ascii="Verdana" w:hAnsi="Verdana"/>
          <w:lang w:val="en-GB" w:eastAsia="en-GB"/>
        </w:rPr>
        <w:t>demonstrable strengths</w:t>
      </w:r>
      <w:r w:rsidR="00AE51A3">
        <w:rPr>
          <w:rFonts w:ascii="Verdana" w:hAnsi="Verdana"/>
          <w:lang w:val="en-GB" w:eastAsia="en-GB"/>
        </w:rPr>
        <w:t>’</w:t>
      </w:r>
      <w:r w:rsidRPr="00F20F28">
        <w:rPr>
          <w:rFonts w:ascii="Verdana" w:hAnsi="Verdana"/>
          <w:lang w:val="en-GB" w:eastAsia="en-GB"/>
        </w:rPr>
        <w:t xml:space="preserve"> would </w:t>
      </w:r>
      <w:r w:rsidRPr="00F20F28">
        <w:rPr>
          <w:rFonts w:ascii="Verdana" w:hAnsi="Verdana"/>
          <w:lang w:val="en-GB" w:eastAsia="en-GB"/>
        </w:rPr>
        <w:lastRenderedPageBreak/>
        <w:t>be the grades and subjects of their pre-HE qualifications, but other factors may also be included, like performance in the institution’s own tests, interviews, etc.</w:t>
      </w:r>
    </w:p>
    <w:p w:rsidR="00F20F28" w:rsidRPr="00F20F28" w:rsidRDefault="00F20F28" w:rsidP="00F20F28">
      <w:pPr>
        <w:spacing w:after="200" w:line="276" w:lineRule="auto"/>
        <w:rPr>
          <w:rFonts w:ascii="Verdana" w:hAnsi="Verdana"/>
          <w:i/>
          <w:sz w:val="22"/>
          <w:szCs w:val="22"/>
          <w:lang w:val="en-US" w:eastAsia="en-US"/>
        </w:rPr>
      </w:pPr>
      <w:r w:rsidRPr="00F20F28">
        <w:rPr>
          <w:rFonts w:ascii="Verdana" w:hAnsi="Verdana"/>
          <w:i/>
          <w:sz w:val="22"/>
          <w:szCs w:val="22"/>
          <w:lang w:val="en-US" w:eastAsia="en-US"/>
        </w:rPr>
        <w:t>Challenges in modelling the admissions process</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 xml:space="preserve">It is very difficult to assess whether there is any bias against one group of students compared to another. Quite apart from the fact that data on some of the components of the </w:t>
      </w:r>
      <w:r w:rsidR="00AE51A3">
        <w:rPr>
          <w:rFonts w:ascii="Verdana" w:hAnsi="Verdana"/>
          <w:lang w:val="en-GB" w:eastAsia="en-GB"/>
        </w:rPr>
        <w:t>‘</w:t>
      </w:r>
      <w:r w:rsidRPr="00F20F28">
        <w:rPr>
          <w:rFonts w:ascii="Verdana" w:hAnsi="Verdana"/>
          <w:lang w:val="en-GB" w:eastAsia="en-GB"/>
        </w:rPr>
        <w:t>demonstrable strengths</w:t>
      </w:r>
      <w:r w:rsidR="00AE51A3">
        <w:rPr>
          <w:rFonts w:ascii="Verdana" w:hAnsi="Verdana"/>
          <w:lang w:val="en-GB" w:eastAsia="en-GB"/>
        </w:rPr>
        <w:t>’</w:t>
      </w:r>
      <w:r w:rsidRPr="00F20F28">
        <w:rPr>
          <w:rFonts w:ascii="Verdana" w:hAnsi="Verdana"/>
          <w:lang w:val="en-GB" w:eastAsia="en-GB"/>
        </w:rPr>
        <w:t xml:space="preserve"> are not available, the technical problems are non-trivial. This is most clearly demonstrated by the work of Shiner and Modood (Shiner, et al, 2002). Their analysis was the most sophisticated that had been undertaken for applications across institutions and subjects at that time. Most of the published work had simply compared aggregate totals of applications and acceptances. However, they wrongly concluded that applicants from ethnic minorities face a penalty when applying to pre-92 universities. This conclusion was the result of a </w:t>
      </w:r>
      <w:r w:rsidR="00901132">
        <w:rPr>
          <w:rFonts w:ascii="Verdana" w:hAnsi="Verdana"/>
          <w:lang w:val="en-GB" w:eastAsia="en-GB"/>
        </w:rPr>
        <w:t xml:space="preserve">now-acknowledged </w:t>
      </w:r>
      <w:r w:rsidRPr="00F20F28">
        <w:rPr>
          <w:rFonts w:ascii="Verdana" w:hAnsi="Verdana"/>
          <w:lang w:val="en-GB" w:eastAsia="en-GB"/>
        </w:rPr>
        <w:t>weakness in their modelling. Both the strength and suitability of applicants’ qualifications in relation to the course of study they applied for, and the competitiveness or difficulty of gaining a place on an individual course</w:t>
      </w:r>
      <w:r w:rsidR="00C73674">
        <w:rPr>
          <w:rFonts w:ascii="Verdana" w:hAnsi="Verdana"/>
          <w:lang w:val="en-GB" w:eastAsia="en-GB"/>
        </w:rPr>
        <w:t>,</w:t>
      </w:r>
      <w:r w:rsidRPr="00F20F28">
        <w:rPr>
          <w:rFonts w:ascii="Verdana" w:hAnsi="Verdana"/>
          <w:lang w:val="en-GB" w:eastAsia="en-GB"/>
        </w:rPr>
        <w:t xml:space="preserve"> have to be characterised in some detail. If this is not done, in the statistical modelling, student attributes can ‘pick up’ the unspecified applicant or course characteristics, as happened in the Shiner and Modood analysis. For example, if, on average, women were more likely to apply for more competitive courses than men, and the competitiveness was not fully characterised in the modelling, it would appear that there was a specific disadvantage, or bias, against women.</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 xml:space="preserve"> When the analysis has been carried out rigorously there seems to be a slight advantage for women both for subjects in general </w:t>
      </w:r>
      <w:r w:rsidR="00901132">
        <w:rPr>
          <w:rFonts w:ascii="Verdana" w:hAnsi="Verdana"/>
          <w:lang w:val="en-GB" w:eastAsia="en-GB"/>
        </w:rPr>
        <w:t>(HEFCE 2005a) and for medicine</w:t>
      </w:r>
      <w:r w:rsidRPr="00F20F28">
        <w:rPr>
          <w:rFonts w:ascii="Verdana" w:hAnsi="Verdana"/>
          <w:lang w:val="en-GB" w:eastAsia="en-GB"/>
        </w:rPr>
        <w:t>. This may have been due to bias, or, more likely, some unmeasure</w:t>
      </w:r>
      <w:r w:rsidR="00C73674">
        <w:rPr>
          <w:rFonts w:ascii="Verdana" w:hAnsi="Verdana"/>
          <w:lang w:val="en-GB" w:eastAsia="en-GB"/>
        </w:rPr>
        <w:t>d component of the applicant’s ‘demonstrable strengths’.</w:t>
      </w:r>
      <w:r w:rsidRPr="00F20F28">
        <w:rPr>
          <w:rFonts w:ascii="Verdana" w:hAnsi="Verdana"/>
          <w:lang w:val="en-GB" w:eastAsia="en-GB"/>
        </w:rPr>
        <w:t xml:space="preserve"> Those carrying out the analysis, unlike the admissions tutors, only had grades of qualifications and, particularly for a subject like medicine, other strengths will be important.</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 xml:space="preserve">Both of these studies are now rather out of date, looking at cohorts before the gap in participation between men and women had reached the current levels, and it is possible that the situation has changed and that institutions could now be exercising a bias against women in order to achieve a better gender balance. There is a need for the analysis to be repeated for more recent cohorts, not least because there are still some unresolved issues about possible ethnic bias for certain subjects, </w:t>
      </w:r>
      <w:r w:rsidR="00C73674">
        <w:rPr>
          <w:rFonts w:ascii="Verdana" w:hAnsi="Verdana"/>
          <w:lang w:val="en-GB" w:eastAsia="en-GB"/>
        </w:rPr>
        <w:t>l</w:t>
      </w:r>
      <w:r w:rsidRPr="00F20F28">
        <w:rPr>
          <w:rFonts w:ascii="Verdana" w:hAnsi="Verdana"/>
          <w:lang w:val="en-GB" w:eastAsia="en-GB"/>
        </w:rPr>
        <w:t>aw in particular, as well as to see if there is indeed any apparent bias against women, or, indeed, a continuing possible bias against men. HEFCE have said they will carry out or commission further research.</w:t>
      </w:r>
    </w:p>
    <w:p w:rsidR="00F20F28" w:rsidRPr="00F20F28" w:rsidRDefault="00F20F28" w:rsidP="00F20F28">
      <w:pPr>
        <w:spacing w:after="200" w:line="276" w:lineRule="auto"/>
        <w:rPr>
          <w:rFonts w:ascii="Verdana" w:hAnsi="Verdana"/>
          <w:i/>
          <w:sz w:val="22"/>
          <w:szCs w:val="22"/>
          <w:lang w:val="en-US" w:eastAsia="en-US"/>
        </w:rPr>
      </w:pPr>
      <w:r w:rsidRPr="00F20F28">
        <w:rPr>
          <w:rFonts w:ascii="Verdana" w:hAnsi="Verdana"/>
          <w:i/>
          <w:sz w:val="22"/>
          <w:szCs w:val="22"/>
          <w:lang w:val="en-US" w:eastAsia="en-US"/>
        </w:rPr>
        <w:lastRenderedPageBreak/>
        <w:t>Study by the Institute of Employment Research (IER)</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 xml:space="preserve"> Purcell has reported some findings which suggest that similarly qualified female applicants have lower offer rates. The model used appears not to control for either applicant or course characteristics to the extent that was found to be necessary when analysing Shiner and Modood’s data. We would reinforce the view of Purcell and colleagues that their findings warrant “further detailed investigation”, but in the meantime it appears that there is no convincing evidence of bias for or against women in the HE application process. </w:t>
      </w:r>
    </w:p>
    <w:p w:rsidR="00F20F28" w:rsidRPr="00F20F28" w:rsidRDefault="00F20F28" w:rsidP="00F20F28">
      <w:pPr>
        <w:spacing w:after="200" w:line="276" w:lineRule="auto"/>
        <w:rPr>
          <w:rFonts w:ascii="Verdana" w:hAnsi="Verdana"/>
          <w:i/>
          <w:sz w:val="22"/>
          <w:szCs w:val="22"/>
          <w:lang w:val="en-US" w:eastAsia="en-US"/>
        </w:rPr>
      </w:pPr>
      <w:r w:rsidRPr="00F20F28">
        <w:rPr>
          <w:rFonts w:ascii="Verdana" w:hAnsi="Verdana"/>
          <w:i/>
          <w:sz w:val="22"/>
          <w:szCs w:val="22"/>
          <w:lang w:val="en-US" w:eastAsia="en-US"/>
        </w:rPr>
        <w:t>Admissions to the University of Oxford</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 xml:space="preserve">A </w:t>
      </w:r>
      <w:r w:rsidR="00901132">
        <w:rPr>
          <w:rFonts w:ascii="Verdana" w:hAnsi="Verdana"/>
          <w:lang w:val="en-GB" w:eastAsia="en-GB"/>
        </w:rPr>
        <w:t xml:space="preserve">2009 </w:t>
      </w:r>
      <w:r w:rsidRPr="00F20F28">
        <w:rPr>
          <w:rFonts w:ascii="Verdana" w:hAnsi="Verdana"/>
          <w:lang w:val="en-GB" w:eastAsia="en-GB"/>
        </w:rPr>
        <w:t xml:space="preserve">study of admissions to the University </w:t>
      </w:r>
      <w:r w:rsidR="003E07F0">
        <w:rPr>
          <w:rFonts w:ascii="Verdana" w:hAnsi="Verdana"/>
          <w:lang w:val="en-GB" w:eastAsia="en-GB"/>
        </w:rPr>
        <w:t xml:space="preserve">of </w:t>
      </w:r>
      <w:r w:rsidRPr="00F20F28">
        <w:rPr>
          <w:rFonts w:ascii="Verdana" w:hAnsi="Verdana"/>
          <w:lang w:val="en-GB" w:eastAsia="en-GB"/>
        </w:rPr>
        <w:t>Oxford concluded that “female applicants are disadvantaged despite their superior academic qualifications”. This was reported in the Guardian under the headline, “Oxford University admissions favour men, study finds”. In fact the study was based on those applicants who had been shortlisted for an interview; there is no analysis of the first stage of selection. The study also concluded that shortlisted applicants from South Asian background were disadvantaged. The analysis was based on a survey, which, while much richer than administrative data, does have potential problems with response bias and representativity. Women were more likely to agree to be part of the study than men, and this difference was greatest for those not getting an offer. This resulted in an offer rate for men 18</w:t>
      </w:r>
      <w:r w:rsidR="003E07F0">
        <w:rPr>
          <w:rFonts w:ascii="Verdana" w:hAnsi="Verdana"/>
          <w:lang w:val="en-GB" w:eastAsia="en-GB"/>
        </w:rPr>
        <w:t xml:space="preserve"> per cent</w:t>
      </w:r>
      <w:r w:rsidRPr="00F20F28">
        <w:rPr>
          <w:rFonts w:ascii="Verdana" w:hAnsi="Verdana"/>
          <w:lang w:val="en-GB" w:eastAsia="en-GB"/>
        </w:rPr>
        <w:t xml:space="preserve"> higher than for women for the participants in the study, compared to an offer rate for men 10</w:t>
      </w:r>
      <w:r w:rsidR="003E07F0">
        <w:rPr>
          <w:rFonts w:ascii="Verdana" w:hAnsi="Verdana"/>
          <w:lang w:val="en-GB" w:eastAsia="en-GB"/>
        </w:rPr>
        <w:t xml:space="preserve"> per cent</w:t>
      </w:r>
      <w:r w:rsidRPr="00F20F28">
        <w:rPr>
          <w:rFonts w:ascii="Verdana" w:hAnsi="Verdana"/>
          <w:lang w:val="en-GB" w:eastAsia="en-GB"/>
        </w:rPr>
        <w:t xml:space="preserve"> higher than for women in the target population of selected colleges. Across the university as a whole</w:t>
      </w:r>
      <w:r w:rsidR="003E07F0">
        <w:rPr>
          <w:rFonts w:ascii="Verdana" w:hAnsi="Verdana"/>
          <w:lang w:val="en-GB" w:eastAsia="en-GB"/>
        </w:rPr>
        <w:t>,</w:t>
      </w:r>
      <w:r w:rsidRPr="00F20F28">
        <w:rPr>
          <w:rFonts w:ascii="Verdana" w:hAnsi="Verdana"/>
          <w:lang w:val="en-GB" w:eastAsia="en-GB"/>
        </w:rPr>
        <w:t xml:space="preserve"> shortlisted male applicants had an offer rate 4</w:t>
      </w:r>
      <w:r w:rsidR="003E07F0">
        <w:rPr>
          <w:rFonts w:ascii="Verdana" w:hAnsi="Verdana"/>
          <w:lang w:val="en-GB" w:eastAsia="en-GB"/>
        </w:rPr>
        <w:t xml:space="preserve"> per cent</w:t>
      </w:r>
      <w:r w:rsidRPr="00F20F28">
        <w:rPr>
          <w:rFonts w:ascii="Verdana" w:hAnsi="Verdana"/>
          <w:lang w:val="en-GB" w:eastAsia="en-GB"/>
        </w:rPr>
        <w:t xml:space="preserve"> higher than for shortlisted female applicants.  Also, in our view, neither the competitiveness of the courses, nor the academic strengt</w:t>
      </w:r>
      <w:r w:rsidR="003E07F0">
        <w:rPr>
          <w:rFonts w:ascii="Verdana" w:hAnsi="Verdana"/>
          <w:lang w:val="en-GB" w:eastAsia="en-GB"/>
        </w:rPr>
        <w:t>h of the shortlisted applicants</w:t>
      </w:r>
      <w:r w:rsidRPr="00F20F28">
        <w:rPr>
          <w:rFonts w:ascii="Verdana" w:hAnsi="Verdana"/>
          <w:lang w:val="en-GB" w:eastAsia="en-GB"/>
        </w:rPr>
        <w:t>, were sufficiently characterised for us to be confident that the reported disadvantages were real.</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 xml:space="preserve"> In the </w:t>
      </w:r>
      <w:r w:rsidR="00524B1A">
        <w:rPr>
          <w:rFonts w:ascii="Verdana" w:hAnsi="Verdana"/>
          <w:lang w:val="en-GB" w:eastAsia="en-GB"/>
        </w:rPr>
        <w:t xml:space="preserve">recent </w:t>
      </w:r>
      <w:r w:rsidRPr="00F20F28">
        <w:rPr>
          <w:rFonts w:ascii="Verdana" w:hAnsi="Verdana"/>
          <w:lang w:val="en-GB" w:eastAsia="en-GB"/>
        </w:rPr>
        <w:t>paper courses were divided into tw</w:t>
      </w:r>
      <w:r w:rsidR="00901132">
        <w:rPr>
          <w:rFonts w:ascii="Verdana" w:hAnsi="Verdana"/>
          <w:lang w:val="en-GB" w:eastAsia="en-GB"/>
        </w:rPr>
        <w:t>o groups, ‘arts’ and ‘sciences’</w:t>
      </w:r>
      <w:r w:rsidRPr="00F20F28">
        <w:rPr>
          <w:rFonts w:ascii="Verdana" w:hAnsi="Verdana"/>
          <w:lang w:val="en-GB" w:eastAsia="en-GB"/>
        </w:rPr>
        <w:t xml:space="preserve">. </w:t>
      </w:r>
      <w:r w:rsidR="00C73674">
        <w:rPr>
          <w:rFonts w:ascii="Verdana" w:hAnsi="Verdana"/>
          <w:lang w:val="en-GB" w:eastAsia="en-GB"/>
        </w:rPr>
        <w:t xml:space="preserve"> </w:t>
      </w:r>
      <w:r w:rsidRPr="00F20F28">
        <w:rPr>
          <w:rFonts w:ascii="Verdana" w:hAnsi="Verdana"/>
          <w:lang w:val="en-GB" w:eastAsia="en-GB"/>
        </w:rPr>
        <w:t xml:space="preserve">In an earlier thesis </w:t>
      </w:r>
      <w:r w:rsidR="00901132">
        <w:rPr>
          <w:rFonts w:ascii="Verdana" w:hAnsi="Verdana"/>
          <w:lang w:val="en-GB" w:eastAsia="en-GB"/>
        </w:rPr>
        <w:t xml:space="preserve">the same author divided </w:t>
      </w:r>
      <w:r w:rsidRPr="00F20F28">
        <w:rPr>
          <w:rFonts w:ascii="Verdana" w:hAnsi="Verdana"/>
          <w:lang w:val="en-GB" w:eastAsia="en-GB"/>
        </w:rPr>
        <w:t xml:space="preserve">courses into three subject groups (Humanities, Social Sciences and Other) and two specific subjects (Medicine and Mathematics). The only model which shows a significant sex effect was for </w:t>
      </w:r>
      <w:r w:rsidR="003E07F0">
        <w:rPr>
          <w:rFonts w:ascii="Verdana" w:hAnsi="Verdana"/>
          <w:lang w:val="en-GB" w:eastAsia="en-GB"/>
        </w:rPr>
        <w:t>‘</w:t>
      </w:r>
      <w:r w:rsidRPr="00F20F28">
        <w:rPr>
          <w:rFonts w:ascii="Verdana" w:hAnsi="Verdana"/>
          <w:lang w:val="en-GB" w:eastAsia="en-GB"/>
        </w:rPr>
        <w:t>other</w:t>
      </w:r>
      <w:r w:rsidR="003E07F0">
        <w:rPr>
          <w:rFonts w:ascii="Verdana" w:hAnsi="Verdana"/>
          <w:lang w:val="en-GB" w:eastAsia="en-GB"/>
        </w:rPr>
        <w:t>’</w:t>
      </w:r>
      <w:r w:rsidRPr="00F20F28">
        <w:rPr>
          <w:rFonts w:ascii="Verdana" w:hAnsi="Verdana"/>
          <w:lang w:val="en-GB" w:eastAsia="en-GB"/>
        </w:rPr>
        <w:t xml:space="preserve"> subjects, where the course competitiveness heterogeneity is likely to be greatest.  Oxford is a selecting (rather than recruiting) university for all its courses. However competitiveness is almost certainly not equal for all courses, and it is not safe to model the application process with the levels of course aggregation used.  </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 xml:space="preserve">The subjects of both A-levels and GCSEs, which we know to be important, were not characterised. Even if they had been, these prior </w:t>
      </w:r>
      <w:r w:rsidRPr="00F20F28">
        <w:rPr>
          <w:rFonts w:ascii="Verdana" w:hAnsi="Verdana"/>
          <w:lang w:val="en-GB" w:eastAsia="en-GB"/>
        </w:rPr>
        <w:lastRenderedPageBreak/>
        <w:t>academic qualifications cannot fully capture the prior academic strength of the shortlisted applicants to Oxford. This is because almost all have or are expected to get A grades at A-level and have a large number of GCSE grades  A and A*.  Results of subject specific tests, which Oxford has introduced for most subjects, were not included, apart from subjects where te</w:t>
      </w:r>
      <w:r w:rsidR="00C73674">
        <w:rPr>
          <w:rFonts w:ascii="Verdana" w:hAnsi="Verdana"/>
          <w:lang w:val="en-GB" w:eastAsia="en-GB"/>
        </w:rPr>
        <w:t>sts were centrally administered –</w:t>
      </w:r>
      <w:r w:rsidRPr="00F20F28">
        <w:rPr>
          <w:rFonts w:ascii="Verdana" w:hAnsi="Verdana"/>
          <w:lang w:val="en-GB" w:eastAsia="en-GB"/>
        </w:rPr>
        <w:t xml:space="preserve"> that is</w:t>
      </w:r>
      <w:r w:rsidR="00C73674">
        <w:rPr>
          <w:rFonts w:ascii="Verdana" w:hAnsi="Verdana"/>
          <w:lang w:val="en-GB" w:eastAsia="en-GB"/>
        </w:rPr>
        <w:t>,</w:t>
      </w:r>
      <w:r w:rsidRPr="00F20F28">
        <w:rPr>
          <w:rFonts w:ascii="Verdana" w:hAnsi="Verdana"/>
          <w:lang w:val="en-GB" w:eastAsia="en-GB"/>
        </w:rPr>
        <w:t xml:space="preserve"> for medicine and mathematics. Models which included these test results showed no significant differences in the offer rates for men and women. The other more judgemental factors used in the selection process, like interview scores, could reflect bias resulting from white male interviewers recruiting </w:t>
      </w:r>
      <w:r w:rsidR="00C73674">
        <w:rPr>
          <w:rFonts w:ascii="Verdana" w:hAnsi="Verdana"/>
          <w:lang w:val="en-GB" w:eastAsia="en-GB"/>
        </w:rPr>
        <w:t>‘in their own image’</w:t>
      </w:r>
      <w:r w:rsidRPr="00F20F28">
        <w:rPr>
          <w:rFonts w:ascii="Verdana" w:hAnsi="Verdana"/>
          <w:lang w:val="en-GB" w:eastAsia="en-GB"/>
        </w:rPr>
        <w:t xml:space="preserve">, but equally these scores could be accurate measures of the shortlisted applicants’ ability and motivation. We do not have any evidence to decide which is the case. </w:t>
      </w:r>
    </w:p>
    <w:p w:rsidR="00F20F28" w:rsidRPr="00F20F28" w:rsidRDefault="00F20F28" w:rsidP="00F20F28">
      <w:pPr>
        <w:spacing w:after="200" w:line="276" w:lineRule="auto"/>
        <w:rPr>
          <w:rFonts w:ascii="Verdana" w:hAnsi="Verdana"/>
          <w:i/>
          <w:sz w:val="22"/>
          <w:szCs w:val="22"/>
          <w:lang w:val="en-US" w:eastAsia="en-US"/>
        </w:rPr>
      </w:pPr>
      <w:r w:rsidRPr="00F20F28">
        <w:rPr>
          <w:rFonts w:ascii="Verdana" w:hAnsi="Verdana"/>
          <w:i/>
          <w:sz w:val="22"/>
          <w:szCs w:val="22"/>
          <w:lang w:val="en-US" w:eastAsia="en-US"/>
        </w:rPr>
        <w:t>Summary</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 xml:space="preserve">Though there are several studies that appear to show that women are disadvantaged in the application process, none is conclusive. The unanswered questions about possible bias by sex, ethnicity and other student attributes can and should be investigated, and we would urge HEFCE to ensure that this is done in the near future. </w:t>
      </w:r>
    </w:p>
    <w:p w:rsidR="00F20F28" w:rsidRPr="00F20F28" w:rsidRDefault="00F20F28" w:rsidP="00F20F28">
      <w:pPr>
        <w:pStyle w:val="Heading2"/>
        <w:spacing w:before="120" w:after="240" w:line="240" w:lineRule="auto"/>
        <w:rPr>
          <w:bCs w:val="0"/>
          <w:iCs w:val="0"/>
          <w:sz w:val="24"/>
          <w:szCs w:val="28"/>
          <w:lang w:val="en-US" w:eastAsia="en-US"/>
        </w:rPr>
      </w:pPr>
      <w:r w:rsidRPr="00F20F28">
        <w:rPr>
          <w:bCs w:val="0"/>
          <w:iCs w:val="0"/>
          <w:sz w:val="24"/>
          <w:szCs w:val="28"/>
          <w:lang w:val="en-US" w:eastAsia="en-US"/>
        </w:rPr>
        <w:t>Integration of nursing and other programmes into higher education</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 xml:space="preserve">Several correspondents have pointed out that the integration of nursing courses into higher education will have increased the HE participation rates for women more than for men. This is a valid point, and is something that should have been dealt with in the report. It is also the case that much of the growth in foundation degree programmes with courses aimed at teaching assistants and those working in social care occupations will reflect the high proportions of women in those professions. </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Though these points are valid, they account for only part of the growing inequality in HE participation between men and women. The impact of the integration of nursing education into HE on participation rates was in</w:t>
      </w:r>
      <w:r w:rsidR="00C73674">
        <w:rPr>
          <w:rFonts w:ascii="Verdana" w:hAnsi="Verdana"/>
          <w:lang w:val="en-GB" w:eastAsia="en-GB"/>
        </w:rPr>
        <w:t>vestigated in the HEFCE report ‘</w:t>
      </w:r>
      <w:r w:rsidRPr="00F20F28">
        <w:rPr>
          <w:rFonts w:ascii="Verdana" w:hAnsi="Verdana"/>
          <w:lang w:val="en-GB" w:eastAsia="en-GB"/>
        </w:rPr>
        <w:t>Young pa</w:t>
      </w:r>
      <w:r w:rsidR="00344CA4">
        <w:rPr>
          <w:rFonts w:ascii="Verdana" w:hAnsi="Verdana"/>
          <w:lang w:val="en-GB" w:eastAsia="en-GB"/>
        </w:rPr>
        <w:t>r</w:t>
      </w:r>
      <w:r w:rsidR="00C73674">
        <w:rPr>
          <w:rFonts w:ascii="Verdana" w:hAnsi="Verdana"/>
          <w:lang w:val="en-GB" w:eastAsia="en-GB"/>
        </w:rPr>
        <w:t>ticipation in higher education’</w:t>
      </w:r>
      <w:r w:rsidRPr="00F20F28">
        <w:rPr>
          <w:rFonts w:ascii="Verdana" w:hAnsi="Verdana"/>
          <w:lang w:val="en-GB" w:eastAsia="en-GB"/>
        </w:rPr>
        <w:t>.  It was found that “if nursing students are removed from the statistic then, as expected, the sexual inequality reduces, but remains substantial</w:t>
      </w:r>
      <w:r w:rsidR="003E07F0">
        <w:rPr>
          <w:rFonts w:ascii="Verdana" w:hAnsi="Verdana"/>
          <w:lang w:val="en-GB" w:eastAsia="en-GB"/>
        </w:rPr>
        <w:t>...</w:t>
      </w:r>
      <w:r w:rsidRPr="00F20F28">
        <w:rPr>
          <w:rFonts w:ascii="Verdana" w:hAnsi="Verdana"/>
          <w:lang w:val="en-GB" w:eastAsia="en-GB"/>
        </w:rPr>
        <w:t xml:space="preserve"> and the trend of increasing inequality is not altered.” </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This HEFCE analysis only related to young participation</w:t>
      </w:r>
      <w:r w:rsidR="00C73674">
        <w:rPr>
          <w:rFonts w:ascii="Verdana" w:hAnsi="Verdana"/>
          <w:lang w:val="en-GB" w:eastAsia="en-GB"/>
        </w:rPr>
        <w:t>,</w:t>
      </w:r>
      <w:r w:rsidRPr="00F20F28">
        <w:rPr>
          <w:rFonts w:ascii="Verdana" w:hAnsi="Verdana"/>
          <w:lang w:val="en-GB" w:eastAsia="en-GB"/>
        </w:rPr>
        <w:t xml:space="preserve"> and it did not include other subject areas which have been thought to explain the increase in participation by women. </w:t>
      </w:r>
    </w:p>
    <w:p w:rsidR="00F20F28" w:rsidRPr="00F20F28" w:rsidRDefault="00C73674" w:rsidP="003E07F0">
      <w:pPr>
        <w:pStyle w:val="BodyText"/>
        <w:numPr>
          <w:ilvl w:val="0"/>
          <w:numId w:val="0"/>
        </w:numPr>
        <w:overflowPunct/>
        <w:autoSpaceDE/>
        <w:autoSpaceDN/>
        <w:adjustRightInd/>
        <w:spacing w:after="240" w:line="300" w:lineRule="atLeast"/>
        <w:ind w:left="720"/>
        <w:textAlignment w:val="auto"/>
        <w:rPr>
          <w:rFonts w:ascii="Verdana" w:hAnsi="Verdana"/>
          <w:lang w:val="en-GB" w:eastAsia="en-GB"/>
        </w:rPr>
      </w:pPr>
      <w:r>
        <w:rPr>
          <w:rFonts w:ascii="Verdana" w:hAnsi="Verdana"/>
          <w:lang w:val="en-GB" w:eastAsia="en-GB"/>
        </w:rPr>
        <w:lastRenderedPageBreak/>
        <w:t>“A</w:t>
      </w:r>
      <w:r w:rsidR="00F20F28" w:rsidRPr="00F20F28">
        <w:rPr>
          <w:rFonts w:ascii="Verdana" w:hAnsi="Verdana"/>
          <w:lang w:val="en-GB" w:eastAsia="en-GB"/>
        </w:rPr>
        <w:t xml:space="preserve"> major factor in the increase in numbers of women in universities in recent years has been the designation of nursing, teaching and social work professions as graduate-only entry and hence requiring university study</w:t>
      </w:r>
      <w:r>
        <w:rPr>
          <w:rFonts w:ascii="Verdana" w:hAnsi="Verdana"/>
          <w:lang w:val="en-GB" w:eastAsia="en-GB"/>
        </w:rPr>
        <w:t>.</w:t>
      </w:r>
      <w:r w:rsidR="00F20F28" w:rsidRPr="00F20F28">
        <w:rPr>
          <w:rFonts w:ascii="Verdana" w:hAnsi="Verdana"/>
          <w:lang w:val="en-GB" w:eastAsia="en-GB"/>
        </w:rPr>
        <w:t xml:space="preserve">”  (Leathwood et al, 2008, page 50) </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The list of subject areas and professions is somewhat selective. All are subjects with an especially high proportion of women, but they are not the only professions which, unlike in earlier decades, now have a largely graduate entry. Entry to accountancy, for example, unlike in earlier decades, is now through higher education.  Also, the changes to teaching and social work and their relat</w:t>
      </w:r>
      <w:r w:rsidR="00136C5E">
        <w:rPr>
          <w:rFonts w:ascii="Verdana" w:hAnsi="Verdana"/>
          <w:lang w:val="en-GB" w:eastAsia="en-GB"/>
        </w:rPr>
        <w:t>ion to participation statistics</w:t>
      </w:r>
      <w:r w:rsidRPr="00F20F28">
        <w:rPr>
          <w:rFonts w:ascii="Verdana" w:hAnsi="Verdana"/>
          <w:lang w:val="en-GB" w:eastAsia="en-GB"/>
        </w:rPr>
        <w:t xml:space="preserve"> are not as recent or straightforward as for nursing. But even if we accept this selection without question, does it explain the higher participation rate of women? Table </w:t>
      </w:r>
      <w:r w:rsidR="003E07F0">
        <w:rPr>
          <w:rFonts w:ascii="Verdana" w:hAnsi="Verdana"/>
          <w:lang w:val="en-GB" w:eastAsia="en-GB"/>
        </w:rPr>
        <w:t>B</w:t>
      </w:r>
      <w:r w:rsidRPr="00F20F28">
        <w:rPr>
          <w:rFonts w:ascii="Verdana" w:hAnsi="Verdana"/>
          <w:lang w:val="en-GB" w:eastAsia="en-GB"/>
        </w:rPr>
        <w:t>1 below shows the participation rates of men and women in these subjects, and for all other subjects.</w:t>
      </w:r>
    </w:p>
    <w:p w:rsidR="00F20F28" w:rsidRPr="00F20F28" w:rsidRDefault="00F20F28" w:rsidP="00F20F28">
      <w:pPr>
        <w:keepNext/>
        <w:spacing w:after="240"/>
        <w:rPr>
          <w:rFonts w:ascii="Verdana" w:hAnsi="Verdana"/>
          <w:sz w:val="22"/>
          <w:szCs w:val="22"/>
          <w:u w:val="single"/>
        </w:rPr>
      </w:pPr>
      <w:r w:rsidRPr="00F20F28">
        <w:rPr>
          <w:rFonts w:ascii="Verdana" w:hAnsi="Verdana"/>
          <w:sz w:val="22"/>
          <w:szCs w:val="22"/>
          <w:u w:val="single"/>
        </w:rPr>
        <w:t xml:space="preserve">Table </w:t>
      </w:r>
      <w:r w:rsidR="003E07F0">
        <w:rPr>
          <w:rFonts w:ascii="Verdana" w:hAnsi="Verdana"/>
          <w:sz w:val="22"/>
          <w:szCs w:val="22"/>
          <w:u w:val="single"/>
        </w:rPr>
        <w:t>B</w:t>
      </w:r>
      <w:r w:rsidRPr="00F20F28">
        <w:rPr>
          <w:rFonts w:ascii="Verdana" w:hAnsi="Verdana"/>
          <w:sz w:val="22"/>
          <w:szCs w:val="22"/>
          <w:u w:val="single"/>
        </w:rPr>
        <w:t>1: HEIPR (2007-08) components for men and women by selected subjects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1"/>
        <w:gridCol w:w="1276"/>
        <w:gridCol w:w="1417"/>
      </w:tblGrid>
      <w:tr w:rsidR="00F20F28" w:rsidRPr="00F20F28" w:rsidTr="00F20F28">
        <w:trPr>
          <w:jc w:val="center"/>
        </w:trPr>
        <w:tc>
          <w:tcPr>
            <w:tcW w:w="2741" w:type="dxa"/>
          </w:tcPr>
          <w:p w:rsidR="00F20F28" w:rsidRPr="00F20F28" w:rsidRDefault="00F20F28" w:rsidP="00F20F28">
            <w:pPr>
              <w:keepNext/>
              <w:spacing w:line="240" w:lineRule="auto"/>
              <w:rPr>
                <w:rFonts w:ascii="Verdana" w:hAnsi="Verdana"/>
                <w:b/>
                <w:sz w:val="20"/>
                <w:szCs w:val="22"/>
              </w:rPr>
            </w:pPr>
            <w:r w:rsidRPr="00F20F28">
              <w:rPr>
                <w:rFonts w:ascii="Verdana" w:hAnsi="Verdana"/>
                <w:b/>
                <w:sz w:val="20"/>
                <w:szCs w:val="22"/>
              </w:rPr>
              <w:t>Mode</w:t>
            </w:r>
          </w:p>
        </w:tc>
        <w:tc>
          <w:tcPr>
            <w:tcW w:w="1276" w:type="dxa"/>
            <w:vAlign w:val="bottom"/>
          </w:tcPr>
          <w:p w:rsidR="00F20F28" w:rsidRPr="00F20F28" w:rsidRDefault="00F20F28" w:rsidP="00F20F28">
            <w:pPr>
              <w:keepNext/>
              <w:spacing w:line="240" w:lineRule="auto"/>
              <w:jc w:val="center"/>
              <w:rPr>
                <w:rFonts w:ascii="Verdana" w:hAnsi="Verdana"/>
                <w:b/>
                <w:sz w:val="20"/>
                <w:szCs w:val="22"/>
              </w:rPr>
            </w:pPr>
            <w:r w:rsidRPr="00F20F28">
              <w:rPr>
                <w:rFonts w:ascii="Verdana" w:hAnsi="Verdana"/>
                <w:b/>
                <w:sz w:val="20"/>
                <w:szCs w:val="22"/>
              </w:rPr>
              <w:t>Men</w:t>
            </w:r>
          </w:p>
        </w:tc>
        <w:tc>
          <w:tcPr>
            <w:tcW w:w="1417" w:type="dxa"/>
            <w:shd w:val="clear" w:color="auto" w:fill="auto"/>
            <w:vAlign w:val="bottom"/>
          </w:tcPr>
          <w:p w:rsidR="00F20F28" w:rsidRPr="00F20F28" w:rsidRDefault="00F20F28" w:rsidP="00F20F28">
            <w:pPr>
              <w:keepNext/>
              <w:spacing w:line="240" w:lineRule="auto"/>
              <w:jc w:val="center"/>
              <w:rPr>
                <w:rFonts w:ascii="Verdana" w:hAnsi="Verdana"/>
                <w:b/>
                <w:sz w:val="20"/>
                <w:szCs w:val="22"/>
              </w:rPr>
            </w:pPr>
            <w:r w:rsidRPr="00F20F28">
              <w:rPr>
                <w:rFonts w:ascii="Verdana" w:hAnsi="Verdana"/>
                <w:b/>
                <w:sz w:val="20"/>
                <w:szCs w:val="22"/>
              </w:rPr>
              <w:t>Women</w:t>
            </w:r>
          </w:p>
        </w:tc>
      </w:tr>
      <w:tr w:rsidR="00F20F28" w:rsidRPr="00F20F28" w:rsidTr="00F20F28">
        <w:trPr>
          <w:jc w:val="center"/>
        </w:trPr>
        <w:tc>
          <w:tcPr>
            <w:tcW w:w="2741" w:type="dxa"/>
            <w:vAlign w:val="bottom"/>
          </w:tcPr>
          <w:p w:rsidR="00F20F28" w:rsidRPr="00F20F28" w:rsidRDefault="00F20F28" w:rsidP="00F20F28">
            <w:pPr>
              <w:keepNext/>
              <w:spacing w:line="240" w:lineRule="auto"/>
              <w:rPr>
                <w:rFonts w:ascii="Verdana" w:hAnsi="Verdana" w:cs="Arial"/>
                <w:sz w:val="20"/>
                <w:szCs w:val="22"/>
              </w:rPr>
            </w:pPr>
            <w:r w:rsidRPr="00F20F28">
              <w:rPr>
                <w:rFonts w:ascii="Verdana" w:hAnsi="Verdana" w:cs="Arial"/>
                <w:sz w:val="20"/>
                <w:szCs w:val="22"/>
              </w:rPr>
              <w:t>Nursing</w:t>
            </w:r>
          </w:p>
        </w:tc>
        <w:tc>
          <w:tcPr>
            <w:tcW w:w="1276" w:type="dxa"/>
            <w:vAlign w:val="bottom"/>
          </w:tcPr>
          <w:p w:rsidR="00F20F28" w:rsidRPr="00F20F28" w:rsidRDefault="00F20F28" w:rsidP="00F20F28">
            <w:pPr>
              <w:keepNext/>
              <w:spacing w:line="240" w:lineRule="auto"/>
              <w:jc w:val="center"/>
              <w:rPr>
                <w:rFonts w:ascii="Verdana" w:hAnsi="Verdana" w:cs="Arial"/>
                <w:sz w:val="20"/>
                <w:szCs w:val="22"/>
              </w:rPr>
            </w:pPr>
            <w:r w:rsidRPr="00F20F28">
              <w:rPr>
                <w:rFonts w:ascii="Verdana" w:hAnsi="Verdana" w:cs="Arial"/>
                <w:sz w:val="20"/>
                <w:szCs w:val="22"/>
              </w:rPr>
              <w:t>0.3%</w:t>
            </w:r>
          </w:p>
        </w:tc>
        <w:tc>
          <w:tcPr>
            <w:tcW w:w="1417" w:type="dxa"/>
            <w:shd w:val="clear" w:color="auto" w:fill="auto"/>
            <w:vAlign w:val="bottom"/>
          </w:tcPr>
          <w:p w:rsidR="00F20F28" w:rsidRPr="00F20F28" w:rsidRDefault="00F20F28" w:rsidP="00F20F28">
            <w:pPr>
              <w:keepNext/>
              <w:spacing w:line="240" w:lineRule="auto"/>
              <w:jc w:val="center"/>
              <w:rPr>
                <w:rFonts w:ascii="Verdana" w:hAnsi="Verdana" w:cs="Arial"/>
                <w:sz w:val="20"/>
                <w:szCs w:val="22"/>
              </w:rPr>
            </w:pPr>
            <w:r w:rsidRPr="00F20F28">
              <w:rPr>
                <w:rFonts w:ascii="Verdana" w:hAnsi="Verdana" w:cs="Arial"/>
                <w:sz w:val="20"/>
                <w:szCs w:val="22"/>
              </w:rPr>
              <w:t>3.4%</w:t>
            </w:r>
          </w:p>
        </w:tc>
      </w:tr>
      <w:tr w:rsidR="00F20F28" w:rsidRPr="00F20F28" w:rsidTr="00F20F28">
        <w:trPr>
          <w:jc w:val="center"/>
        </w:trPr>
        <w:tc>
          <w:tcPr>
            <w:tcW w:w="2741" w:type="dxa"/>
            <w:vAlign w:val="bottom"/>
          </w:tcPr>
          <w:p w:rsidR="00F20F28" w:rsidRPr="00F20F28" w:rsidRDefault="00F20F28" w:rsidP="00F20F28">
            <w:pPr>
              <w:keepNext/>
              <w:spacing w:line="240" w:lineRule="auto"/>
              <w:rPr>
                <w:rFonts w:ascii="Verdana" w:hAnsi="Verdana" w:cs="Arial"/>
                <w:sz w:val="20"/>
                <w:szCs w:val="22"/>
              </w:rPr>
            </w:pPr>
            <w:r w:rsidRPr="00F20F28">
              <w:rPr>
                <w:rFonts w:ascii="Verdana" w:hAnsi="Verdana" w:cs="Arial"/>
                <w:sz w:val="20"/>
                <w:szCs w:val="22"/>
              </w:rPr>
              <w:t>Teaching</w:t>
            </w:r>
          </w:p>
        </w:tc>
        <w:tc>
          <w:tcPr>
            <w:tcW w:w="1276" w:type="dxa"/>
            <w:vAlign w:val="bottom"/>
          </w:tcPr>
          <w:p w:rsidR="00F20F28" w:rsidRPr="00F20F28" w:rsidRDefault="00F20F28" w:rsidP="00F20F28">
            <w:pPr>
              <w:keepNext/>
              <w:spacing w:line="240" w:lineRule="auto"/>
              <w:jc w:val="center"/>
              <w:rPr>
                <w:rFonts w:ascii="Verdana" w:hAnsi="Verdana" w:cs="Arial"/>
                <w:sz w:val="20"/>
                <w:szCs w:val="22"/>
              </w:rPr>
            </w:pPr>
            <w:r w:rsidRPr="00F20F28">
              <w:rPr>
                <w:rFonts w:ascii="Verdana" w:hAnsi="Verdana" w:cs="Arial"/>
                <w:sz w:val="20"/>
                <w:szCs w:val="22"/>
              </w:rPr>
              <w:t>0.3%</w:t>
            </w:r>
          </w:p>
        </w:tc>
        <w:tc>
          <w:tcPr>
            <w:tcW w:w="1417" w:type="dxa"/>
            <w:shd w:val="clear" w:color="auto" w:fill="auto"/>
            <w:vAlign w:val="bottom"/>
          </w:tcPr>
          <w:p w:rsidR="00F20F28" w:rsidRPr="00F20F28" w:rsidRDefault="00F20F28" w:rsidP="00F20F28">
            <w:pPr>
              <w:keepNext/>
              <w:spacing w:line="240" w:lineRule="auto"/>
              <w:jc w:val="center"/>
              <w:rPr>
                <w:rFonts w:ascii="Verdana" w:hAnsi="Verdana" w:cs="Arial"/>
                <w:sz w:val="20"/>
                <w:szCs w:val="22"/>
              </w:rPr>
            </w:pPr>
            <w:r w:rsidRPr="00F20F28">
              <w:rPr>
                <w:rFonts w:ascii="Verdana" w:hAnsi="Verdana" w:cs="Arial"/>
                <w:sz w:val="20"/>
                <w:szCs w:val="22"/>
              </w:rPr>
              <w:t>1.5%</w:t>
            </w:r>
          </w:p>
        </w:tc>
      </w:tr>
      <w:tr w:rsidR="00F20F28" w:rsidRPr="00F20F28" w:rsidTr="00F20F28">
        <w:trPr>
          <w:jc w:val="center"/>
        </w:trPr>
        <w:tc>
          <w:tcPr>
            <w:tcW w:w="2741" w:type="dxa"/>
            <w:vAlign w:val="bottom"/>
          </w:tcPr>
          <w:p w:rsidR="00F20F28" w:rsidRPr="00F20F28" w:rsidRDefault="00F20F28" w:rsidP="00136C5E">
            <w:pPr>
              <w:keepNext/>
              <w:spacing w:line="240" w:lineRule="auto"/>
              <w:rPr>
                <w:rFonts w:ascii="Verdana" w:hAnsi="Verdana" w:cs="Arial"/>
                <w:sz w:val="20"/>
                <w:szCs w:val="22"/>
              </w:rPr>
            </w:pPr>
            <w:r w:rsidRPr="00F20F28">
              <w:rPr>
                <w:rFonts w:ascii="Verdana" w:hAnsi="Verdana" w:cs="Arial"/>
                <w:sz w:val="20"/>
                <w:szCs w:val="22"/>
              </w:rPr>
              <w:t xml:space="preserve">Social </w:t>
            </w:r>
            <w:r w:rsidR="00136C5E">
              <w:rPr>
                <w:rFonts w:ascii="Verdana" w:hAnsi="Verdana" w:cs="Arial"/>
                <w:sz w:val="20"/>
                <w:szCs w:val="22"/>
              </w:rPr>
              <w:t>w</w:t>
            </w:r>
            <w:r w:rsidRPr="00F20F28">
              <w:rPr>
                <w:rFonts w:ascii="Verdana" w:hAnsi="Verdana" w:cs="Arial"/>
                <w:sz w:val="20"/>
                <w:szCs w:val="22"/>
              </w:rPr>
              <w:t>ork</w:t>
            </w:r>
          </w:p>
        </w:tc>
        <w:tc>
          <w:tcPr>
            <w:tcW w:w="1276" w:type="dxa"/>
            <w:vAlign w:val="bottom"/>
          </w:tcPr>
          <w:p w:rsidR="00F20F28" w:rsidRPr="00F20F28" w:rsidRDefault="00F20F28" w:rsidP="00F20F28">
            <w:pPr>
              <w:keepNext/>
              <w:spacing w:line="240" w:lineRule="auto"/>
              <w:jc w:val="center"/>
              <w:rPr>
                <w:rFonts w:ascii="Verdana" w:hAnsi="Verdana" w:cs="Arial"/>
                <w:sz w:val="20"/>
                <w:szCs w:val="22"/>
              </w:rPr>
            </w:pPr>
            <w:r w:rsidRPr="00F20F28">
              <w:rPr>
                <w:rFonts w:ascii="Verdana" w:hAnsi="Verdana" w:cs="Arial"/>
                <w:sz w:val="20"/>
                <w:szCs w:val="22"/>
              </w:rPr>
              <w:t>0.2%</w:t>
            </w:r>
          </w:p>
        </w:tc>
        <w:tc>
          <w:tcPr>
            <w:tcW w:w="1417" w:type="dxa"/>
            <w:shd w:val="clear" w:color="auto" w:fill="auto"/>
            <w:vAlign w:val="bottom"/>
          </w:tcPr>
          <w:p w:rsidR="00F20F28" w:rsidRPr="00F20F28" w:rsidRDefault="00F20F28" w:rsidP="00F20F28">
            <w:pPr>
              <w:keepNext/>
              <w:spacing w:line="240" w:lineRule="auto"/>
              <w:jc w:val="center"/>
              <w:rPr>
                <w:rFonts w:ascii="Verdana" w:hAnsi="Verdana" w:cs="Arial"/>
                <w:sz w:val="20"/>
                <w:szCs w:val="22"/>
              </w:rPr>
            </w:pPr>
            <w:r w:rsidRPr="00F20F28">
              <w:rPr>
                <w:rFonts w:ascii="Verdana" w:hAnsi="Verdana" w:cs="Arial"/>
                <w:sz w:val="20"/>
                <w:szCs w:val="22"/>
              </w:rPr>
              <w:t>1.5%</w:t>
            </w:r>
          </w:p>
        </w:tc>
      </w:tr>
      <w:tr w:rsidR="00F20F28" w:rsidRPr="00F20F28" w:rsidTr="00F20F28">
        <w:trPr>
          <w:jc w:val="center"/>
        </w:trPr>
        <w:tc>
          <w:tcPr>
            <w:tcW w:w="2741" w:type="dxa"/>
            <w:vAlign w:val="bottom"/>
          </w:tcPr>
          <w:p w:rsidR="00F20F28" w:rsidRPr="00136C5E" w:rsidRDefault="00F20F28" w:rsidP="00F20F28">
            <w:pPr>
              <w:keepNext/>
              <w:spacing w:line="240" w:lineRule="auto"/>
              <w:rPr>
                <w:rFonts w:ascii="Verdana" w:hAnsi="Verdana" w:cs="Arial"/>
                <w:sz w:val="20"/>
                <w:szCs w:val="22"/>
              </w:rPr>
            </w:pPr>
            <w:r w:rsidRPr="00136C5E">
              <w:rPr>
                <w:rFonts w:ascii="Verdana" w:hAnsi="Verdana" w:cs="Arial"/>
                <w:sz w:val="20"/>
                <w:szCs w:val="22"/>
              </w:rPr>
              <w:t xml:space="preserve">All other subjects </w:t>
            </w:r>
          </w:p>
        </w:tc>
        <w:tc>
          <w:tcPr>
            <w:tcW w:w="1276" w:type="dxa"/>
            <w:vAlign w:val="bottom"/>
          </w:tcPr>
          <w:p w:rsidR="00F20F28" w:rsidRPr="00136C5E" w:rsidRDefault="00F20F28" w:rsidP="00F20F28">
            <w:pPr>
              <w:keepNext/>
              <w:spacing w:line="240" w:lineRule="auto"/>
              <w:jc w:val="center"/>
              <w:rPr>
                <w:rFonts w:ascii="Verdana" w:hAnsi="Verdana" w:cs="Arial"/>
                <w:sz w:val="20"/>
                <w:szCs w:val="22"/>
              </w:rPr>
            </w:pPr>
            <w:r w:rsidRPr="00136C5E">
              <w:rPr>
                <w:rFonts w:ascii="Verdana" w:hAnsi="Verdana" w:cs="Arial"/>
                <w:sz w:val="20"/>
                <w:szCs w:val="22"/>
              </w:rPr>
              <w:t>36.9%</w:t>
            </w:r>
          </w:p>
        </w:tc>
        <w:tc>
          <w:tcPr>
            <w:tcW w:w="1417" w:type="dxa"/>
            <w:shd w:val="clear" w:color="auto" w:fill="auto"/>
            <w:vAlign w:val="bottom"/>
          </w:tcPr>
          <w:p w:rsidR="00F20F28" w:rsidRPr="00136C5E" w:rsidRDefault="00F20F28" w:rsidP="00F20F28">
            <w:pPr>
              <w:keepNext/>
              <w:spacing w:line="240" w:lineRule="auto"/>
              <w:jc w:val="center"/>
              <w:rPr>
                <w:rFonts w:ascii="Verdana" w:hAnsi="Verdana" w:cs="Arial"/>
                <w:sz w:val="20"/>
                <w:szCs w:val="22"/>
              </w:rPr>
            </w:pPr>
            <w:r w:rsidRPr="00136C5E">
              <w:rPr>
                <w:rFonts w:ascii="Verdana" w:hAnsi="Verdana" w:cs="Arial"/>
                <w:sz w:val="20"/>
                <w:szCs w:val="22"/>
              </w:rPr>
              <w:t>42.8%</w:t>
            </w:r>
          </w:p>
        </w:tc>
      </w:tr>
      <w:tr w:rsidR="00F20F28" w:rsidRPr="00F20F28" w:rsidTr="00F20F28">
        <w:trPr>
          <w:jc w:val="center"/>
        </w:trPr>
        <w:tc>
          <w:tcPr>
            <w:tcW w:w="2741" w:type="dxa"/>
            <w:vAlign w:val="bottom"/>
          </w:tcPr>
          <w:p w:rsidR="00F20F28" w:rsidRPr="00136C5E" w:rsidRDefault="00F20F28" w:rsidP="00F20F28">
            <w:pPr>
              <w:keepNext/>
              <w:spacing w:line="240" w:lineRule="auto"/>
              <w:rPr>
                <w:rFonts w:ascii="Verdana" w:hAnsi="Verdana" w:cs="Arial"/>
                <w:b/>
                <w:sz w:val="20"/>
                <w:szCs w:val="22"/>
              </w:rPr>
            </w:pPr>
            <w:r w:rsidRPr="00136C5E">
              <w:rPr>
                <w:rFonts w:ascii="Verdana" w:hAnsi="Verdana" w:cs="Arial"/>
                <w:b/>
                <w:sz w:val="20"/>
                <w:szCs w:val="22"/>
              </w:rPr>
              <w:t>All subjects</w:t>
            </w:r>
          </w:p>
        </w:tc>
        <w:tc>
          <w:tcPr>
            <w:tcW w:w="1276" w:type="dxa"/>
            <w:vAlign w:val="bottom"/>
          </w:tcPr>
          <w:p w:rsidR="00F20F28" w:rsidRPr="00136C5E" w:rsidRDefault="00F20F28" w:rsidP="00F20F28">
            <w:pPr>
              <w:keepNext/>
              <w:spacing w:line="240" w:lineRule="auto"/>
              <w:jc w:val="center"/>
              <w:rPr>
                <w:rFonts w:ascii="Verdana" w:hAnsi="Verdana" w:cs="Arial"/>
                <w:b/>
                <w:sz w:val="20"/>
              </w:rPr>
            </w:pPr>
            <w:r w:rsidRPr="00136C5E">
              <w:rPr>
                <w:rFonts w:ascii="Verdana" w:hAnsi="Verdana" w:cs="Arial"/>
                <w:b/>
                <w:sz w:val="20"/>
                <w:szCs w:val="22"/>
              </w:rPr>
              <w:t>37.8%</w:t>
            </w:r>
          </w:p>
        </w:tc>
        <w:tc>
          <w:tcPr>
            <w:tcW w:w="1417" w:type="dxa"/>
            <w:shd w:val="clear" w:color="auto" w:fill="auto"/>
            <w:vAlign w:val="bottom"/>
          </w:tcPr>
          <w:p w:rsidR="00F20F28" w:rsidRPr="00136C5E" w:rsidRDefault="00F20F28" w:rsidP="00F20F28">
            <w:pPr>
              <w:keepNext/>
              <w:spacing w:line="240" w:lineRule="auto"/>
              <w:jc w:val="center"/>
              <w:rPr>
                <w:rFonts w:ascii="Verdana" w:hAnsi="Verdana" w:cs="Arial"/>
                <w:b/>
                <w:sz w:val="20"/>
              </w:rPr>
            </w:pPr>
            <w:r w:rsidRPr="00136C5E">
              <w:rPr>
                <w:rFonts w:ascii="Verdana" w:hAnsi="Verdana" w:cs="Arial"/>
                <w:b/>
                <w:sz w:val="20"/>
                <w:szCs w:val="22"/>
              </w:rPr>
              <w:t>49.2%</w:t>
            </w:r>
          </w:p>
        </w:tc>
      </w:tr>
    </w:tbl>
    <w:p w:rsidR="00F20F28" w:rsidRPr="00F20F28" w:rsidRDefault="00F20F28" w:rsidP="00F20F28">
      <w:pPr>
        <w:keepNext/>
        <w:spacing w:after="240" w:line="240" w:lineRule="auto"/>
        <w:jc w:val="right"/>
        <w:rPr>
          <w:rFonts w:ascii="Verdana" w:hAnsi="Verdana"/>
          <w:sz w:val="20"/>
        </w:rPr>
      </w:pPr>
      <w:r w:rsidRPr="00F20F28">
        <w:rPr>
          <w:rFonts w:ascii="Verdana" w:hAnsi="Verdana"/>
          <w:sz w:val="20"/>
        </w:rPr>
        <w:t>Source: HEFCE unpublished analysis.</w:t>
      </w:r>
      <w:r>
        <w:rPr>
          <w:rFonts w:ascii="Verdana" w:hAnsi="Verdana"/>
          <w:sz w:val="20"/>
        </w:rPr>
        <w:t xml:space="preserve"> </w:t>
      </w:r>
      <w:r w:rsidR="00C73674">
        <w:rPr>
          <w:rFonts w:ascii="Verdana" w:hAnsi="Verdana"/>
          <w:sz w:val="20"/>
        </w:rPr>
        <w:t>Relation to T</w:t>
      </w:r>
      <w:r w:rsidRPr="00F20F28">
        <w:rPr>
          <w:rFonts w:ascii="Verdana" w:hAnsi="Verdana"/>
          <w:sz w:val="20"/>
        </w:rPr>
        <w:t>able 2 of main report: ‘Nursing’</w:t>
      </w:r>
      <w:r>
        <w:rPr>
          <w:rFonts w:ascii="Verdana" w:hAnsi="Verdana"/>
          <w:sz w:val="20"/>
        </w:rPr>
        <w:t xml:space="preserve"> </w:t>
      </w:r>
      <w:r w:rsidRPr="00F20F28">
        <w:rPr>
          <w:rFonts w:ascii="Verdana" w:hAnsi="Verdana"/>
          <w:sz w:val="20"/>
        </w:rPr>
        <w:t>was inclu</w:t>
      </w:r>
      <w:r w:rsidR="00C73674">
        <w:rPr>
          <w:rFonts w:ascii="Verdana" w:hAnsi="Verdana"/>
          <w:sz w:val="20"/>
        </w:rPr>
        <w:t>ded in the ‘Subjects allied to m</w:t>
      </w:r>
      <w:r w:rsidRPr="00F20F28">
        <w:rPr>
          <w:rFonts w:ascii="Verdana" w:hAnsi="Verdana"/>
          <w:sz w:val="20"/>
        </w:rPr>
        <w:t>edicine’ group, ‘Teaching’ under</w:t>
      </w:r>
      <w:r>
        <w:rPr>
          <w:rFonts w:ascii="Verdana" w:hAnsi="Verdana"/>
          <w:sz w:val="20"/>
        </w:rPr>
        <w:t xml:space="preserve"> </w:t>
      </w:r>
      <w:r w:rsidR="00C73674">
        <w:rPr>
          <w:rFonts w:ascii="Verdana" w:hAnsi="Verdana"/>
          <w:sz w:val="20"/>
        </w:rPr>
        <w:t>‘Education’ and ‘Social w</w:t>
      </w:r>
      <w:r w:rsidRPr="00F20F28">
        <w:rPr>
          <w:rFonts w:ascii="Verdana" w:hAnsi="Verdana"/>
          <w:sz w:val="20"/>
        </w:rPr>
        <w:t>ork’ under ‘Social studies</w:t>
      </w:r>
      <w:r w:rsidR="00C73674">
        <w:rPr>
          <w:rFonts w:ascii="Verdana" w:hAnsi="Verdana"/>
          <w:sz w:val="20"/>
        </w:rPr>
        <w:t>’</w:t>
      </w:r>
      <w:r w:rsidRPr="00F20F28">
        <w:rPr>
          <w:rFonts w:ascii="Verdana" w:hAnsi="Verdana"/>
          <w:sz w:val="20"/>
        </w:rPr>
        <w:t xml:space="preserve">. </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 xml:space="preserve">Table </w:t>
      </w:r>
      <w:r w:rsidR="003E07F0">
        <w:rPr>
          <w:rFonts w:ascii="Verdana" w:hAnsi="Verdana"/>
          <w:lang w:val="en-GB" w:eastAsia="en-GB"/>
        </w:rPr>
        <w:t>B</w:t>
      </w:r>
      <w:r w:rsidRPr="00F20F28">
        <w:rPr>
          <w:rFonts w:ascii="Verdana" w:hAnsi="Verdana"/>
          <w:lang w:val="en-GB" w:eastAsia="en-GB"/>
        </w:rPr>
        <w:t>1 shows that if we exclude the selected subjects, slightly more than half of the participation gap is removed, but this still leaves a difference in participation of nearly six percentage points.  And even then, it is difficult to know what to do with this point, unless it is to suggest that teaching, nursing and social work do not somehow ‘count’ as subjects for HE study.  It is true that if they are removed the disadvantage of males reduces (though remains substantial and growing).  But there seems no more reason to disregard these subjects than any others.</w:t>
      </w:r>
    </w:p>
    <w:p w:rsidR="00F20F28" w:rsidRPr="00F20F28" w:rsidRDefault="00F20F28" w:rsidP="00F20F28">
      <w:pPr>
        <w:pStyle w:val="Heading2"/>
        <w:spacing w:before="120" w:after="240" w:line="240" w:lineRule="auto"/>
        <w:rPr>
          <w:bCs w:val="0"/>
          <w:iCs w:val="0"/>
          <w:sz w:val="24"/>
          <w:szCs w:val="28"/>
          <w:lang w:val="en-US" w:eastAsia="en-US"/>
        </w:rPr>
      </w:pPr>
      <w:r w:rsidRPr="00F20F28">
        <w:rPr>
          <w:bCs w:val="0"/>
          <w:iCs w:val="0"/>
          <w:sz w:val="24"/>
          <w:szCs w:val="28"/>
          <w:lang w:val="en-US" w:eastAsia="en-US"/>
        </w:rPr>
        <w:t>Prestige of institutions</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Finally we looked at the assertion that female participation was concentrated in ‘low prestige’ institutions, reflected in the Daily Telegr</w:t>
      </w:r>
      <w:r w:rsidR="00136C5E">
        <w:rPr>
          <w:rFonts w:ascii="Verdana" w:hAnsi="Verdana"/>
          <w:lang w:val="en-GB" w:eastAsia="en-GB"/>
        </w:rPr>
        <w:t>aph Good University Guide 2008</w:t>
      </w:r>
      <w:r w:rsidRPr="00F20F28">
        <w:rPr>
          <w:rFonts w:ascii="Verdana" w:hAnsi="Verdana"/>
          <w:lang w:val="en-GB" w:eastAsia="en-GB"/>
        </w:rPr>
        <w:t>.</w:t>
      </w:r>
    </w:p>
    <w:p w:rsidR="00F20F28" w:rsidRPr="00F20F28"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Our analysis had shown clearly that women’s participation was greater than men’s in all types of institution, ranging from FE colleges to Russell Group universities.  Only in Oxford and Cambridge was the participation of men equal to that of women.  Even when we looked at the Daily Telegraph rankings – which we did</w:t>
      </w:r>
      <w:r w:rsidR="00136C5E">
        <w:rPr>
          <w:rFonts w:ascii="Verdana" w:hAnsi="Verdana"/>
          <w:lang w:val="en-GB" w:eastAsia="en-GB"/>
        </w:rPr>
        <w:t>,</w:t>
      </w:r>
      <w:r w:rsidRPr="00F20F28">
        <w:rPr>
          <w:rFonts w:ascii="Verdana" w:hAnsi="Verdana"/>
          <w:lang w:val="en-GB" w:eastAsia="en-GB"/>
        </w:rPr>
        <w:t xml:space="preserve"> not because we wished to lend </w:t>
      </w:r>
      <w:r w:rsidRPr="00F20F28">
        <w:rPr>
          <w:rFonts w:ascii="Verdana" w:hAnsi="Verdana"/>
          <w:lang w:val="en-GB" w:eastAsia="en-GB"/>
        </w:rPr>
        <w:lastRenderedPageBreak/>
        <w:t xml:space="preserve">credibility to the league table nor to endorse the notion of some universities being ‘top’ and some being ‘bottom’ in the crude way that the league table is constructed, but to enable us to understand the assertion – it transpired that women’s participation is greater both in the ‘top’ and in the ‘bottom’ universities.  </w:t>
      </w:r>
    </w:p>
    <w:p w:rsidR="00250F81" w:rsidRPr="00250F81" w:rsidRDefault="00F20F28"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F20F28">
        <w:rPr>
          <w:rFonts w:ascii="Verdana" w:hAnsi="Verdana"/>
          <w:lang w:val="en-GB" w:eastAsia="en-GB"/>
        </w:rPr>
        <w:t>On closer examination there were a number of basic errors in the analysis underlying the claim – for example the calculation had been done based on crude numbers rather than participation rates, ignoring the larger number of males in the population; and the percentages of males and females in the ‘top’ and ‘bottom’ universities had been calculated averaging the sum of the percentage of males and females in each university, making no allowance for the different sizes of the different institutions in each group.</w:t>
      </w:r>
    </w:p>
    <w:p w:rsidR="00250F81" w:rsidRPr="000F7EAB" w:rsidRDefault="00250F81" w:rsidP="000F7EAB">
      <w:pPr>
        <w:pStyle w:val="Heading2"/>
        <w:spacing w:before="120" w:after="240" w:line="240" w:lineRule="auto"/>
        <w:rPr>
          <w:bCs w:val="0"/>
          <w:iCs w:val="0"/>
          <w:sz w:val="24"/>
          <w:szCs w:val="28"/>
          <w:lang w:val="en-US" w:eastAsia="en-US"/>
        </w:rPr>
      </w:pPr>
      <w:r w:rsidRPr="000F7EAB">
        <w:rPr>
          <w:bCs w:val="0"/>
          <w:iCs w:val="0"/>
          <w:sz w:val="24"/>
          <w:szCs w:val="28"/>
          <w:lang w:val="en-US" w:eastAsia="en-US"/>
        </w:rPr>
        <w:t>Have the differences in participation persisted?</w:t>
      </w:r>
      <w:r w:rsidR="00F20F28" w:rsidRPr="000F7EAB">
        <w:rPr>
          <w:bCs w:val="0"/>
          <w:iCs w:val="0"/>
          <w:sz w:val="24"/>
          <w:szCs w:val="28"/>
          <w:lang w:val="en-US" w:eastAsia="en-US"/>
        </w:rPr>
        <w:t xml:space="preserve"> </w:t>
      </w:r>
    </w:p>
    <w:p w:rsidR="00250F81" w:rsidRPr="00250F81" w:rsidRDefault="00250F81"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250F81">
        <w:rPr>
          <w:rFonts w:ascii="Verdana" w:hAnsi="Verdana"/>
          <w:lang w:val="en-GB" w:eastAsia="en-GB"/>
        </w:rPr>
        <w:t>The</w:t>
      </w:r>
      <w:r w:rsidR="004863CF">
        <w:rPr>
          <w:rFonts w:ascii="Verdana" w:hAnsi="Verdana"/>
          <w:lang w:val="en-GB" w:eastAsia="en-GB"/>
        </w:rPr>
        <w:t xml:space="preserve"> </w:t>
      </w:r>
      <w:r w:rsidRPr="00250F81">
        <w:rPr>
          <w:rFonts w:ascii="Verdana" w:hAnsi="Verdana"/>
          <w:lang w:val="en-GB" w:eastAsia="en-GB"/>
        </w:rPr>
        <w:t xml:space="preserve">2009 report focussed on young participation based on the HEIPR statistic up to 2007-08. Since </w:t>
      </w:r>
      <w:r>
        <w:rPr>
          <w:rFonts w:ascii="Verdana" w:hAnsi="Verdana"/>
          <w:lang w:val="en-GB" w:eastAsia="en-GB"/>
        </w:rPr>
        <w:t>then</w:t>
      </w:r>
      <w:r w:rsidRPr="00250F81">
        <w:rPr>
          <w:rFonts w:ascii="Verdana" w:hAnsi="Verdana"/>
          <w:lang w:val="en-GB" w:eastAsia="en-GB"/>
        </w:rPr>
        <w:t xml:space="preserve">, HEFCE have updated this analysis and have estimated the </w:t>
      </w:r>
      <w:r>
        <w:rPr>
          <w:rFonts w:ascii="Verdana" w:hAnsi="Verdana"/>
          <w:lang w:val="en-GB" w:eastAsia="en-GB"/>
        </w:rPr>
        <w:t xml:space="preserve">current </w:t>
      </w:r>
      <w:r w:rsidRPr="00250F81">
        <w:rPr>
          <w:rFonts w:ascii="Verdana" w:hAnsi="Verdana"/>
          <w:lang w:val="en-GB" w:eastAsia="en-GB"/>
        </w:rPr>
        <w:t>18 and</w:t>
      </w:r>
      <w:r>
        <w:rPr>
          <w:rFonts w:ascii="Verdana" w:hAnsi="Verdana"/>
          <w:lang w:val="en-GB" w:eastAsia="en-GB"/>
        </w:rPr>
        <w:t xml:space="preserve"> </w:t>
      </w:r>
      <w:r w:rsidRPr="00250F81">
        <w:rPr>
          <w:rFonts w:ascii="Verdana" w:hAnsi="Verdana"/>
          <w:lang w:val="en-GB" w:eastAsia="en-GB"/>
        </w:rPr>
        <w:t>19 year old participation rate</w:t>
      </w:r>
      <w:r>
        <w:rPr>
          <w:rFonts w:ascii="Verdana" w:hAnsi="Verdana"/>
          <w:lang w:val="en-GB" w:eastAsia="en-GB"/>
        </w:rPr>
        <w:t>.</w:t>
      </w:r>
    </w:p>
    <w:p w:rsidR="00250F81" w:rsidRPr="00250F81" w:rsidRDefault="003E07F0"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Pr>
          <w:rFonts w:ascii="Verdana" w:hAnsi="Verdana"/>
          <w:lang w:val="en-GB" w:eastAsia="en-GB"/>
        </w:rPr>
        <w:t xml:space="preserve">Between </w:t>
      </w:r>
      <w:r w:rsidR="001D25A6">
        <w:rPr>
          <w:rFonts w:ascii="Verdana" w:hAnsi="Verdana"/>
          <w:lang w:val="en-GB" w:eastAsia="en-GB"/>
        </w:rPr>
        <w:t xml:space="preserve">the </w:t>
      </w:r>
      <w:r>
        <w:rPr>
          <w:rFonts w:ascii="Verdana" w:hAnsi="Verdana"/>
          <w:lang w:val="en-GB" w:eastAsia="en-GB"/>
        </w:rPr>
        <w:t>1994-</w:t>
      </w:r>
      <w:r w:rsidR="004863CF">
        <w:rPr>
          <w:rFonts w:ascii="Verdana" w:hAnsi="Verdana"/>
          <w:lang w:val="en-GB" w:eastAsia="en-GB"/>
        </w:rPr>
        <w:t>1995 and 2004-</w:t>
      </w:r>
      <w:r w:rsidRPr="00250F81">
        <w:rPr>
          <w:rFonts w:ascii="Verdana" w:hAnsi="Verdana"/>
          <w:lang w:val="en-GB" w:eastAsia="en-GB"/>
        </w:rPr>
        <w:t xml:space="preserve">2005 </w:t>
      </w:r>
      <w:r w:rsidR="001D25A6">
        <w:rPr>
          <w:rFonts w:ascii="Verdana" w:hAnsi="Verdana"/>
          <w:lang w:val="en-GB" w:eastAsia="en-GB"/>
        </w:rPr>
        <w:t xml:space="preserve">cohorts </w:t>
      </w:r>
      <w:r w:rsidRPr="00250F81">
        <w:rPr>
          <w:rFonts w:ascii="Verdana" w:hAnsi="Verdana"/>
          <w:lang w:val="en-GB" w:eastAsia="en-GB"/>
        </w:rPr>
        <w:t>the</w:t>
      </w:r>
      <w:r w:rsidR="00250F81" w:rsidRPr="00250F81">
        <w:rPr>
          <w:rFonts w:ascii="Verdana" w:hAnsi="Verdana"/>
          <w:lang w:val="en-GB" w:eastAsia="en-GB"/>
        </w:rPr>
        <w:t xml:space="preserve"> young participation rate for women increased from 30 per cent to 35 per cent while the participation rate for men ended this period </w:t>
      </w:r>
      <w:r w:rsidR="00344CA4">
        <w:rPr>
          <w:rFonts w:ascii="Verdana" w:hAnsi="Verdana"/>
          <w:lang w:val="en-GB" w:eastAsia="en-GB"/>
        </w:rPr>
        <w:t xml:space="preserve">at </w:t>
      </w:r>
      <w:r w:rsidR="00250F81" w:rsidRPr="00250F81">
        <w:rPr>
          <w:rFonts w:ascii="Verdana" w:hAnsi="Verdana"/>
          <w:lang w:val="en-GB" w:eastAsia="en-GB"/>
        </w:rPr>
        <w:t>29 per cent, the same as at the beginning. The overall growth in young participation over this period was due to the increased participation by women.</w:t>
      </w:r>
    </w:p>
    <w:p w:rsidR="00250F81" w:rsidRPr="00250F81" w:rsidRDefault="00250F81"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sidRPr="00250F81">
        <w:rPr>
          <w:rFonts w:ascii="Verdana" w:hAnsi="Verdana"/>
          <w:lang w:val="en-GB" w:eastAsia="en-GB"/>
        </w:rPr>
        <w:t xml:space="preserve">However </w:t>
      </w:r>
      <w:r w:rsidR="004863CF">
        <w:rPr>
          <w:rFonts w:ascii="Verdana" w:hAnsi="Verdana"/>
          <w:lang w:val="en-GB" w:eastAsia="en-GB"/>
        </w:rPr>
        <w:t xml:space="preserve">between </w:t>
      </w:r>
      <w:r w:rsidR="001D25A6">
        <w:rPr>
          <w:rFonts w:ascii="Verdana" w:hAnsi="Verdana"/>
          <w:lang w:val="en-GB" w:eastAsia="en-GB"/>
        </w:rPr>
        <w:t xml:space="preserve">the </w:t>
      </w:r>
      <w:r w:rsidR="004863CF">
        <w:rPr>
          <w:rFonts w:ascii="Verdana" w:hAnsi="Verdana"/>
          <w:lang w:val="en-GB" w:eastAsia="en-GB"/>
        </w:rPr>
        <w:t>2004-</w:t>
      </w:r>
      <w:r w:rsidR="003E07F0">
        <w:rPr>
          <w:rFonts w:ascii="Verdana" w:hAnsi="Verdana"/>
          <w:lang w:val="en-GB" w:eastAsia="en-GB"/>
        </w:rPr>
        <w:t>2005 and 2009-</w:t>
      </w:r>
      <w:r w:rsidRPr="00250F81">
        <w:rPr>
          <w:rFonts w:ascii="Verdana" w:hAnsi="Verdana"/>
          <w:lang w:val="en-GB" w:eastAsia="en-GB"/>
        </w:rPr>
        <w:t xml:space="preserve">2010 </w:t>
      </w:r>
      <w:r w:rsidR="001D25A6">
        <w:rPr>
          <w:rFonts w:ascii="Verdana" w:hAnsi="Verdana"/>
          <w:lang w:val="en-GB" w:eastAsia="en-GB"/>
        </w:rPr>
        <w:t xml:space="preserve">cohorts </w:t>
      </w:r>
      <w:r w:rsidRPr="00250F81">
        <w:rPr>
          <w:rFonts w:ascii="Verdana" w:hAnsi="Verdana"/>
          <w:lang w:val="en-GB" w:eastAsia="en-GB"/>
        </w:rPr>
        <w:t xml:space="preserve">the young participation rate for men increased from 29 per cent to 32 per cent. This was not as much as for women, whose participation rate increased from 35 per cent to 40 per cent, but it represents a change in the trend over the previous decade. Whether these figures represent a stabilisation of the gap or not depends on how </w:t>
      </w:r>
      <w:r w:rsidR="00344CA4">
        <w:rPr>
          <w:rFonts w:ascii="Verdana" w:hAnsi="Verdana"/>
          <w:lang w:val="en-GB" w:eastAsia="en-GB"/>
        </w:rPr>
        <w:t>they are</w:t>
      </w:r>
      <w:r w:rsidRPr="00250F81">
        <w:rPr>
          <w:rFonts w:ascii="Verdana" w:hAnsi="Verdana"/>
          <w:lang w:val="en-GB" w:eastAsia="en-GB"/>
        </w:rPr>
        <w:t xml:space="preserve"> expressed. Over this period the difference in participation rates between men and women increased by 0.6 per cent, and the inequality index, as used in the HEPI report, also increased slightly from 0.31 to 0.32, but, as pointed out by HEFCE, the proportional increase in participation rates was 12 per cent for both men and women.</w:t>
      </w:r>
    </w:p>
    <w:p w:rsidR="00250F81" w:rsidRPr="00250F81" w:rsidRDefault="004863CF" w:rsidP="003E07F0">
      <w:pPr>
        <w:pStyle w:val="BodyText"/>
        <w:numPr>
          <w:ilvl w:val="0"/>
          <w:numId w:val="8"/>
        </w:numPr>
        <w:overflowPunct/>
        <w:autoSpaceDE/>
        <w:autoSpaceDN/>
        <w:adjustRightInd/>
        <w:spacing w:after="240" w:line="300" w:lineRule="atLeast"/>
        <w:ind w:left="0" w:firstLine="0"/>
        <w:textAlignment w:val="auto"/>
        <w:rPr>
          <w:rFonts w:ascii="Verdana" w:hAnsi="Verdana"/>
          <w:lang w:val="en-GB" w:eastAsia="en-GB"/>
        </w:rPr>
      </w:pPr>
      <w:r>
        <w:rPr>
          <w:rFonts w:ascii="Verdana" w:hAnsi="Verdana"/>
          <w:lang w:val="en-GB" w:eastAsia="en-GB"/>
        </w:rPr>
        <w:t>We can conclude that since 2004-</w:t>
      </w:r>
      <w:r w:rsidR="00250F81" w:rsidRPr="00250F81">
        <w:rPr>
          <w:rFonts w:ascii="Verdana" w:hAnsi="Verdana"/>
          <w:lang w:val="en-GB" w:eastAsia="en-GB"/>
        </w:rPr>
        <w:t>2005 the gap in young participation between men and women has, at worst, increased</w:t>
      </w:r>
      <w:r>
        <w:rPr>
          <w:rFonts w:ascii="Verdana" w:hAnsi="Verdana"/>
          <w:lang w:val="en-GB" w:eastAsia="en-GB"/>
        </w:rPr>
        <w:t xml:space="preserve"> </w:t>
      </w:r>
      <w:r w:rsidRPr="00250F81">
        <w:rPr>
          <w:rFonts w:ascii="Verdana" w:hAnsi="Verdana"/>
          <w:lang w:val="en-GB" w:eastAsia="en-GB"/>
        </w:rPr>
        <w:t>only slightly</w:t>
      </w:r>
      <w:r w:rsidR="00250F81" w:rsidRPr="00250F81">
        <w:rPr>
          <w:rFonts w:ascii="Verdana" w:hAnsi="Verdana"/>
          <w:lang w:val="en-GB" w:eastAsia="en-GB"/>
        </w:rPr>
        <w:t xml:space="preserve">.  </w:t>
      </w:r>
    </w:p>
    <w:sectPr w:rsidR="00250F81" w:rsidRPr="00250F81" w:rsidSect="00DF7EE7">
      <w:pgSz w:w="11906" w:h="16838"/>
      <w:pgMar w:top="1440" w:right="1800" w:bottom="1440" w:left="1800" w:header="720" w:footer="720" w:gutter="0"/>
      <w:paperSrc w:first="264" w:other="264"/>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9FA" w:rsidRDefault="003B09FA">
      <w:r>
        <w:separator/>
      </w:r>
    </w:p>
  </w:endnote>
  <w:endnote w:type="continuationSeparator" w:id="0">
    <w:p w:rsidR="003B09FA" w:rsidRDefault="003B0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Bold">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Zurich BT">
    <w:altName w:val="Zurich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Futura Hv BT">
    <w:altName w:val="Futura Hv"/>
    <w:charset w:val="00"/>
    <w:family w:val="swiss"/>
    <w:pitch w:val="variable"/>
    <w:sig w:usb0="00000001" w:usb1="00000000" w:usb2="00000000" w:usb3="00000000" w:csb0="0000001B" w:csb1="00000000"/>
  </w:font>
  <w:font w:name="Souvenir Lt BT">
    <w:altName w:val="Georgia"/>
    <w:charset w:val="00"/>
    <w:family w:val="roman"/>
    <w:pitch w:val="variable"/>
    <w:sig w:usb0="00000001"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9FA" w:rsidRDefault="003B09FA">
      <w:r>
        <w:separator/>
      </w:r>
    </w:p>
  </w:footnote>
  <w:footnote w:type="continuationSeparator" w:id="0">
    <w:p w:rsidR="003B09FA" w:rsidRDefault="003B09FA">
      <w:r>
        <w:continuationSeparator/>
      </w:r>
    </w:p>
  </w:footnote>
  <w:footnote w:id="1">
    <w:p w:rsidR="00901132" w:rsidRPr="00AE51A3" w:rsidRDefault="00901132" w:rsidP="00AE51A3">
      <w:pPr>
        <w:pStyle w:val="FootnoteText"/>
        <w:spacing w:line="240" w:lineRule="auto"/>
        <w:rPr>
          <w:rFonts w:ascii="Verdana" w:hAnsi="Verdana"/>
        </w:rPr>
      </w:pPr>
      <w:r w:rsidRPr="00AE51A3">
        <w:rPr>
          <w:rStyle w:val="FootnoteReference"/>
          <w:rFonts w:ascii="Verdana" w:hAnsi="Verdana"/>
        </w:rPr>
        <w:footnoteRef/>
      </w:r>
      <w:r w:rsidR="00344CA4" w:rsidRPr="00AE51A3">
        <w:rPr>
          <w:rFonts w:ascii="Verdana" w:hAnsi="Verdana"/>
        </w:rPr>
        <w:t xml:space="preserve"> T</w:t>
      </w:r>
      <w:r w:rsidRPr="00AE51A3">
        <w:rPr>
          <w:rFonts w:ascii="Verdana" w:hAnsi="Verdana"/>
        </w:rPr>
        <w:t xml:space="preserve">his report </w:t>
      </w:r>
      <w:r w:rsidR="00AE51A3" w:rsidRPr="00AE51A3">
        <w:rPr>
          <w:rFonts w:ascii="Verdana" w:hAnsi="Verdana"/>
        </w:rPr>
        <w:t xml:space="preserve">is </w:t>
      </w:r>
      <w:r w:rsidRPr="00AE51A3">
        <w:rPr>
          <w:rFonts w:ascii="Verdana" w:hAnsi="Verdana"/>
        </w:rPr>
        <w:t>in two parts. The first provides analysis of the employment outcomes of male and female graduates, and the second addresses a number of issues that arose in comments and the debate on our 2009 report. These are published in full as separate annexes to th</w:t>
      </w:r>
      <w:r w:rsidR="00344CA4" w:rsidRPr="00AE51A3">
        <w:rPr>
          <w:rFonts w:ascii="Verdana" w:hAnsi="Verdana"/>
        </w:rPr>
        <w:t xml:space="preserve">e 2009 report at www.hepi.ac.uk, where full sources and references are </w:t>
      </w:r>
      <w:r w:rsidR="00601681" w:rsidRPr="00AE51A3">
        <w:rPr>
          <w:rFonts w:ascii="Verdana" w:hAnsi="Verdana"/>
        </w:rPr>
        <w:t>provided</w:t>
      </w:r>
      <w:r w:rsidR="00AE51A3" w:rsidRPr="00AE51A3">
        <w:rPr>
          <w:rFonts w:ascii="Verdana" w:hAnsi="Verdana"/>
        </w:rPr>
        <w:t>.</w:t>
      </w:r>
    </w:p>
  </w:footnote>
  <w:footnote w:id="2">
    <w:p w:rsidR="00283B68" w:rsidRPr="00AE51A3" w:rsidRDefault="00283B68" w:rsidP="00AE51A3">
      <w:pPr>
        <w:pStyle w:val="FootnoteText"/>
        <w:spacing w:line="240" w:lineRule="auto"/>
        <w:rPr>
          <w:rFonts w:ascii="Verdana" w:hAnsi="Verdana"/>
        </w:rPr>
      </w:pPr>
      <w:r w:rsidRPr="00AE51A3">
        <w:rPr>
          <w:rStyle w:val="FootnoteReference"/>
          <w:rFonts w:ascii="Verdana" w:hAnsi="Verdana"/>
        </w:rPr>
        <w:footnoteRef/>
      </w:r>
      <w:r w:rsidRPr="00AE51A3">
        <w:rPr>
          <w:rFonts w:ascii="Verdana" w:hAnsi="Verdana"/>
        </w:rPr>
        <w:t xml:space="preserve"> Combining results with the full range of qualifiers would be difficult to interpret, and presenting results for all types of qualifiers separately would require extensive analysis. But it is hoped these results, whilst limited, will be of interest.</w:t>
      </w:r>
    </w:p>
  </w:footnote>
  <w:footnote w:id="3">
    <w:p w:rsidR="00F20F28" w:rsidRPr="00AE51A3" w:rsidRDefault="00F20F28" w:rsidP="00AE51A3">
      <w:pPr>
        <w:pStyle w:val="FootnoteText"/>
        <w:spacing w:line="240" w:lineRule="auto"/>
        <w:rPr>
          <w:rFonts w:ascii="Verdana" w:hAnsi="Verdana"/>
        </w:rPr>
      </w:pPr>
      <w:r w:rsidRPr="00AE51A3">
        <w:rPr>
          <w:rStyle w:val="FootnoteReference"/>
          <w:rFonts w:ascii="Verdana" w:hAnsi="Verdana"/>
        </w:rPr>
        <w:footnoteRef/>
      </w:r>
      <w:r w:rsidRPr="00AE51A3">
        <w:rPr>
          <w:rFonts w:ascii="Verdana" w:hAnsi="Verdana"/>
        </w:rPr>
        <w:t xml:space="preserve"> Quoted by Melanie Newman in the article, “Male students are now the weaker sex, says Hepi study”, Times Higher Education, 11 June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F638E"/>
    <w:multiLevelType w:val="multilevel"/>
    <w:tmpl w:val="F55E9D88"/>
    <w:lvl w:ilvl="0">
      <w:start w:val="1"/>
      <w:numFmt w:val="decimal"/>
      <w:lvlText w:val="%1."/>
      <w:lvlJc w:val="left"/>
      <w:pPr>
        <w:tabs>
          <w:tab w:val="num" w:pos="662"/>
        </w:tabs>
        <w:ind w:left="662" w:hanging="302"/>
      </w:pPr>
      <w:rPr>
        <w:rFonts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1">
    <w:nsid w:val="17193E2E"/>
    <w:multiLevelType w:val="multilevel"/>
    <w:tmpl w:val="6AFE2E82"/>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
    <w:nsid w:val="29A43A93"/>
    <w:multiLevelType w:val="multilevel"/>
    <w:tmpl w:val="D354DD60"/>
    <w:name w:val="HEFCE2"/>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
    <w:nsid w:val="2EEE1303"/>
    <w:multiLevelType w:val="multilevel"/>
    <w:tmpl w:val="6A8E66B0"/>
    <w:name w:val="HEFCE3"/>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
    <w:nsid w:val="2F0766DC"/>
    <w:multiLevelType w:val="hybridMultilevel"/>
    <w:tmpl w:val="AF20D7A0"/>
    <w:name w:val="HEFCE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F8C374A"/>
    <w:multiLevelType w:val="multilevel"/>
    <w:tmpl w:val="488A377C"/>
    <w:lvl w:ilvl="0">
      <w:start w:val="1"/>
      <w:numFmt w:val="decimal"/>
      <w:lvlText w:val="%1."/>
      <w:lvlJc w:val="left"/>
      <w:pPr>
        <w:tabs>
          <w:tab w:val="num" w:pos="662"/>
        </w:tabs>
        <w:ind w:left="662" w:hanging="302"/>
      </w:pPr>
      <w:rPr>
        <w:rFonts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6">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27F76D7"/>
    <w:multiLevelType w:val="hybridMultilevel"/>
    <w:tmpl w:val="FF1EBE0E"/>
    <w:lvl w:ilvl="0" w:tplc="81A4FE46">
      <w:start w:val="1"/>
      <w:numFmt w:val="bullet"/>
      <w:pStyle w:val="Bullet2"/>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51F21F0"/>
    <w:multiLevelType w:val="multilevel"/>
    <w:tmpl w:val="6F881C7E"/>
    <w:lvl w:ilvl="0">
      <w:start w:val="1"/>
      <w:numFmt w:val="decimal"/>
      <w:lvlText w:val="%1."/>
      <w:lvlJc w:val="left"/>
      <w:pPr>
        <w:tabs>
          <w:tab w:val="num" w:pos="662"/>
        </w:tabs>
        <w:ind w:left="662" w:hanging="302"/>
      </w:pPr>
      <w:rPr>
        <w:rFonts w:hint="default"/>
        <w:sz w:val="21"/>
      </w:rPr>
    </w:lvl>
    <w:lvl w:ilvl="1">
      <w:start w:val="1"/>
      <w:numFmt w:val="bullet"/>
      <w:lvlText w:val=""/>
      <w:lvlJc w:val="left"/>
      <w:pPr>
        <w:tabs>
          <w:tab w:val="num" w:pos="1238"/>
        </w:tabs>
        <w:ind w:left="1238" w:hanging="360"/>
      </w:pPr>
      <w:rPr>
        <w:rFonts w:ascii="Symbol" w:hAnsi="Symbol"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9">
    <w:nsid w:val="38A54E18"/>
    <w:multiLevelType w:val="multilevel"/>
    <w:tmpl w:val="834EDE6C"/>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10">
    <w:nsid w:val="3C541F2E"/>
    <w:multiLevelType w:val="multilevel"/>
    <w:tmpl w:val="F55E9D88"/>
    <w:lvl w:ilvl="0">
      <w:start w:val="1"/>
      <w:numFmt w:val="decimal"/>
      <w:lvlText w:val="%1."/>
      <w:lvlJc w:val="left"/>
      <w:pPr>
        <w:tabs>
          <w:tab w:val="num" w:pos="662"/>
        </w:tabs>
        <w:ind w:left="662" w:hanging="302"/>
      </w:pPr>
      <w:rPr>
        <w:rFonts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11">
    <w:nsid w:val="4C7906D4"/>
    <w:multiLevelType w:val="multilevel"/>
    <w:tmpl w:val="488A377C"/>
    <w:lvl w:ilvl="0">
      <w:start w:val="1"/>
      <w:numFmt w:val="decimal"/>
      <w:lvlText w:val="%1."/>
      <w:lvlJc w:val="left"/>
      <w:pPr>
        <w:tabs>
          <w:tab w:val="num" w:pos="662"/>
        </w:tabs>
        <w:ind w:left="662" w:hanging="302"/>
      </w:pPr>
      <w:rPr>
        <w:rFonts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12">
    <w:nsid w:val="52E739D3"/>
    <w:multiLevelType w:val="multilevel"/>
    <w:tmpl w:val="6A8E66B0"/>
    <w:name w:val="HEFCE3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3">
    <w:nsid w:val="5BB02D2E"/>
    <w:multiLevelType w:val="multilevel"/>
    <w:tmpl w:val="E35826DE"/>
    <w:name w:val="HEFCE"/>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num w:numId="1">
    <w:abstractNumId w:val="10"/>
  </w:num>
  <w:num w:numId="2">
    <w:abstractNumId w:val="7"/>
  </w:num>
  <w:num w:numId="3">
    <w:abstractNumId w:val="6"/>
  </w:num>
  <w:num w:numId="4">
    <w:abstractNumId w:val="9"/>
  </w:num>
  <w:num w:numId="5">
    <w:abstractNumId w:val="0"/>
  </w:num>
  <w:num w:numId="6">
    <w:abstractNumId w:val="1"/>
  </w:num>
  <w:num w:numId="7">
    <w:abstractNumId w:val="11"/>
  </w:num>
  <w:num w:numId="8">
    <w:abstractNumId w:val="5"/>
  </w:num>
  <w:num w:numId="9">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05"/>
  <w:displayHorizontalDrawingGridEvery w:val="0"/>
  <w:displayVerticalDrawingGridEvery w:val="0"/>
  <w:noPunctuationKerning/>
  <w:characterSpacingControl w:val="doNotCompress"/>
  <w:footnotePr>
    <w:footnote w:id="-1"/>
    <w:footnote w:id="0"/>
  </w:footnotePr>
  <w:endnotePr>
    <w:endnote w:id="-1"/>
    <w:endnote w:id="0"/>
  </w:endnotePr>
  <w:compat/>
  <w:docVars>
    <w:docVar w:name="dgnword-docGUID" w:val="{EE58DD5D-F11A-4124-A299-C8C1B1867624}"/>
    <w:docVar w:name="dgnword-eventsink" w:val="74561840"/>
  </w:docVars>
  <w:rsids>
    <w:rsidRoot w:val="008B5CA3"/>
    <w:rsid w:val="00002B72"/>
    <w:rsid w:val="0000302E"/>
    <w:rsid w:val="0000307F"/>
    <w:rsid w:val="00004AFB"/>
    <w:rsid w:val="00005B6C"/>
    <w:rsid w:val="00006172"/>
    <w:rsid w:val="000108D3"/>
    <w:rsid w:val="000124BA"/>
    <w:rsid w:val="00013A20"/>
    <w:rsid w:val="00015C46"/>
    <w:rsid w:val="0002026C"/>
    <w:rsid w:val="000210EE"/>
    <w:rsid w:val="00022F97"/>
    <w:rsid w:val="00023A3A"/>
    <w:rsid w:val="000253DF"/>
    <w:rsid w:val="00026CFB"/>
    <w:rsid w:val="00027805"/>
    <w:rsid w:val="00027A42"/>
    <w:rsid w:val="00030BBF"/>
    <w:rsid w:val="00030EF6"/>
    <w:rsid w:val="0003486D"/>
    <w:rsid w:val="00034C61"/>
    <w:rsid w:val="000358E3"/>
    <w:rsid w:val="00036945"/>
    <w:rsid w:val="000405C2"/>
    <w:rsid w:val="000409E3"/>
    <w:rsid w:val="0004112F"/>
    <w:rsid w:val="0004300E"/>
    <w:rsid w:val="0004359F"/>
    <w:rsid w:val="00043645"/>
    <w:rsid w:val="00043C36"/>
    <w:rsid w:val="000444F3"/>
    <w:rsid w:val="00047340"/>
    <w:rsid w:val="000475D9"/>
    <w:rsid w:val="00050C6B"/>
    <w:rsid w:val="00050D4F"/>
    <w:rsid w:val="0005170E"/>
    <w:rsid w:val="000517CE"/>
    <w:rsid w:val="000521E8"/>
    <w:rsid w:val="000546EE"/>
    <w:rsid w:val="00054D17"/>
    <w:rsid w:val="00055B56"/>
    <w:rsid w:val="00056047"/>
    <w:rsid w:val="000564B2"/>
    <w:rsid w:val="00061638"/>
    <w:rsid w:val="000628CE"/>
    <w:rsid w:val="00064D75"/>
    <w:rsid w:val="00066AA6"/>
    <w:rsid w:val="0006716B"/>
    <w:rsid w:val="0007005D"/>
    <w:rsid w:val="00072A00"/>
    <w:rsid w:val="00072E0C"/>
    <w:rsid w:val="000730A7"/>
    <w:rsid w:val="00074020"/>
    <w:rsid w:val="0007529F"/>
    <w:rsid w:val="00080721"/>
    <w:rsid w:val="00080A7C"/>
    <w:rsid w:val="0008142F"/>
    <w:rsid w:val="000826EF"/>
    <w:rsid w:val="00084565"/>
    <w:rsid w:val="00085339"/>
    <w:rsid w:val="0009096B"/>
    <w:rsid w:val="000910B5"/>
    <w:rsid w:val="00091B4C"/>
    <w:rsid w:val="00095769"/>
    <w:rsid w:val="00097BC0"/>
    <w:rsid w:val="000A00E8"/>
    <w:rsid w:val="000A1904"/>
    <w:rsid w:val="000A3565"/>
    <w:rsid w:val="000A47F0"/>
    <w:rsid w:val="000A4B90"/>
    <w:rsid w:val="000A5050"/>
    <w:rsid w:val="000A6328"/>
    <w:rsid w:val="000A7363"/>
    <w:rsid w:val="000A7A4C"/>
    <w:rsid w:val="000A7A8F"/>
    <w:rsid w:val="000B03E8"/>
    <w:rsid w:val="000B0690"/>
    <w:rsid w:val="000B15F5"/>
    <w:rsid w:val="000B3DE3"/>
    <w:rsid w:val="000B4C72"/>
    <w:rsid w:val="000B6106"/>
    <w:rsid w:val="000C09F2"/>
    <w:rsid w:val="000C1D2A"/>
    <w:rsid w:val="000C1ED5"/>
    <w:rsid w:val="000C22F5"/>
    <w:rsid w:val="000C2ECA"/>
    <w:rsid w:val="000C4711"/>
    <w:rsid w:val="000C48CA"/>
    <w:rsid w:val="000C4998"/>
    <w:rsid w:val="000C7797"/>
    <w:rsid w:val="000C7A1C"/>
    <w:rsid w:val="000C7AE3"/>
    <w:rsid w:val="000C7C00"/>
    <w:rsid w:val="000D24CD"/>
    <w:rsid w:val="000D3741"/>
    <w:rsid w:val="000D379B"/>
    <w:rsid w:val="000D4665"/>
    <w:rsid w:val="000D5C71"/>
    <w:rsid w:val="000D5D87"/>
    <w:rsid w:val="000D66D4"/>
    <w:rsid w:val="000D6B42"/>
    <w:rsid w:val="000D7B5B"/>
    <w:rsid w:val="000E4171"/>
    <w:rsid w:val="000E770B"/>
    <w:rsid w:val="000E7FB9"/>
    <w:rsid w:val="000F122D"/>
    <w:rsid w:val="000F30CE"/>
    <w:rsid w:val="000F4B38"/>
    <w:rsid w:val="000F4B46"/>
    <w:rsid w:val="000F64B4"/>
    <w:rsid w:val="000F7EAB"/>
    <w:rsid w:val="001005E3"/>
    <w:rsid w:val="00101CE9"/>
    <w:rsid w:val="00103628"/>
    <w:rsid w:val="00104CF9"/>
    <w:rsid w:val="00105D1C"/>
    <w:rsid w:val="0010658B"/>
    <w:rsid w:val="00110422"/>
    <w:rsid w:val="001106EF"/>
    <w:rsid w:val="00112C1B"/>
    <w:rsid w:val="00113A0D"/>
    <w:rsid w:val="0011483F"/>
    <w:rsid w:val="001177B3"/>
    <w:rsid w:val="00117877"/>
    <w:rsid w:val="00117B44"/>
    <w:rsid w:val="00117E4A"/>
    <w:rsid w:val="001203E9"/>
    <w:rsid w:val="00120D72"/>
    <w:rsid w:val="00121226"/>
    <w:rsid w:val="001213A3"/>
    <w:rsid w:val="00121C84"/>
    <w:rsid w:val="00121D1F"/>
    <w:rsid w:val="001228A3"/>
    <w:rsid w:val="00122D61"/>
    <w:rsid w:val="00124B07"/>
    <w:rsid w:val="00124EAD"/>
    <w:rsid w:val="00125B9F"/>
    <w:rsid w:val="0012684C"/>
    <w:rsid w:val="00127263"/>
    <w:rsid w:val="0012764A"/>
    <w:rsid w:val="001308DB"/>
    <w:rsid w:val="00131D8D"/>
    <w:rsid w:val="0013401B"/>
    <w:rsid w:val="00135D12"/>
    <w:rsid w:val="00136C5E"/>
    <w:rsid w:val="00137D78"/>
    <w:rsid w:val="00141FF4"/>
    <w:rsid w:val="0014465B"/>
    <w:rsid w:val="00147340"/>
    <w:rsid w:val="00150A22"/>
    <w:rsid w:val="00151379"/>
    <w:rsid w:val="00151A3B"/>
    <w:rsid w:val="0015225E"/>
    <w:rsid w:val="00152BE8"/>
    <w:rsid w:val="00154440"/>
    <w:rsid w:val="00155FF7"/>
    <w:rsid w:val="00157B74"/>
    <w:rsid w:val="001604A0"/>
    <w:rsid w:val="001625FC"/>
    <w:rsid w:val="0016644C"/>
    <w:rsid w:val="00166DCB"/>
    <w:rsid w:val="00170664"/>
    <w:rsid w:val="00170FA7"/>
    <w:rsid w:val="00172C14"/>
    <w:rsid w:val="00172C35"/>
    <w:rsid w:val="001736A9"/>
    <w:rsid w:val="0017428B"/>
    <w:rsid w:val="00177E37"/>
    <w:rsid w:val="001801CE"/>
    <w:rsid w:val="00182067"/>
    <w:rsid w:val="0018228A"/>
    <w:rsid w:val="001823E8"/>
    <w:rsid w:val="00184B23"/>
    <w:rsid w:val="00184B88"/>
    <w:rsid w:val="00187625"/>
    <w:rsid w:val="00187B50"/>
    <w:rsid w:val="0019133B"/>
    <w:rsid w:val="0019207C"/>
    <w:rsid w:val="0019256F"/>
    <w:rsid w:val="00194662"/>
    <w:rsid w:val="00197A2A"/>
    <w:rsid w:val="001A0DBF"/>
    <w:rsid w:val="001A18A8"/>
    <w:rsid w:val="001A2110"/>
    <w:rsid w:val="001A389B"/>
    <w:rsid w:val="001A5731"/>
    <w:rsid w:val="001A77DC"/>
    <w:rsid w:val="001B24D2"/>
    <w:rsid w:val="001B317A"/>
    <w:rsid w:val="001B4C37"/>
    <w:rsid w:val="001B64C6"/>
    <w:rsid w:val="001C1B46"/>
    <w:rsid w:val="001C4595"/>
    <w:rsid w:val="001C52D1"/>
    <w:rsid w:val="001C5F43"/>
    <w:rsid w:val="001C6157"/>
    <w:rsid w:val="001C7B1B"/>
    <w:rsid w:val="001C7EA8"/>
    <w:rsid w:val="001D1AB0"/>
    <w:rsid w:val="001D1BEF"/>
    <w:rsid w:val="001D1F20"/>
    <w:rsid w:val="001D25A6"/>
    <w:rsid w:val="001D27A7"/>
    <w:rsid w:val="001D4855"/>
    <w:rsid w:val="001D4D6D"/>
    <w:rsid w:val="001D54B2"/>
    <w:rsid w:val="001E1B92"/>
    <w:rsid w:val="001E1DFC"/>
    <w:rsid w:val="001E2EA7"/>
    <w:rsid w:val="001E35EB"/>
    <w:rsid w:val="001E3F6B"/>
    <w:rsid w:val="001E4325"/>
    <w:rsid w:val="001F303C"/>
    <w:rsid w:val="001F42F2"/>
    <w:rsid w:val="001F5130"/>
    <w:rsid w:val="001F5B65"/>
    <w:rsid w:val="001F64B0"/>
    <w:rsid w:val="001F7824"/>
    <w:rsid w:val="00200C66"/>
    <w:rsid w:val="002014D8"/>
    <w:rsid w:val="00201EA3"/>
    <w:rsid w:val="00204CB1"/>
    <w:rsid w:val="002078E2"/>
    <w:rsid w:val="00210DA3"/>
    <w:rsid w:val="00211AC1"/>
    <w:rsid w:val="00211D1D"/>
    <w:rsid w:val="00212E14"/>
    <w:rsid w:val="00213F26"/>
    <w:rsid w:val="0021446E"/>
    <w:rsid w:val="002157B0"/>
    <w:rsid w:val="00216515"/>
    <w:rsid w:val="00217788"/>
    <w:rsid w:val="0021787A"/>
    <w:rsid w:val="00217CAA"/>
    <w:rsid w:val="0022360D"/>
    <w:rsid w:val="002314D5"/>
    <w:rsid w:val="002321C9"/>
    <w:rsid w:val="0023284E"/>
    <w:rsid w:val="00235316"/>
    <w:rsid w:val="00235A29"/>
    <w:rsid w:val="00237885"/>
    <w:rsid w:val="00240B69"/>
    <w:rsid w:val="00240D0B"/>
    <w:rsid w:val="00244F00"/>
    <w:rsid w:val="00245167"/>
    <w:rsid w:val="00246A90"/>
    <w:rsid w:val="00246EBC"/>
    <w:rsid w:val="00247B6C"/>
    <w:rsid w:val="00250F81"/>
    <w:rsid w:val="00251D03"/>
    <w:rsid w:val="002534D2"/>
    <w:rsid w:val="00256AE8"/>
    <w:rsid w:val="00260BF9"/>
    <w:rsid w:val="0026169D"/>
    <w:rsid w:val="00261A13"/>
    <w:rsid w:val="00261A6A"/>
    <w:rsid w:val="00262DE6"/>
    <w:rsid w:val="00264E6E"/>
    <w:rsid w:val="00270521"/>
    <w:rsid w:val="002733F5"/>
    <w:rsid w:val="00273BC5"/>
    <w:rsid w:val="002774AC"/>
    <w:rsid w:val="0028102C"/>
    <w:rsid w:val="00281870"/>
    <w:rsid w:val="00281BB3"/>
    <w:rsid w:val="002824BD"/>
    <w:rsid w:val="00283321"/>
    <w:rsid w:val="00283B68"/>
    <w:rsid w:val="002855AE"/>
    <w:rsid w:val="00291D35"/>
    <w:rsid w:val="0029323B"/>
    <w:rsid w:val="00293C03"/>
    <w:rsid w:val="002940A0"/>
    <w:rsid w:val="00295764"/>
    <w:rsid w:val="00295D3E"/>
    <w:rsid w:val="00295D63"/>
    <w:rsid w:val="002966EB"/>
    <w:rsid w:val="00296EB2"/>
    <w:rsid w:val="0029762E"/>
    <w:rsid w:val="002A0FF3"/>
    <w:rsid w:val="002A3C4D"/>
    <w:rsid w:val="002A4198"/>
    <w:rsid w:val="002A447A"/>
    <w:rsid w:val="002A4FC9"/>
    <w:rsid w:val="002B2A19"/>
    <w:rsid w:val="002B2B19"/>
    <w:rsid w:val="002B5870"/>
    <w:rsid w:val="002B7EC7"/>
    <w:rsid w:val="002C063E"/>
    <w:rsid w:val="002C0903"/>
    <w:rsid w:val="002C14B2"/>
    <w:rsid w:val="002C44B8"/>
    <w:rsid w:val="002C5CF1"/>
    <w:rsid w:val="002D28FE"/>
    <w:rsid w:val="002D303A"/>
    <w:rsid w:val="002D4466"/>
    <w:rsid w:val="002D4AD2"/>
    <w:rsid w:val="002D512D"/>
    <w:rsid w:val="002D617A"/>
    <w:rsid w:val="002D7F5B"/>
    <w:rsid w:val="002E0D94"/>
    <w:rsid w:val="002E11F3"/>
    <w:rsid w:val="002E2569"/>
    <w:rsid w:val="002E3BCD"/>
    <w:rsid w:val="002E4649"/>
    <w:rsid w:val="002E4995"/>
    <w:rsid w:val="002E4EC9"/>
    <w:rsid w:val="002E4FEC"/>
    <w:rsid w:val="002E5DD5"/>
    <w:rsid w:val="002E7A00"/>
    <w:rsid w:val="002F0FE8"/>
    <w:rsid w:val="002F1518"/>
    <w:rsid w:val="002F28AC"/>
    <w:rsid w:val="002F46EF"/>
    <w:rsid w:val="002F5643"/>
    <w:rsid w:val="00300B2E"/>
    <w:rsid w:val="00300C43"/>
    <w:rsid w:val="00300D04"/>
    <w:rsid w:val="003035D8"/>
    <w:rsid w:val="00303F84"/>
    <w:rsid w:val="00305784"/>
    <w:rsid w:val="00305EFC"/>
    <w:rsid w:val="003064F9"/>
    <w:rsid w:val="00306ADA"/>
    <w:rsid w:val="00306DDB"/>
    <w:rsid w:val="00313BAC"/>
    <w:rsid w:val="00315A45"/>
    <w:rsid w:val="00315E34"/>
    <w:rsid w:val="003204D1"/>
    <w:rsid w:val="00321D55"/>
    <w:rsid w:val="003236A7"/>
    <w:rsid w:val="003251FD"/>
    <w:rsid w:val="0032785A"/>
    <w:rsid w:val="00327E5F"/>
    <w:rsid w:val="003306F2"/>
    <w:rsid w:val="00331B70"/>
    <w:rsid w:val="00333100"/>
    <w:rsid w:val="00336E40"/>
    <w:rsid w:val="0033723F"/>
    <w:rsid w:val="00341652"/>
    <w:rsid w:val="003429B2"/>
    <w:rsid w:val="00343796"/>
    <w:rsid w:val="00343B73"/>
    <w:rsid w:val="00344CA4"/>
    <w:rsid w:val="00345AAA"/>
    <w:rsid w:val="00345C83"/>
    <w:rsid w:val="0034644A"/>
    <w:rsid w:val="00346CF3"/>
    <w:rsid w:val="0035055A"/>
    <w:rsid w:val="00350A8E"/>
    <w:rsid w:val="0035102F"/>
    <w:rsid w:val="003524EE"/>
    <w:rsid w:val="00352F10"/>
    <w:rsid w:val="003604E0"/>
    <w:rsid w:val="00360705"/>
    <w:rsid w:val="00360D63"/>
    <w:rsid w:val="00364B68"/>
    <w:rsid w:val="00365C0D"/>
    <w:rsid w:val="003705CA"/>
    <w:rsid w:val="00370C6E"/>
    <w:rsid w:val="0037150C"/>
    <w:rsid w:val="00372370"/>
    <w:rsid w:val="00372B98"/>
    <w:rsid w:val="00373B5C"/>
    <w:rsid w:val="00374B24"/>
    <w:rsid w:val="00376B02"/>
    <w:rsid w:val="00377A1B"/>
    <w:rsid w:val="00383693"/>
    <w:rsid w:val="0038458B"/>
    <w:rsid w:val="00385F9D"/>
    <w:rsid w:val="003862F0"/>
    <w:rsid w:val="0038650C"/>
    <w:rsid w:val="0038682E"/>
    <w:rsid w:val="00390499"/>
    <w:rsid w:val="0039130D"/>
    <w:rsid w:val="003951EE"/>
    <w:rsid w:val="00395D04"/>
    <w:rsid w:val="00396B27"/>
    <w:rsid w:val="00396B3B"/>
    <w:rsid w:val="00397503"/>
    <w:rsid w:val="003A1A55"/>
    <w:rsid w:val="003A2850"/>
    <w:rsid w:val="003A32F1"/>
    <w:rsid w:val="003A3595"/>
    <w:rsid w:val="003A5224"/>
    <w:rsid w:val="003A5D9C"/>
    <w:rsid w:val="003A66A6"/>
    <w:rsid w:val="003A6B18"/>
    <w:rsid w:val="003A6DAC"/>
    <w:rsid w:val="003A7E77"/>
    <w:rsid w:val="003B09FA"/>
    <w:rsid w:val="003B1D2F"/>
    <w:rsid w:val="003B20CB"/>
    <w:rsid w:val="003B30E8"/>
    <w:rsid w:val="003B3D4D"/>
    <w:rsid w:val="003B4CB4"/>
    <w:rsid w:val="003B5160"/>
    <w:rsid w:val="003C2699"/>
    <w:rsid w:val="003C3604"/>
    <w:rsid w:val="003C45C9"/>
    <w:rsid w:val="003C5DE4"/>
    <w:rsid w:val="003C67D9"/>
    <w:rsid w:val="003C7794"/>
    <w:rsid w:val="003D119C"/>
    <w:rsid w:val="003D2571"/>
    <w:rsid w:val="003D3232"/>
    <w:rsid w:val="003D40CB"/>
    <w:rsid w:val="003D429B"/>
    <w:rsid w:val="003D52A5"/>
    <w:rsid w:val="003D6E04"/>
    <w:rsid w:val="003D7842"/>
    <w:rsid w:val="003D78F9"/>
    <w:rsid w:val="003E07F0"/>
    <w:rsid w:val="003E3B54"/>
    <w:rsid w:val="003E478E"/>
    <w:rsid w:val="003E591B"/>
    <w:rsid w:val="003E7C3A"/>
    <w:rsid w:val="003F2C9B"/>
    <w:rsid w:val="003F330A"/>
    <w:rsid w:val="003F41CC"/>
    <w:rsid w:val="003F4F49"/>
    <w:rsid w:val="003F51CD"/>
    <w:rsid w:val="00400143"/>
    <w:rsid w:val="00400AA5"/>
    <w:rsid w:val="00400AEC"/>
    <w:rsid w:val="00400D20"/>
    <w:rsid w:val="0040162C"/>
    <w:rsid w:val="00401958"/>
    <w:rsid w:val="00402FCF"/>
    <w:rsid w:val="00405329"/>
    <w:rsid w:val="00405512"/>
    <w:rsid w:val="00405C5C"/>
    <w:rsid w:val="0040687B"/>
    <w:rsid w:val="00411DFB"/>
    <w:rsid w:val="00412C3A"/>
    <w:rsid w:val="00413038"/>
    <w:rsid w:val="00415498"/>
    <w:rsid w:val="00415F4A"/>
    <w:rsid w:val="004200C9"/>
    <w:rsid w:val="00426626"/>
    <w:rsid w:val="0043278A"/>
    <w:rsid w:val="00432891"/>
    <w:rsid w:val="0043300B"/>
    <w:rsid w:val="00433582"/>
    <w:rsid w:val="00433748"/>
    <w:rsid w:val="00433E29"/>
    <w:rsid w:val="00433E9A"/>
    <w:rsid w:val="0043488A"/>
    <w:rsid w:val="004362B4"/>
    <w:rsid w:val="00436B38"/>
    <w:rsid w:val="00436EB9"/>
    <w:rsid w:val="00437548"/>
    <w:rsid w:val="00437651"/>
    <w:rsid w:val="0043785C"/>
    <w:rsid w:val="0044284B"/>
    <w:rsid w:val="004433AE"/>
    <w:rsid w:val="00443918"/>
    <w:rsid w:val="00444DCD"/>
    <w:rsid w:val="00446433"/>
    <w:rsid w:val="0044799F"/>
    <w:rsid w:val="004502B8"/>
    <w:rsid w:val="00450D23"/>
    <w:rsid w:val="004518E9"/>
    <w:rsid w:val="00452B6F"/>
    <w:rsid w:val="00453BDD"/>
    <w:rsid w:val="00454000"/>
    <w:rsid w:val="00454370"/>
    <w:rsid w:val="00454494"/>
    <w:rsid w:val="0045604F"/>
    <w:rsid w:val="00456A5D"/>
    <w:rsid w:val="0046041C"/>
    <w:rsid w:val="00463197"/>
    <w:rsid w:val="004637F7"/>
    <w:rsid w:val="004675EF"/>
    <w:rsid w:val="004720E0"/>
    <w:rsid w:val="00472296"/>
    <w:rsid w:val="00472FE6"/>
    <w:rsid w:val="00474359"/>
    <w:rsid w:val="00474BF1"/>
    <w:rsid w:val="0047710C"/>
    <w:rsid w:val="004776DC"/>
    <w:rsid w:val="00477FFE"/>
    <w:rsid w:val="00481203"/>
    <w:rsid w:val="0048182E"/>
    <w:rsid w:val="00483B33"/>
    <w:rsid w:val="004863CF"/>
    <w:rsid w:val="004866FC"/>
    <w:rsid w:val="00487208"/>
    <w:rsid w:val="00491B1E"/>
    <w:rsid w:val="00491DE0"/>
    <w:rsid w:val="00493F87"/>
    <w:rsid w:val="004961EA"/>
    <w:rsid w:val="00496414"/>
    <w:rsid w:val="004A0055"/>
    <w:rsid w:val="004A1147"/>
    <w:rsid w:val="004A322A"/>
    <w:rsid w:val="004A3B53"/>
    <w:rsid w:val="004A451D"/>
    <w:rsid w:val="004A48BB"/>
    <w:rsid w:val="004A5304"/>
    <w:rsid w:val="004A7462"/>
    <w:rsid w:val="004B1898"/>
    <w:rsid w:val="004B1B73"/>
    <w:rsid w:val="004B1DE1"/>
    <w:rsid w:val="004B2478"/>
    <w:rsid w:val="004B2C4C"/>
    <w:rsid w:val="004B4023"/>
    <w:rsid w:val="004B448B"/>
    <w:rsid w:val="004B460C"/>
    <w:rsid w:val="004B54A4"/>
    <w:rsid w:val="004C0FAE"/>
    <w:rsid w:val="004C1E18"/>
    <w:rsid w:val="004C42D3"/>
    <w:rsid w:val="004C4E38"/>
    <w:rsid w:val="004D0618"/>
    <w:rsid w:val="004D3BF8"/>
    <w:rsid w:val="004D4AFA"/>
    <w:rsid w:val="004D4F9B"/>
    <w:rsid w:val="004D52F1"/>
    <w:rsid w:val="004D6C2E"/>
    <w:rsid w:val="004D7606"/>
    <w:rsid w:val="004E1486"/>
    <w:rsid w:val="004E314A"/>
    <w:rsid w:val="004E3EB0"/>
    <w:rsid w:val="004E505D"/>
    <w:rsid w:val="004F2E48"/>
    <w:rsid w:val="004F457F"/>
    <w:rsid w:val="004F4C3E"/>
    <w:rsid w:val="004F63BC"/>
    <w:rsid w:val="004F6C6E"/>
    <w:rsid w:val="004F74ED"/>
    <w:rsid w:val="00500C8D"/>
    <w:rsid w:val="00502AF9"/>
    <w:rsid w:val="00503976"/>
    <w:rsid w:val="00504576"/>
    <w:rsid w:val="00504DED"/>
    <w:rsid w:val="00507721"/>
    <w:rsid w:val="005101F3"/>
    <w:rsid w:val="005165B1"/>
    <w:rsid w:val="00516D90"/>
    <w:rsid w:val="0051739C"/>
    <w:rsid w:val="00517A77"/>
    <w:rsid w:val="00521155"/>
    <w:rsid w:val="00524B1A"/>
    <w:rsid w:val="00524F74"/>
    <w:rsid w:val="0052672A"/>
    <w:rsid w:val="005306C3"/>
    <w:rsid w:val="0053142D"/>
    <w:rsid w:val="00535B0C"/>
    <w:rsid w:val="00536BC5"/>
    <w:rsid w:val="00537FC7"/>
    <w:rsid w:val="005404DB"/>
    <w:rsid w:val="005432A7"/>
    <w:rsid w:val="00543944"/>
    <w:rsid w:val="0054571C"/>
    <w:rsid w:val="005469AA"/>
    <w:rsid w:val="005507B7"/>
    <w:rsid w:val="005514E8"/>
    <w:rsid w:val="005532D2"/>
    <w:rsid w:val="00560A84"/>
    <w:rsid w:val="005618F6"/>
    <w:rsid w:val="0056217E"/>
    <w:rsid w:val="00562E7E"/>
    <w:rsid w:val="005632AD"/>
    <w:rsid w:val="005640F4"/>
    <w:rsid w:val="005671CE"/>
    <w:rsid w:val="00567459"/>
    <w:rsid w:val="00567938"/>
    <w:rsid w:val="0057006B"/>
    <w:rsid w:val="00571C10"/>
    <w:rsid w:val="00571DC5"/>
    <w:rsid w:val="0057235C"/>
    <w:rsid w:val="00573B39"/>
    <w:rsid w:val="00577CCD"/>
    <w:rsid w:val="00577E11"/>
    <w:rsid w:val="005819E5"/>
    <w:rsid w:val="005825EB"/>
    <w:rsid w:val="00583D44"/>
    <w:rsid w:val="00587162"/>
    <w:rsid w:val="0059147D"/>
    <w:rsid w:val="00591F34"/>
    <w:rsid w:val="0059242F"/>
    <w:rsid w:val="005942B0"/>
    <w:rsid w:val="005943AB"/>
    <w:rsid w:val="005951D4"/>
    <w:rsid w:val="00596CA0"/>
    <w:rsid w:val="005A0441"/>
    <w:rsid w:val="005A4DAB"/>
    <w:rsid w:val="005A5D7F"/>
    <w:rsid w:val="005B0BB7"/>
    <w:rsid w:val="005B0F7A"/>
    <w:rsid w:val="005B175B"/>
    <w:rsid w:val="005B1A61"/>
    <w:rsid w:val="005B3799"/>
    <w:rsid w:val="005B3C3C"/>
    <w:rsid w:val="005B48D1"/>
    <w:rsid w:val="005C0AAC"/>
    <w:rsid w:val="005C45BE"/>
    <w:rsid w:val="005C4DDD"/>
    <w:rsid w:val="005C6032"/>
    <w:rsid w:val="005C6115"/>
    <w:rsid w:val="005D15CD"/>
    <w:rsid w:val="005D18B0"/>
    <w:rsid w:val="005D1CCD"/>
    <w:rsid w:val="005D2DB9"/>
    <w:rsid w:val="005D3CA4"/>
    <w:rsid w:val="005D5AED"/>
    <w:rsid w:val="005D5EB7"/>
    <w:rsid w:val="005D66AE"/>
    <w:rsid w:val="005D6E2C"/>
    <w:rsid w:val="005E5418"/>
    <w:rsid w:val="005E6A18"/>
    <w:rsid w:val="005E7388"/>
    <w:rsid w:val="005E7CCB"/>
    <w:rsid w:val="005F0229"/>
    <w:rsid w:val="005F1099"/>
    <w:rsid w:val="005F1B04"/>
    <w:rsid w:val="005F2B53"/>
    <w:rsid w:val="005F3374"/>
    <w:rsid w:val="005F4A7F"/>
    <w:rsid w:val="005F6836"/>
    <w:rsid w:val="005F71C5"/>
    <w:rsid w:val="0060036E"/>
    <w:rsid w:val="0060071E"/>
    <w:rsid w:val="00601681"/>
    <w:rsid w:val="00601FA1"/>
    <w:rsid w:val="00603E3A"/>
    <w:rsid w:val="006044F9"/>
    <w:rsid w:val="006047FB"/>
    <w:rsid w:val="00604C98"/>
    <w:rsid w:val="00606320"/>
    <w:rsid w:val="0060673C"/>
    <w:rsid w:val="00610F60"/>
    <w:rsid w:val="0061174F"/>
    <w:rsid w:val="006141B3"/>
    <w:rsid w:val="00614D32"/>
    <w:rsid w:val="00615939"/>
    <w:rsid w:val="00616166"/>
    <w:rsid w:val="00617CC2"/>
    <w:rsid w:val="006221C9"/>
    <w:rsid w:val="00622CC1"/>
    <w:rsid w:val="006230C7"/>
    <w:rsid w:val="00623C36"/>
    <w:rsid w:val="00623E29"/>
    <w:rsid w:val="00623FCD"/>
    <w:rsid w:val="0062456A"/>
    <w:rsid w:val="006246F2"/>
    <w:rsid w:val="00627FDF"/>
    <w:rsid w:val="00630878"/>
    <w:rsid w:val="006365E9"/>
    <w:rsid w:val="00637E1D"/>
    <w:rsid w:val="00637ECB"/>
    <w:rsid w:val="0064011A"/>
    <w:rsid w:val="00640185"/>
    <w:rsid w:val="00641D91"/>
    <w:rsid w:val="0064335B"/>
    <w:rsid w:val="00647045"/>
    <w:rsid w:val="00651C62"/>
    <w:rsid w:val="00652699"/>
    <w:rsid w:val="00654DB8"/>
    <w:rsid w:val="00655FBC"/>
    <w:rsid w:val="00660421"/>
    <w:rsid w:val="0066111F"/>
    <w:rsid w:val="0066142F"/>
    <w:rsid w:val="006615E5"/>
    <w:rsid w:val="00661E08"/>
    <w:rsid w:val="00661E56"/>
    <w:rsid w:val="00663DF1"/>
    <w:rsid w:val="006664F4"/>
    <w:rsid w:val="0067221D"/>
    <w:rsid w:val="006725C0"/>
    <w:rsid w:val="00672C02"/>
    <w:rsid w:val="00673D2E"/>
    <w:rsid w:val="006743DE"/>
    <w:rsid w:val="00675008"/>
    <w:rsid w:val="00682750"/>
    <w:rsid w:val="00684AAC"/>
    <w:rsid w:val="00684BE4"/>
    <w:rsid w:val="006868F2"/>
    <w:rsid w:val="00686DC1"/>
    <w:rsid w:val="006871A0"/>
    <w:rsid w:val="00690D8C"/>
    <w:rsid w:val="006922AD"/>
    <w:rsid w:val="006922C0"/>
    <w:rsid w:val="00694E68"/>
    <w:rsid w:val="0069648C"/>
    <w:rsid w:val="006A30B6"/>
    <w:rsid w:val="006A5FBB"/>
    <w:rsid w:val="006A71E1"/>
    <w:rsid w:val="006B5D7A"/>
    <w:rsid w:val="006C00DF"/>
    <w:rsid w:val="006C102B"/>
    <w:rsid w:val="006C1336"/>
    <w:rsid w:val="006C4194"/>
    <w:rsid w:val="006C4727"/>
    <w:rsid w:val="006D0A5E"/>
    <w:rsid w:val="006D1A98"/>
    <w:rsid w:val="006D2D2B"/>
    <w:rsid w:val="006D655E"/>
    <w:rsid w:val="006D6C4D"/>
    <w:rsid w:val="006D6FE0"/>
    <w:rsid w:val="006E12AE"/>
    <w:rsid w:val="006E28DF"/>
    <w:rsid w:val="006E5117"/>
    <w:rsid w:val="006E550A"/>
    <w:rsid w:val="006E5F40"/>
    <w:rsid w:val="006E62B1"/>
    <w:rsid w:val="006E76EE"/>
    <w:rsid w:val="006F0AD2"/>
    <w:rsid w:val="006F11C3"/>
    <w:rsid w:val="006F2822"/>
    <w:rsid w:val="006F2ADC"/>
    <w:rsid w:val="006F3C91"/>
    <w:rsid w:val="006F4470"/>
    <w:rsid w:val="006F49C5"/>
    <w:rsid w:val="006F59A3"/>
    <w:rsid w:val="006F61EA"/>
    <w:rsid w:val="006F6874"/>
    <w:rsid w:val="006F6B7A"/>
    <w:rsid w:val="00701493"/>
    <w:rsid w:val="00701FA0"/>
    <w:rsid w:val="00703E8E"/>
    <w:rsid w:val="00704034"/>
    <w:rsid w:val="00704DF2"/>
    <w:rsid w:val="007056E4"/>
    <w:rsid w:val="00706CD4"/>
    <w:rsid w:val="00714654"/>
    <w:rsid w:val="00717296"/>
    <w:rsid w:val="00717C7D"/>
    <w:rsid w:val="00717FE6"/>
    <w:rsid w:val="00720709"/>
    <w:rsid w:val="007212AA"/>
    <w:rsid w:val="00721896"/>
    <w:rsid w:val="00722128"/>
    <w:rsid w:val="007234DE"/>
    <w:rsid w:val="007270E5"/>
    <w:rsid w:val="007314C1"/>
    <w:rsid w:val="00731674"/>
    <w:rsid w:val="00731E6D"/>
    <w:rsid w:val="00734257"/>
    <w:rsid w:val="00735AB2"/>
    <w:rsid w:val="00736BEE"/>
    <w:rsid w:val="00740D11"/>
    <w:rsid w:val="00740F13"/>
    <w:rsid w:val="00741368"/>
    <w:rsid w:val="007423F6"/>
    <w:rsid w:val="00742C10"/>
    <w:rsid w:val="00742D6F"/>
    <w:rsid w:val="00744DAD"/>
    <w:rsid w:val="007457B1"/>
    <w:rsid w:val="00746037"/>
    <w:rsid w:val="00751009"/>
    <w:rsid w:val="00752417"/>
    <w:rsid w:val="00752AE3"/>
    <w:rsid w:val="00755631"/>
    <w:rsid w:val="00755D31"/>
    <w:rsid w:val="00756070"/>
    <w:rsid w:val="007561D3"/>
    <w:rsid w:val="007565EE"/>
    <w:rsid w:val="00756A4D"/>
    <w:rsid w:val="00756A5B"/>
    <w:rsid w:val="00757839"/>
    <w:rsid w:val="00757D85"/>
    <w:rsid w:val="00760B38"/>
    <w:rsid w:val="00760BE5"/>
    <w:rsid w:val="00763065"/>
    <w:rsid w:val="007631AF"/>
    <w:rsid w:val="00764A6B"/>
    <w:rsid w:val="007653EB"/>
    <w:rsid w:val="0076541B"/>
    <w:rsid w:val="007654ED"/>
    <w:rsid w:val="00765B08"/>
    <w:rsid w:val="0076613C"/>
    <w:rsid w:val="0076710A"/>
    <w:rsid w:val="00771926"/>
    <w:rsid w:val="007737FC"/>
    <w:rsid w:val="00774251"/>
    <w:rsid w:val="0077461F"/>
    <w:rsid w:val="007751BA"/>
    <w:rsid w:val="00776C23"/>
    <w:rsid w:val="00777D52"/>
    <w:rsid w:val="007812A8"/>
    <w:rsid w:val="00781E05"/>
    <w:rsid w:val="0078256C"/>
    <w:rsid w:val="007847AE"/>
    <w:rsid w:val="007877BC"/>
    <w:rsid w:val="00792CD3"/>
    <w:rsid w:val="00794A0F"/>
    <w:rsid w:val="00795E50"/>
    <w:rsid w:val="00796076"/>
    <w:rsid w:val="0079660C"/>
    <w:rsid w:val="00797B99"/>
    <w:rsid w:val="007A009B"/>
    <w:rsid w:val="007A02A5"/>
    <w:rsid w:val="007A1E57"/>
    <w:rsid w:val="007A210B"/>
    <w:rsid w:val="007A302D"/>
    <w:rsid w:val="007A6448"/>
    <w:rsid w:val="007A64EA"/>
    <w:rsid w:val="007A7E7E"/>
    <w:rsid w:val="007B2EE8"/>
    <w:rsid w:val="007B5FE2"/>
    <w:rsid w:val="007B6CCE"/>
    <w:rsid w:val="007C07B1"/>
    <w:rsid w:val="007C085A"/>
    <w:rsid w:val="007C0E1E"/>
    <w:rsid w:val="007C1E75"/>
    <w:rsid w:val="007C1FD4"/>
    <w:rsid w:val="007C2001"/>
    <w:rsid w:val="007C20E9"/>
    <w:rsid w:val="007C543C"/>
    <w:rsid w:val="007C6A9D"/>
    <w:rsid w:val="007C70A2"/>
    <w:rsid w:val="007C7835"/>
    <w:rsid w:val="007C7B6B"/>
    <w:rsid w:val="007C7B90"/>
    <w:rsid w:val="007D0320"/>
    <w:rsid w:val="007D09BC"/>
    <w:rsid w:val="007D3221"/>
    <w:rsid w:val="007D435A"/>
    <w:rsid w:val="007D5D44"/>
    <w:rsid w:val="007E2967"/>
    <w:rsid w:val="007E3807"/>
    <w:rsid w:val="007E4904"/>
    <w:rsid w:val="007E63F2"/>
    <w:rsid w:val="007E6AC8"/>
    <w:rsid w:val="007E75FA"/>
    <w:rsid w:val="007F347D"/>
    <w:rsid w:val="007F3D43"/>
    <w:rsid w:val="007F584C"/>
    <w:rsid w:val="007F72A9"/>
    <w:rsid w:val="007F755E"/>
    <w:rsid w:val="00800ACB"/>
    <w:rsid w:val="00801A85"/>
    <w:rsid w:val="00801D20"/>
    <w:rsid w:val="0080226C"/>
    <w:rsid w:val="0080228D"/>
    <w:rsid w:val="008029FC"/>
    <w:rsid w:val="008038E1"/>
    <w:rsid w:val="00804C2C"/>
    <w:rsid w:val="00804F4E"/>
    <w:rsid w:val="00807313"/>
    <w:rsid w:val="00807D32"/>
    <w:rsid w:val="008109F4"/>
    <w:rsid w:val="008113ED"/>
    <w:rsid w:val="00811DBE"/>
    <w:rsid w:val="0081206F"/>
    <w:rsid w:val="00812508"/>
    <w:rsid w:val="0081391D"/>
    <w:rsid w:val="00813B0D"/>
    <w:rsid w:val="0081635D"/>
    <w:rsid w:val="00821DD1"/>
    <w:rsid w:val="008222CB"/>
    <w:rsid w:val="008223CF"/>
    <w:rsid w:val="00823FE3"/>
    <w:rsid w:val="008245F8"/>
    <w:rsid w:val="00824C39"/>
    <w:rsid w:val="0082668A"/>
    <w:rsid w:val="00826724"/>
    <w:rsid w:val="0083013B"/>
    <w:rsid w:val="00833F0E"/>
    <w:rsid w:val="008350BD"/>
    <w:rsid w:val="0083547B"/>
    <w:rsid w:val="00837AF2"/>
    <w:rsid w:val="00837ECB"/>
    <w:rsid w:val="00840A49"/>
    <w:rsid w:val="00842893"/>
    <w:rsid w:val="00842D1A"/>
    <w:rsid w:val="008440A3"/>
    <w:rsid w:val="008449E4"/>
    <w:rsid w:val="00844B41"/>
    <w:rsid w:val="00851641"/>
    <w:rsid w:val="00851BFE"/>
    <w:rsid w:val="008525CD"/>
    <w:rsid w:val="008533EE"/>
    <w:rsid w:val="00853F49"/>
    <w:rsid w:val="0085480B"/>
    <w:rsid w:val="00855176"/>
    <w:rsid w:val="00856014"/>
    <w:rsid w:val="008573F6"/>
    <w:rsid w:val="00857D6D"/>
    <w:rsid w:val="00861DE2"/>
    <w:rsid w:val="0086323C"/>
    <w:rsid w:val="00865B95"/>
    <w:rsid w:val="00865E21"/>
    <w:rsid w:val="0087024C"/>
    <w:rsid w:val="00872BF8"/>
    <w:rsid w:val="00874631"/>
    <w:rsid w:val="00874A01"/>
    <w:rsid w:val="008825D8"/>
    <w:rsid w:val="00883612"/>
    <w:rsid w:val="0088379F"/>
    <w:rsid w:val="00884E5E"/>
    <w:rsid w:val="00884F9B"/>
    <w:rsid w:val="00885FA3"/>
    <w:rsid w:val="00886F64"/>
    <w:rsid w:val="00890A83"/>
    <w:rsid w:val="008918A9"/>
    <w:rsid w:val="00891EF3"/>
    <w:rsid w:val="00893614"/>
    <w:rsid w:val="00894E68"/>
    <w:rsid w:val="008964EA"/>
    <w:rsid w:val="008969E6"/>
    <w:rsid w:val="00897119"/>
    <w:rsid w:val="00897E92"/>
    <w:rsid w:val="008A1111"/>
    <w:rsid w:val="008A3230"/>
    <w:rsid w:val="008A5C2E"/>
    <w:rsid w:val="008A5DCC"/>
    <w:rsid w:val="008A6A0C"/>
    <w:rsid w:val="008A6D20"/>
    <w:rsid w:val="008A6F6C"/>
    <w:rsid w:val="008B17CA"/>
    <w:rsid w:val="008B1AC5"/>
    <w:rsid w:val="008B3221"/>
    <w:rsid w:val="008B50C7"/>
    <w:rsid w:val="008B5CA3"/>
    <w:rsid w:val="008B6418"/>
    <w:rsid w:val="008B6863"/>
    <w:rsid w:val="008B74EC"/>
    <w:rsid w:val="008B7534"/>
    <w:rsid w:val="008B794F"/>
    <w:rsid w:val="008C0D56"/>
    <w:rsid w:val="008C107D"/>
    <w:rsid w:val="008C1121"/>
    <w:rsid w:val="008C15D1"/>
    <w:rsid w:val="008C4609"/>
    <w:rsid w:val="008C6540"/>
    <w:rsid w:val="008C6B96"/>
    <w:rsid w:val="008C75DB"/>
    <w:rsid w:val="008D1705"/>
    <w:rsid w:val="008D2C68"/>
    <w:rsid w:val="008D3036"/>
    <w:rsid w:val="008D33A0"/>
    <w:rsid w:val="008D38E0"/>
    <w:rsid w:val="008D5C1A"/>
    <w:rsid w:val="008D620E"/>
    <w:rsid w:val="008D6306"/>
    <w:rsid w:val="008D7621"/>
    <w:rsid w:val="008D7B3B"/>
    <w:rsid w:val="008E286A"/>
    <w:rsid w:val="008E4027"/>
    <w:rsid w:val="008E440C"/>
    <w:rsid w:val="008E5951"/>
    <w:rsid w:val="008E60DE"/>
    <w:rsid w:val="008F10B4"/>
    <w:rsid w:val="008F2F49"/>
    <w:rsid w:val="008F302B"/>
    <w:rsid w:val="008F4C7C"/>
    <w:rsid w:val="008F5C82"/>
    <w:rsid w:val="008F5FCC"/>
    <w:rsid w:val="008F64D9"/>
    <w:rsid w:val="008F6EB5"/>
    <w:rsid w:val="008F7C29"/>
    <w:rsid w:val="00901132"/>
    <w:rsid w:val="009029B7"/>
    <w:rsid w:val="00902DEE"/>
    <w:rsid w:val="00907C5E"/>
    <w:rsid w:val="009109AC"/>
    <w:rsid w:val="00910E91"/>
    <w:rsid w:val="00911512"/>
    <w:rsid w:val="00911A9F"/>
    <w:rsid w:val="009120C4"/>
    <w:rsid w:val="009121BB"/>
    <w:rsid w:val="00912F61"/>
    <w:rsid w:val="009140A4"/>
    <w:rsid w:val="009143A9"/>
    <w:rsid w:val="0091522B"/>
    <w:rsid w:val="009176EB"/>
    <w:rsid w:val="00920748"/>
    <w:rsid w:val="009242C6"/>
    <w:rsid w:val="009244BE"/>
    <w:rsid w:val="00926F51"/>
    <w:rsid w:val="0092782A"/>
    <w:rsid w:val="00930283"/>
    <w:rsid w:val="009309E4"/>
    <w:rsid w:val="00930F1E"/>
    <w:rsid w:val="009310F0"/>
    <w:rsid w:val="009315AB"/>
    <w:rsid w:val="00933EDC"/>
    <w:rsid w:val="00934CFA"/>
    <w:rsid w:val="009371DF"/>
    <w:rsid w:val="00937D3A"/>
    <w:rsid w:val="0094149D"/>
    <w:rsid w:val="00944126"/>
    <w:rsid w:val="00944B59"/>
    <w:rsid w:val="0094502C"/>
    <w:rsid w:val="00946638"/>
    <w:rsid w:val="00951235"/>
    <w:rsid w:val="00952199"/>
    <w:rsid w:val="00954BED"/>
    <w:rsid w:val="009554C8"/>
    <w:rsid w:val="00955CFD"/>
    <w:rsid w:val="009618DD"/>
    <w:rsid w:val="00962D9E"/>
    <w:rsid w:val="00964CF5"/>
    <w:rsid w:val="00965504"/>
    <w:rsid w:val="00965FB0"/>
    <w:rsid w:val="009665CE"/>
    <w:rsid w:val="009674A5"/>
    <w:rsid w:val="00967800"/>
    <w:rsid w:val="00967C68"/>
    <w:rsid w:val="0097155C"/>
    <w:rsid w:val="0097183D"/>
    <w:rsid w:val="00972683"/>
    <w:rsid w:val="00972784"/>
    <w:rsid w:val="0097327F"/>
    <w:rsid w:val="009746F5"/>
    <w:rsid w:val="00976466"/>
    <w:rsid w:val="00977683"/>
    <w:rsid w:val="009778C5"/>
    <w:rsid w:val="00977E46"/>
    <w:rsid w:val="00980151"/>
    <w:rsid w:val="00983D25"/>
    <w:rsid w:val="00984173"/>
    <w:rsid w:val="00985684"/>
    <w:rsid w:val="00986828"/>
    <w:rsid w:val="00986F23"/>
    <w:rsid w:val="00990236"/>
    <w:rsid w:val="00992C81"/>
    <w:rsid w:val="00993658"/>
    <w:rsid w:val="009944FB"/>
    <w:rsid w:val="00996C1D"/>
    <w:rsid w:val="009A0EAF"/>
    <w:rsid w:val="009A1713"/>
    <w:rsid w:val="009A2F30"/>
    <w:rsid w:val="009A346B"/>
    <w:rsid w:val="009A3634"/>
    <w:rsid w:val="009A4E85"/>
    <w:rsid w:val="009A5132"/>
    <w:rsid w:val="009A5816"/>
    <w:rsid w:val="009A6823"/>
    <w:rsid w:val="009B0CAF"/>
    <w:rsid w:val="009B27C4"/>
    <w:rsid w:val="009B2C1D"/>
    <w:rsid w:val="009B2EB1"/>
    <w:rsid w:val="009B3F54"/>
    <w:rsid w:val="009B6314"/>
    <w:rsid w:val="009C1DB5"/>
    <w:rsid w:val="009C674E"/>
    <w:rsid w:val="009C7850"/>
    <w:rsid w:val="009D1B33"/>
    <w:rsid w:val="009D1E15"/>
    <w:rsid w:val="009D519D"/>
    <w:rsid w:val="009D7381"/>
    <w:rsid w:val="009D7E71"/>
    <w:rsid w:val="009E31E3"/>
    <w:rsid w:val="009E40D8"/>
    <w:rsid w:val="009E442D"/>
    <w:rsid w:val="009E4CD0"/>
    <w:rsid w:val="009E65E3"/>
    <w:rsid w:val="009E66BD"/>
    <w:rsid w:val="009F11B1"/>
    <w:rsid w:val="009F26B3"/>
    <w:rsid w:val="009F340D"/>
    <w:rsid w:val="009F387C"/>
    <w:rsid w:val="009F3A69"/>
    <w:rsid w:val="009F5DA0"/>
    <w:rsid w:val="009F6553"/>
    <w:rsid w:val="009F691A"/>
    <w:rsid w:val="00A0015D"/>
    <w:rsid w:val="00A0282C"/>
    <w:rsid w:val="00A06EF2"/>
    <w:rsid w:val="00A07033"/>
    <w:rsid w:val="00A119EC"/>
    <w:rsid w:val="00A11BF2"/>
    <w:rsid w:val="00A11DC9"/>
    <w:rsid w:val="00A13206"/>
    <w:rsid w:val="00A15923"/>
    <w:rsid w:val="00A164E5"/>
    <w:rsid w:val="00A17014"/>
    <w:rsid w:val="00A215A9"/>
    <w:rsid w:val="00A2205D"/>
    <w:rsid w:val="00A22AFB"/>
    <w:rsid w:val="00A22D52"/>
    <w:rsid w:val="00A23974"/>
    <w:rsid w:val="00A24B3E"/>
    <w:rsid w:val="00A24FFA"/>
    <w:rsid w:val="00A256EB"/>
    <w:rsid w:val="00A30FEB"/>
    <w:rsid w:val="00A31CA5"/>
    <w:rsid w:val="00A31E81"/>
    <w:rsid w:val="00A321AB"/>
    <w:rsid w:val="00A33E81"/>
    <w:rsid w:val="00A354DD"/>
    <w:rsid w:val="00A35AF8"/>
    <w:rsid w:val="00A35E15"/>
    <w:rsid w:val="00A36253"/>
    <w:rsid w:val="00A36561"/>
    <w:rsid w:val="00A368DA"/>
    <w:rsid w:val="00A37ADC"/>
    <w:rsid w:val="00A40658"/>
    <w:rsid w:val="00A41927"/>
    <w:rsid w:val="00A424C4"/>
    <w:rsid w:val="00A4467A"/>
    <w:rsid w:val="00A45628"/>
    <w:rsid w:val="00A45770"/>
    <w:rsid w:val="00A513DE"/>
    <w:rsid w:val="00A566EE"/>
    <w:rsid w:val="00A56864"/>
    <w:rsid w:val="00A5712B"/>
    <w:rsid w:val="00A57974"/>
    <w:rsid w:val="00A57AE3"/>
    <w:rsid w:val="00A6081E"/>
    <w:rsid w:val="00A61995"/>
    <w:rsid w:val="00A66AE3"/>
    <w:rsid w:val="00A66B24"/>
    <w:rsid w:val="00A67155"/>
    <w:rsid w:val="00A677CF"/>
    <w:rsid w:val="00A70D9E"/>
    <w:rsid w:val="00A71472"/>
    <w:rsid w:val="00A71790"/>
    <w:rsid w:val="00A71CD5"/>
    <w:rsid w:val="00A73617"/>
    <w:rsid w:val="00A744DB"/>
    <w:rsid w:val="00A804BF"/>
    <w:rsid w:val="00A8053E"/>
    <w:rsid w:val="00A83108"/>
    <w:rsid w:val="00A83B05"/>
    <w:rsid w:val="00A844A1"/>
    <w:rsid w:val="00A84B8E"/>
    <w:rsid w:val="00A86876"/>
    <w:rsid w:val="00A86EC9"/>
    <w:rsid w:val="00A87C38"/>
    <w:rsid w:val="00A87E6F"/>
    <w:rsid w:val="00A90C81"/>
    <w:rsid w:val="00A91F65"/>
    <w:rsid w:val="00A93AFE"/>
    <w:rsid w:val="00A93C28"/>
    <w:rsid w:val="00A93CA0"/>
    <w:rsid w:val="00A94E0E"/>
    <w:rsid w:val="00A96B4F"/>
    <w:rsid w:val="00A971E0"/>
    <w:rsid w:val="00A9755D"/>
    <w:rsid w:val="00A97C1D"/>
    <w:rsid w:val="00AA2A9E"/>
    <w:rsid w:val="00AA34F3"/>
    <w:rsid w:val="00AA5A6F"/>
    <w:rsid w:val="00AA5B54"/>
    <w:rsid w:val="00AA7FC2"/>
    <w:rsid w:val="00AB0630"/>
    <w:rsid w:val="00AB1342"/>
    <w:rsid w:val="00AB1708"/>
    <w:rsid w:val="00AB311D"/>
    <w:rsid w:val="00AB3BB2"/>
    <w:rsid w:val="00AB7CCF"/>
    <w:rsid w:val="00AB7F11"/>
    <w:rsid w:val="00AC0342"/>
    <w:rsid w:val="00AC189B"/>
    <w:rsid w:val="00AC3577"/>
    <w:rsid w:val="00AC376F"/>
    <w:rsid w:val="00AC4574"/>
    <w:rsid w:val="00AC49EA"/>
    <w:rsid w:val="00AC4C84"/>
    <w:rsid w:val="00AC7DAB"/>
    <w:rsid w:val="00AD10A5"/>
    <w:rsid w:val="00AD13BF"/>
    <w:rsid w:val="00AD56D9"/>
    <w:rsid w:val="00AD6DF8"/>
    <w:rsid w:val="00AD6EED"/>
    <w:rsid w:val="00AE0AF7"/>
    <w:rsid w:val="00AE0BFD"/>
    <w:rsid w:val="00AE0C46"/>
    <w:rsid w:val="00AE0FA4"/>
    <w:rsid w:val="00AE2052"/>
    <w:rsid w:val="00AE51A3"/>
    <w:rsid w:val="00AE6813"/>
    <w:rsid w:val="00AE763D"/>
    <w:rsid w:val="00AE7E7E"/>
    <w:rsid w:val="00AF01DB"/>
    <w:rsid w:val="00AF0B0E"/>
    <w:rsid w:val="00AF3507"/>
    <w:rsid w:val="00AF42D2"/>
    <w:rsid w:val="00AF56D2"/>
    <w:rsid w:val="00B027FA"/>
    <w:rsid w:val="00B02A5F"/>
    <w:rsid w:val="00B04F3D"/>
    <w:rsid w:val="00B0553C"/>
    <w:rsid w:val="00B0595C"/>
    <w:rsid w:val="00B078A5"/>
    <w:rsid w:val="00B11669"/>
    <w:rsid w:val="00B11941"/>
    <w:rsid w:val="00B121FD"/>
    <w:rsid w:val="00B13801"/>
    <w:rsid w:val="00B13A63"/>
    <w:rsid w:val="00B141B3"/>
    <w:rsid w:val="00B14F37"/>
    <w:rsid w:val="00B15BF9"/>
    <w:rsid w:val="00B20721"/>
    <w:rsid w:val="00B20774"/>
    <w:rsid w:val="00B21FB7"/>
    <w:rsid w:val="00B236AB"/>
    <w:rsid w:val="00B250FD"/>
    <w:rsid w:val="00B253CA"/>
    <w:rsid w:val="00B27104"/>
    <w:rsid w:val="00B27311"/>
    <w:rsid w:val="00B31CCE"/>
    <w:rsid w:val="00B336E1"/>
    <w:rsid w:val="00B338F6"/>
    <w:rsid w:val="00B3634F"/>
    <w:rsid w:val="00B379B9"/>
    <w:rsid w:val="00B42E23"/>
    <w:rsid w:val="00B44845"/>
    <w:rsid w:val="00B4558A"/>
    <w:rsid w:val="00B459D7"/>
    <w:rsid w:val="00B45C14"/>
    <w:rsid w:val="00B45E20"/>
    <w:rsid w:val="00B46FD4"/>
    <w:rsid w:val="00B50202"/>
    <w:rsid w:val="00B51C9F"/>
    <w:rsid w:val="00B522D8"/>
    <w:rsid w:val="00B52F59"/>
    <w:rsid w:val="00B5402F"/>
    <w:rsid w:val="00B54A89"/>
    <w:rsid w:val="00B55BF0"/>
    <w:rsid w:val="00B62BC9"/>
    <w:rsid w:val="00B62C51"/>
    <w:rsid w:val="00B64B7A"/>
    <w:rsid w:val="00B651AE"/>
    <w:rsid w:val="00B657FE"/>
    <w:rsid w:val="00B710F6"/>
    <w:rsid w:val="00B71ECA"/>
    <w:rsid w:val="00B7457E"/>
    <w:rsid w:val="00B746A1"/>
    <w:rsid w:val="00B74F5C"/>
    <w:rsid w:val="00B769E6"/>
    <w:rsid w:val="00B80FB1"/>
    <w:rsid w:val="00B810B2"/>
    <w:rsid w:val="00B81925"/>
    <w:rsid w:val="00B82DE8"/>
    <w:rsid w:val="00B82E5E"/>
    <w:rsid w:val="00B82E8E"/>
    <w:rsid w:val="00B839D2"/>
    <w:rsid w:val="00B906B1"/>
    <w:rsid w:val="00B908A4"/>
    <w:rsid w:val="00B90E3A"/>
    <w:rsid w:val="00B936EF"/>
    <w:rsid w:val="00B964EA"/>
    <w:rsid w:val="00B96E45"/>
    <w:rsid w:val="00B976FF"/>
    <w:rsid w:val="00B97AD2"/>
    <w:rsid w:val="00BA03ED"/>
    <w:rsid w:val="00BA5980"/>
    <w:rsid w:val="00BA5B21"/>
    <w:rsid w:val="00BA5C09"/>
    <w:rsid w:val="00BB174F"/>
    <w:rsid w:val="00BB2D3D"/>
    <w:rsid w:val="00BB3823"/>
    <w:rsid w:val="00BB3D53"/>
    <w:rsid w:val="00BB6DF5"/>
    <w:rsid w:val="00BC1CA6"/>
    <w:rsid w:val="00BC28D4"/>
    <w:rsid w:val="00BC57C8"/>
    <w:rsid w:val="00BC6C28"/>
    <w:rsid w:val="00BC6FB7"/>
    <w:rsid w:val="00BC7734"/>
    <w:rsid w:val="00BD03F6"/>
    <w:rsid w:val="00BD4D1E"/>
    <w:rsid w:val="00BD5531"/>
    <w:rsid w:val="00BD6F66"/>
    <w:rsid w:val="00BD712B"/>
    <w:rsid w:val="00BE299C"/>
    <w:rsid w:val="00BE30FB"/>
    <w:rsid w:val="00BE4860"/>
    <w:rsid w:val="00BE4E7B"/>
    <w:rsid w:val="00BE6F19"/>
    <w:rsid w:val="00BF056B"/>
    <w:rsid w:val="00BF065C"/>
    <w:rsid w:val="00BF1E70"/>
    <w:rsid w:val="00BF24E1"/>
    <w:rsid w:val="00BF2A96"/>
    <w:rsid w:val="00BF2ECF"/>
    <w:rsid w:val="00BF4096"/>
    <w:rsid w:val="00BF4AD9"/>
    <w:rsid w:val="00BF53C3"/>
    <w:rsid w:val="00BF7D02"/>
    <w:rsid w:val="00BF7F25"/>
    <w:rsid w:val="00C000C3"/>
    <w:rsid w:val="00C0064B"/>
    <w:rsid w:val="00C007D7"/>
    <w:rsid w:val="00C025D4"/>
    <w:rsid w:val="00C0267D"/>
    <w:rsid w:val="00C04331"/>
    <w:rsid w:val="00C05D88"/>
    <w:rsid w:val="00C101E9"/>
    <w:rsid w:val="00C11265"/>
    <w:rsid w:val="00C11280"/>
    <w:rsid w:val="00C11B25"/>
    <w:rsid w:val="00C12F7E"/>
    <w:rsid w:val="00C13D04"/>
    <w:rsid w:val="00C15C00"/>
    <w:rsid w:val="00C15E92"/>
    <w:rsid w:val="00C16615"/>
    <w:rsid w:val="00C17A96"/>
    <w:rsid w:val="00C200A2"/>
    <w:rsid w:val="00C228B9"/>
    <w:rsid w:val="00C229A2"/>
    <w:rsid w:val="00C24197"/>
    <w:rsid w:val="00C2421F"/>
    <w:rsid w:val="00C277CE"/>
    <w:rsid w:val="00C300A7"/>
    <w:rsid w:val="00C30104"/>
    <w:rsid w:val="00C30F0E"/>
    <w:rsid w:val="00C32009"/>
    <w:rsid w:val="00C3236A"/>
    <w:rsid w:val="00C328AE"/>
    <w:rsid w:val="00C32BC7"/>
    <w:rsid w:val="00C33049"/>
    <w:rsid w:val="00C3419C"/>
    <w:rsid w:val="00C34E8A"/>
    <w:rsid w:val="00C366A5"/>
    <w:rsid w:val="00C36B5A"/>
    <w:rsid w:val="00C42576"/>
    <w:rsid w:val="00C43F17"/>
    <w:rsid w:val="00C47536"/>
    <w:rsid w:val="00C5042E"/>
    <w:rsid w:val="00C518A3"/>
    <w:rsid w:val="00C53475"/>
    <w:rsid w:val="00C538FC"/>
    <w:rsid w:val="00C56A6D"/>
    <w:rsid w:val="00C5793C"/>
    <w:rsid w:val="00C60169"/>
    <w:rsid w:val="00C63732"/>
    <w:rsid w:val="00C657EA"/>
    <w:rsid w:val="00C67707"/>
    <w:rsid w:val="00C71503"/>
    <w:rsid w:val="00C7179F"/>
    <w:rsid w:val="00C73674"/>
    <w:rsid w:val="00C73D6A"/>
    <w:rsid w:val="00C73DB1"/>
    <w:rsid w:val="00C74025"/>
    <w:rsid w:val="00C80896"/>
    <w:rsid w:val="00C82C4B"/>
    <w:rsid w:val="00C87DB0"/>
    <w:rsid w:val="00C93B4E"/>
    <w:rsid w:val="00C9414A"/>
    <w:rsid w:val="00C94621"/>
    <w:rsid w:val="00C94F4C"/>
    <w:rsid w:val="00C950A5"/>
    <w:rsid w:val="00C96479"/>
    <w:rsid w:val="00C96F8A"/>
    <w:rsid w:val="00C978AC"/>
    <w:rsid w:val="00CA1AAF"/>
    <w:rsid w:val="00CA1C64"/>
    <w:rsid w:val="00CA2BF1"/>
    <w:rsid w:val="00CA4818"/>
    <w:rsid w:val="00CA4936"/>
    <w:rsid w:val="00CA5431"/>
    <w:rsid w:val="00CA6C97"/>
    <w:rsid w:val="00CB166C"/>
    <w:rsid w:val="00CB1ACF"/>
    <w:rsid w:val="00CB5285"/>
    <w:rsid w:val="00CB5C47"/>
    <w:rsid w:val="00CB647C"/>
    <w:rsid w:val="00CB707C"/>
    <w:rsid w:val="00CB796A"/>
    <w:rsid w:val="00CC4E7A"/>
    <w:rsid w:val="00CC6102"/>
    <w:rsid w:val="00CC6E03"/>
    <w:rsid w:val="00CD1214"/>
    <w:rsid w:val="00CD16EE"/>
    <w:rsid w:val="00CD205B"/>
    <w:rsid w:val="00CD3872"/>
    <w:rsid w:val="00CD56DC"/>
    <w:rsid w:val="00CD62C3"/>
    <w:rsid w:val="00CD7072"/>
    <w:rsid w:val="00CD7D73"/>
    <w:rsid w:val="00CE0993"/>
    <w:rsid w:val="00CE0CBF"/>
    <w:rsid w:val="00CE0E37"/>
    <w:rsid w:val="00CE0F58"/>
    <w:rsid w:val="00CE3FEA"/>
    <w:rsid w:val="00CE400D"/>
    <w:rsid w:val="00CE4FBD"/>
    <w:rsid w:val="00CE51B5"/>
    <w:rsid w:val="00CE67E1"/>
    <w:rsid w:val="00CE6F3B"/>
    <w:rsid w:val="00CE781F"/>
    <w:rsid w:val="00CE79D2"/>
    <w:rsid w:val="00CE7BE8"/>
    <w:rsid w:val="00CF0220"/>
    <w:rsid w:val="00CF0D10"/>
    <w:rsid w:val="00CF28EE"/>
    <w:rsid w:val="00CF3292"/>
    <w:rsid w:val="00CF3CA4"/>
    <w:rsid w:val="00D01D7D"/>
    <w:rsid w:val="00D028DF"/>
    <w:rsid w:val="00D03DE8"/>
    <w:rsid w:val="00D04207"/>
    <w:rsid w:val="00D0493A"/>
    <w:rsid w:val="00D05D3A"/>
    <w:rsid w:val="00D064E7"/>
    <w:rsid w:val="00D06C2F"/>
    <w:rsid w:val="00D07200"/>
    <w:rsid w:val="00D07238"/>
    <w:rsid w:val="00D14F3A"/>
    <w:rsid w:val="00D15727"/>
    <w:rsid w:val="00D163B4"/>
    <w:rsid w:val="00D164BF"/>
    <w:rsid w:val="00D178BB"/>
    <w:rsid w:val="00D17DFA"/>
    <w:rsid w:val="00D21BED"/>
    <w:rsid w:val="00D25ECB"/>
    <w:rsid w:val="00D26A3A"/>
    <w:rsid w:val="00D26C5F"/>
    <w:rsid w:val="00D3069A"/>
    <w:rsid w:val="00D32B8D"/>
    <w:rsid w:val="00D402D4"/>
    <w:rsid w:val="00D404F3"/>
    <w:rsid w:val="00D407D4"/>
    <w:rsid w:val="00D418AF"/>
    <w:rsid w:val="00D41A74"/>
    <w:rsid w:val="00D41C7A"/>
    <w:rsid w:val="00D42335"/>
    <w:rsid w:val="00D476EA"/>
    <w:rsid w:val="00D516F9"/>
    <w:rsid w:val="00D51893"/>
    <w:rsid w:val="00D536A3"/>
    <w:rsid w:val="00D55790"/>
    <w:rsid w:val="00D56777"/>
    <w:rsid w:val="00D57187"/>
    <w:rsid w:val="00D574F6"/>
    <w:rsid w:val="00D576DB"/>
    <w:rsid w:val="00D60342"/>
    <w:rsid w:val="00D6068A"/>
    <w:rsid w:val="00D62081"/>
    <w:rsid w:val="00D66090"/>
    <w:rsid w:val="00D67289"/>
    <w:rsid w:val="00D70591"/>
    <w:rsid w:val="00D705A0"/>
    <w:rsid w:val="00D707EE"/>
    <w:rsid w:val="00D71C9D"/>
    <w:rsid w:val="00D7281D"/>
    <w:rsid w:val="00D72FB6"/>
    <w:rsid w:val="00D74326"/>
    <w:rsid w:val="00D74B94"/>
    <w:rsid w:val="00D766C4"/>
    <w:rsid w:val="00D76D21"/>
    <w:rsid w:val="00D80879"/>
    <w:rsid w:val="00D8120D"/>
    <w:rsid w:val="00D818AD"/>
    <w:rsid w:val="00D81971"/>
    <w:rsid w:val="00D82C95"/>
    <w:rsid w:val="00D864FF"/>
    <w:rsid w:val="00D8737B"/>
    <w:rsid w:val="00D8776E"/>
    <w:rsid w:val="00D90BD4"/>
    <w:rsid w:val="00D91AB6"/>
    <w:rsid w:val="00D93ACA"/>
    <w:rsid w:val="00D940F0"/>
    <w:rsid w:val="00D9775F"/>
    <w:rsid w:val="00DA20C5"/>
    <w:rsid w:val="00DA358F"/>
    <w:rsid w:val="00DA4BDF"/>
    <w:rsid w:val="00DA580D"/>
    <w:rsid w:val="00DA5A13"/>
    <w:rsid w:val="00DA64CE"/>
    <w:rsid w:val="00DA6A5A"/>
    <w:rsid w:val="00DA77CB"/>
    <w:rsid w:val="00DA7B47"/>
    <w:rsid w:val="00DA7FF2"/>
    <w:rsid w:val="00DB0B0A"/>
    <w:rsid w:val="00DB1EF6"/>
    <w:rsid w:val="00DB4C32"/>
    <w:rsid w:val="00DB5C6A"/>
    <w:rsid w:val="00DB7CA0"/>
    <w:rsid w:val="00DC0CB4"/>
    <w:rsid w:val="00DC2465"/>
    <w:rsid w:val="00DC322B"/>
    <w:rsid w:val="00DC4581"/>
    <w:rsid w:val="00DC605F"/>
    <w:rsid w:val="00DD10C5"/>
    <w:rsid w:val="00DD1B4B"/>
    <w:rsid w:val="00DD1EA1"/>
    <w:rsid w:val="00DD3D6B"/>
    <w:rsid w:val="00DD5FA7"/>
    <w:rsid w:val="00DD6298"/>
    <w:rsid w:val="00DD6545"/>
    <w:rsid w:val="00DD7D8C"/>
    <w:rsid w:val="00DE334C"/>
    <w:rsid w:val="00DE4A03"/>
    <w:rsid w:val="00DE643A"/>
    <w:rsid w:val="00DE7AED"/>
    <w:rsid w:val="00DF00A7"/>
    <w:rsid w:val="00DF00D3"/>
    <w:rsid w:val="00DF1F6E"/>
    <w:rsid w:val="00DF3613"/>
    <w:rsid w:val="00DF5963"/>
    <w:rsid w:val="00DF5D67"/>
    <w:rsid w:val="00DF7CE8"/>
    <w:rsid w:val="00DF7EE7"/>
    <w:rsid w:val="00E01DEE"/>
    <w:rsid w:val="00E02E0C"/>
    <w:rsid w:val="00E03BBD"/>
    <w:rsid w:val="00E03CDD"/>
    <w:rsid w:val="00E04724"/>
    <w:rsid w:val="00E05812"/>
    <w:rsid w:val="00E07CA3"/>
    <w:rsid w:val="00E11B07"/>
    <w:rsid w:val="00E1204A"/>
    <w:rsid w:val="00E132C7"/>
    <w:rsid w:val="00E13B94"/>
    <w:rsid w:val="00E17BA1"/>
    <w:rsid w:val="00E20949"/>
    <w:rsid w:val="00E21EB4"/>
    <w:rsid w:val="00E226B3"/>
    <w:rsid w:val="00E31A04"/>
    <w:rsid w:val="00E331C2"/>
    <w:rsid w:val="00E33400"/>
    <w:rsid w:val="00E33FAC"/>
    <w:rsid w:val="00E35019"/>
    <w:rsid w:val="00E352C2"/>
    <w:rsid w:val="00E352FF"/>
    <w:rsid w:val="00E35E25"/>
    <w:rsid w:val="00E3682F"/>
    <w:rsid w:val="00E37605"/>
    <w:rsid w:val="00E40302"/>
    <w:rsid w:val="00E4084E"/>
    <w:rsid w:val="00E456CC"/>
    <w:rsid w:val="00E45F49"/>
    <w:rsid w:val="00E4732B"/>
    <w:rsid w:val="00E476AC"/>
    <w:rsid w:val="00E47A3B"/>
    <w:rsid w:val="00E50E0A"/>
    <w:rsid w:val="00E51549"/>
    <w:rsid w:val="00E5421E"/>
    <w:rsid w:val="00E567B7"/>
    <w:rsid w:val="00E57320"/>
    <w:rsid w:val="00E617F0"/>
    <w:rsid w:val="00E6357A"/>
    <w:rsid w:val="00E63B71"/>
    <w:rsid w:val="00E66055"/>
    <w:rsid w:val="00E662F5"/>
    <w:rsid w:val="00E664BC"/>
    <w:rsid w:val="00E670A9"/>
    <w:rsid w:val="00E705D8"/>
    <w:rsid w:val="00E70D62"/>
    <w:rsid w:val="00E70DE3"/>
    <w:rsid w:val="00E71A90"/>
    <w:rsid w:val="00E71E34"/>
    <w:rsid w:val="00E72C86"/>
    <w:rsid w:val="00E73AC0"/>
    <w:rsid w:val="00E75164"/>
    <w:rsid w:val="00E76A0D"/>
    <w:rsid w:val="00E770CC"/>
    <w:rsid w:val="00E8115A"/>
    <w:rsid w:val="00E814D1"/>
    <w:rsid w:val="00E818A6"/>
    <w:rsid w:val="00E81CF7"/>
    <w:rsid w:val="00E82577"/>
    <w:rsid w:val="00E838FB"/>
    <w:rsid w:val="00E84135"/>
    <w:rsid w:val="00E921AF"/>
    <w:rsid w:val="00E9353B"/>
    <w:rsid w:val="00E93FDE"/>
    <w:rsid w:val="00E9414F"/>
    <w:rsid w:val="00E947B9"/>
    <w:rsid w:val="00E949BA"/>
    <w:rsid w:val="00E961BC"/>
    <w:rsid w:val="00E97F7A"/>
    <w:rsid w:val="00EA143B"/>
    <w:rsid w:val="00EA1A2E"/>
    <w:rsid w:val="00EA5194"/>
    <w:rsid w:val="00EA5328"/>
    <w:rsid w:val="00EA58F8"/>
    <w:rsid w:val="00EA6F12"/>
    <w:rsid w:val="00EB167E"/>
    <w:rsid w:val="00EB3C7E"/>
    <w:rsid w:val="00EB6AD4"/>
    <w:rsid w:val="00EC01AF"/>
    <w:rsid w:val="00EC1AEB"/>
    <w:rsid w:val="00EC3EFA"/>
    <w:rsid w:val="00EC477E"/>
    <w:rsid w:val="00EC4C09"/>
    <w:rsid w:val="00EC4CD1"/>
    <w:rsid w:val="00EC512B"/>
    <w:rsid w:val="00EC5391"/>
    <w:rsid w:val="00EC7BC7"/>
    <w:rsid w:val="00ED29EF"/>
    <w:rsid w:val="00ED3B33"/>
    <w:rsid w:val="00ED53D4"/>
    <w:rsid w:val="00ED76D9"/>
    <w:rsid w:val="00EE0599"/>
    <w:rsid w:val="00EE0B8B"/>
    <w:rsid w:val="00EE1113"/>
    <w:rsid w:val="00EE2056"/>
    <w:rsid w:val="00EE4D9D"/>
    <w:rsid w:val="00EE52B9"/>
    <w:rsid w:val="00EE59B7"/>
    <w:rsid w:val="00EE6839"/>
    <w:rsid w:val="00EF1C05"/>
    <w:rsid w:val="00EF1E3A"/>
    <w:rsid w:val="00EF2A66"/>
    <w:rsid w:val="00EF2DD7"/>
    <w:rsid w:val="00EF3EF8"/>
    <w:rsid w:val="00EF4329"/>
    <w:rsid w:val="00EF6B30"/>
    <w:rsid w:val="00EF7025"/>
    <w:rsid w:val="00EF711D"/>
    <w:rsid w:val="00F007CF"/>
    <w:rsid w:val="00F014AF"/>
    <w:rsid w:val="00F01C89"/>
    <w:rsid w:val="00F0716B"/>
    <w:rsid w:val="00F07AE4"/>
    <w:rsid w:val="00F118E5"/>
    <w:rsid w:val="00F11B25"/>
    <w:rsid w:val="00F12780"/>
    <w:rsid w:val="00F1415B"/>
    <w:rsid w:val="00F15293"/>
    <w:rsid w:val="00F20713"/>
    <w:rsid w:val="00F20F28"/>
    <w:rsid w:val="00F21AE2"/>
    <w:rsid w:val="00F21D7D"/>
    <w:rsid w:val="00F22C18"/>
    <w:rsid w:val="00F232A6"/>
    <w:rsid w:val="00F23633"/>
    <w:rsid w:val="00F24FE6"/>
    <w:rsid w:val="00F313E0"/>
    <w:rsid w:val="00F32A04"/>
    <w:rsid w:val="00F32CE1"/>
    <w:rsid w:val="00F34CC4"/>
    <w:rsid w:val="00F35065"/>
    <w:rsid w:val="00F3578A"/>
    <w:rsid w:val="00F3675C"/>
    <w:rsid w:val="00F4309E"/>
    <w:rsid w:val="00F430C2"/>
    <w:rsid w:val="00F45AD1"/>
    <w:rsid w:val="00F465BD"/>
    <w:rsid w:val="00F51F77"/>
    <w:rsid w:val="00F534F3"/>
    <w:rsid w:val="00F5505D"/>
    <w:rsid w:val="00F55551"/>
    <w:rsid w:val="00F5785E"/>
    <w:rsid w:val="00F578DD"/>
    <w:rsid w:val="00F579CB"/>
    <w:rsid w:val="00F60ACF"/>
    <w:rsid w:val="00F61A18"/>
    <w:rsid w:val="00F6506C"/>
    <w:rsid w:val="00F70C3B"/>
    <w:rsid w:val="00F74899"/>
    <w:rsid w:val="00F7507C"/>
    <w:rsid w:val="00F75EC7"/>
    <w:rsid w:val="00F819F3"/>
    <w:rsid w:val="00F82D6B"/>
    <w:rsid w:val="00F830A2"/>
    <w:rsid w:val="00F87BEC"/>
    <w:rsid w:val="00F9061D"/>
    <w:rsid w:val="00F9115A"/>
    <w:rsid w:val="00F92A59"/>
    <w:rsid w:val="00F94C44"/>
    <w:rsid w:val="00F94CF3"/>
    <w:rsid w:val="00F96AC7"/>
    <w:rsid w:val="00FA080F"/>
    <w:rsid w:val="00FA3C34"/>
    <w:rsid w:val="00FA3FFB"/>
    <w:rsid w:val="00FA49B5"/>
    <w:rsid w:val="00FA5668"/>
    <w:rsid w:val="00FA5F10"/>
    <w:rsid w:val="00FA6ED1"/>
    <w:rsid w:val="00FB19F3"/>
    <w:rsid w:val="00FB1BA0"/>
    <w:rsid w:val="00FB1C71"/>
    <w:rsid w:val="00FB2A86"/>
    <w:rsid w:val="00FB7F1D"/>
    <w:rsid w:val="00FC2E16"/>
    <w:rsid w:val="00FC4F4F"/>
    <w:rsid w:val="00FC53BF"/>
    <w:rsid w:val="00FC6F09"/>
    <w:rsid w:val="00FC7E89"/>
    <w:rsid w:val="00FD0115"/>
    <w:rsid w:val="00FD35E5"/>
    <w:rsid w:val="00FD58E2"/>
    <w:rsid w:val="00FD6571"/>
    <w:rsid w:val="00FD726F"/>
    <w:rsid w:val="00FD7EC3"/>
    <w:rsid w:val="00FE204E"/>
    <w:rsid w:val="00FE2C5F"/>
    <w:rsid w:val="00FE4492"/>
    <w:rsid w:val="00FF3C67"/>
    <w:rsid w:val="00FF48A3"/>
    <w:rsid w:val="00FF6103"/>
    <w:rsid w:val="00FF6F76"/>
    <w:rsid w:val="00FF7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CA3"/>
    <w:pPr>
      <w:spacing w:line="300" w:lineRule="atLeast"/>
    </w:pPr>
    <w:rPr>
      <w:rFonts w:ascii="Arial" w:hAnsi="Arial"/>
      <w:sz w:val="21"/>
      <w:lang w:val="en-GB" w:eastAsia="en-GB"/>
    </w:rPr>
  </w:style>
  <w:style w:type="paragraph" w:styleId="Heading1">
    <w:name w:val="heading 1"/>
    <w:basedOn w:val="Normal"/>
    <w:next w:val="Normal"/>
    <w:autoRedefine/>
    <w:qFormat/>
    <w:rsid w:val="00D17DFA"/>
    <w:pPr>
      <w:keepNext/>
      <w:spacing w:after="120" w:line="288" w:lineRule="atLeast"/>
      <w:outlineLvl w:val="0"/>
    </w:pPr>
    <w:rPr>
      <w:rFonts w:ascii="Verdana" w:hAnsi="Verdana" w:cs="Arial"/>
      <w:bCs/>
      <w:kern w:val="32"/>
      <w:sz w:val="22"/>
      <w:szCs w:val="22"/>
    </w:rPr>
  </w:style>
  <w:style w:type="paragraph" w:styleId="Heading2">
    <w:name w:val="heading 2"/>
    <w:basedOn w:val="Normal"/>
    <w:next w:val="Normal"/>
    <w:autoRedefine/>
    <w:uiPriority w:val="99"/>
    <w:qFormat/>
    <w:rsid w:val="00E66055"/>
    <w:pPr>
      <w:keepNext/>
      <w:spacing w:after="120"/>
      <w:outlineLvl w:val="1"/>
    </w:pPr>
    <w:rPr>
      <w:rFonts w:ascii="Verdana" w:hAnsi="Verdana" w:cs="Arial"/>
      <w:b/>
      <w:bCs/>
      <w:iCs/>
      <w:sz w:val="22"/>
      <w:szCs w:val="22"/>
    </w:rPr>
  </w:style>
  <w:style w:type="paragraph" w:styleId="Heading3">
    <w:name w:val="heading 3"/>
    <w:basedOn w:val="Normal"/>
    <w:next w:val="Normal"/>
    <w:link w:val="Heading3Char"/>
    <w:autoRedefine/>
    <w:qFormat/>
    <w:rsid w:val="008C4609"/>
    <w:pPr>
      <w:keepNext/>
      <w:spacing w:after="120"/>
      <w:outlineLvl w:val="2"/>
    </w:pPr>
    <w:rPr>
      <w:rFonts w:ascii="Arial Bold" w:hAnsi="Arial Bold" w:cs="Arial"/>
      <w:b/>
      <w:bCs/>
      <w:sz w:val="28"/>
      <w:szCs w:val="26"/>
    </w:rPr>
  </w:style>
  <w:style w:type="paragraph" w:styleId="Heading4">
    <w:name w:val="heading 4"/>
    <w:basedOn w:val="Normal"/>
    <w:next w:val="Normal"/>
    <w:link w:val="Heading4Char"/>
    <w:autoRedefine/>
    <w:qFormat/>
    <w:rsid w:val="00383693"/>
    <w:pPr>
      <w:keepNext/>
      <w:spacing w:after="120"/>
      <w:outlineLvl w:val="3"/>
    </w:pPr>
    <w:rPr>
      <w:b/>
      <w:bCs/>
      <w:sz w:val="22"/>
      <w:szCs w:val="22"/>
    </w:rPr>
  </w:style>
  <w:style w:type="paragraph" w:styleId="Heading5">
    <w:name w:val="heading 5"/>
    <w:basedOn w:val="Normal"/>
    <w:next w:val="Normal"/>
    <w:autoRedefine/>
    <w:qFormat/>
    <w:rsid w:val="00383693"/>
    <w:pPr>
      <w:spacing w:after="60"/>
      <w:outlineLvl w:val="4"/>
    </w:pPr>
    <w:rPr>
      <w:bCs/>
      <w:iCs/>
      <w:sz w:val="22"/>
      <w:szCs w:val="22"/>
      <w:u w:val="single"/>
    </w:rPr>
  </w:style>
  <w:style w:type="character" w:default="1" w:styleId="DefaultParagraphFont">
    <w:name w:val="Default Paragraph Font"/>
    <w:semiHidden/>
    <w:rsid w:val="00383693"/>
  </w:style>
  <w:style w:type="table" w:default="1" w:styleId="TableNormal">
    <w:name w:val="Normal Table"/>
    <w:semiHidden/>
    <w:rsid w:val="00383693"/>
    <w:tblPr>
      <w:tblInd w:w="0" w:type="dxa"/>
      <w:tblCellMar>
        <w:top w:w="0" w:type="dxa"/>
        <w:left w:w="108" w:type="dxa"/>
        <w:bottom w:w="0" w:type="dxa"/>
        <w:right w:w="108" w:type="dxa"/>
      </w:tblCellMar>
    </w:tblPr>
  </w:style>
  <w:style w:type="numbering" w:default="1" w:styleId="NoList">
    <w:name w:val="No List"/>
    <w:semiHidden/>
    <w:rsid w:val="00383693"/>
  </w:style>
  <w:style w:type="paragraph" w:customStyle="1" w:styleId="Bullet">
    <w:name w:val="Bullet"/>
    <w:basedOn w:val="Normal"/>
    <w:rsid w:val="004F6C6E"/>
    <w:pPr>
      <w:numPr>
        <w:numId w:val="3"/>
      </w:numPr>
      <w:tabs>
        <w:tab w:val="clear" w:pos="864"/>
        <w:tab w:val="num" w:pos="360"/>
      </w:tabs>
      <w:ind w:left="0" w:firstLine="0"/>
    </w:pPr>
  </w:style>
  <w:style w:type="paragraph" w:customStyle="1" w:styleId="Bullet2">
    <w:name w:val="Bullet 2"/>
    <w:basedOn w:val="Bullet"/>
    <w:rsid w:val="00240B69"/>
    <w:pPr>
      <w:numPr>
        <w:numId w:val="2"/>
      </w:numPr>
      <w:tabs>
        <w:tab w:val="clear" w:pos="927"/>
        <w:tab w:val="num" w:pos="360"/>
      </w:tabs>
      <w:ind w:left="924" w:hanging="357"/>
    </w:pPr>
  </w:style>
  <w:style w:type="paragraph" w:styleId="Header">
    <w:name w:val="header"/>
    <w:basedOn w:val="Normal"/>
    <w:rsid w:val="00383693"/>
    <w:pPr>
      <w:tabs>
        <w:tab w:val="center" w:pos="4153"/>
        <w:tab w:val="right" w:pos="8306"/>
      </w:tabs>
    </w:pPr>
    <w:rPr>
      <w:sz w:val="18"/>
    </w:rPr>
  </w:style>
  <w:style w:type="paragraph" w:styleId="Footer">
    <w:name w:val="footer"/>
    <w:basedOn w:val="Normal"/>
    <w:rsid w:val="00383693"/>
    <w:pPr>
      <w:tabs>
        <w:tab w:val="center" w:pos="4153"/>
        <w:tab w:val="right" w:pos="8306"/>
      </w:tabs>
    </w:pPr>
    <w:rPr>
      <w:sz w:val="16"/>
    </w:rPr>
  </w:style>
  <w:style w:type="table" w:styleId="TableGrid">
    <w:name w:val="Table Grid"/>
    <w:basedOn w:val="TableNormal"/>
    <w:rsid w:val="00383693"/>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383693"/>
    <w:pPr>
      <w:spacing w:before="120"/>
    </w:pPr>
    <w:rPr>
      <w:b/>
      <w:bCs/>
      <w:sz w:val="22"/>
    </w:rPr>
  </w:style>
  <w:style w:type="character" w:customStyle="1" w:styleId="Heading4Char">
    <w:name w:val="Heading 4 Char"/>
    <w:basedOn w:val="DefaultParagraphFont"/>
    <w:link w:val="Heading4"/>
    <w:rsid w:val="00383693"/>
    <w:rPr>
      <w:rFonts w:ascii="Arial" w:hAnsi="Arial"/>
      <w:b/>
      <w:bCs/>
      <w:sz w:val="22"/>
      <w:szCs w:val="22"/>
      <w:lang w:val="en-US" w:eastAsia="en-GB" w:bidi="ar-SA"/>
    </w:rPr>
  </w:style>
  <w:style w:type="character" w:styleId="PageNumber">
    <w:name w:val="page number"/>
    <w:basedOn w:val="DefaultParagraphFont"/>
    <w:rsid w:val="00383693"/>
    <w:rPr>
      <w:rFonts w:ascii="Helvetica" w:hAnsi="Helvetica"/>
      <w:sz w:val="20"/>
    </w:rPr>
  </w:style>
  <w:style w:type="character" w:customStyle="1" w:styleId="Heading3Char">
    <w:name w:val="Heading 3 Char"/>
    <w:basedOn w:val="DefaultParagraphFont"/>
    <w:link w:val="Heading3"/>
    <w:rsid w:val="008C4609"/>
    <w:rPr>
      <w:rFonts w:ascii="Arial Bold" w:hAnsi="Arial Bold" w:cs="Arial"/>
      <w:b/>
      <w:bCs/>
      <w:sz w:val="28"/>
      <w:szCs w:val="26"/>
      <w:lang w:val="en-GB" w:eastAsia="en-GB" w:bidi="ar-SA"/>
    </w:rPr>
  </w:style>
  <w:style w:type="paragraph" w:styleId="FootnoteText">
    <w:name w:val="footnote text"/>
    <w:basedOn w:val="Normal"/>
    <w:semiHidden/>
    <w:rsid w:val="000B6106"/>
    <w:rPr>
      <w:sz w:val="20"/>
    </w:rPr>
  </w:style>
  <w:style w:type="character" w:styleId="FootnoteReference">
    <w:name w:val="footnote reference"/>
    <w:basedOn w:val="DefaultParagraphFont"/>
    <w:semiHidden/>
    <w:rsid w:val="000B6106"/>
    <w:rPr>
      <w:vertAlign w:val="superscript"/>
    </w:rPr>
  </w:style>
  <w:style w:type="paragraph" w:styleId="EndnoteText">
    <w:name w:val="endnote text"/>
    <w:basedOn w:val="Normal"/>
    <w:semiHidden/>
    <w:rsid w:val="00E13B94"/>
    <w:rPr>
      <w:sz w:val="20"/>
    </w:rPr>
  </w:style>
  <w:style w:type="character" w:styleId="EndnoteReference">
    <w:name w:val="endnote reference"/>
    <w:basedOn w:val="DefaultParagraphFont"/>
    <w:semiHidden/>
    <w:rsid w:val="00E13B94"/>
    <w:rPr>
      <w:vertAlign w:val="superscript"/>
    </w:rPr>
  </w:style>
  <w:style w:type="character" w:styleId="Hyperlink">
    <w:name w:val="Hyperlink"/>
    <w:basedOn w:val="DefaultParagraphFont"/>
    <w:rsid w:val="00DF1F6E"/>
    <w:rPr>
      <w:color w:val="0000FF"/>
      <w:u w:val="single"/>
    </w:rPr>
  </w:style>
  <w:style w:type="paragraph" w:styleId="BalloonText">
    <w:name w:val="Balloon Text"/>
    <w:basedOn w:val="Normal"/>
    <w:semiHidden/>
    <w:rsid w:val="000D66D4"/>
    <w:rPr>
      <w:rFonts w:ascii="Tahoma" w:hAnsi="Tahoma" w:cs="Tahoma"/>
      <w:sz w:val="16"/>
      <w:szCs w:val="16"/>
    </w:rPr>
  </w:style>
  <w:style w:type="character" w:customStyle="1" w:styleId="frsourcelabel">
    <w:name w:val="fr_source_label"/>
    <w:basedOn w:val="DefaultParagraphFont"/>
    <w:rsid w:val="00D42335"/>
  </w:style>
  <w:style w:type="character" w:styleId="CommentReference">
    <w:name w:val="annotation reference"/>
    <w:basedOn w:val="DefaultParagraphFont"/>
    <w:semiHidden/>
    <w:rsid w:val="00794A0F"/>
    <w:rPr>
      <w:sz w:val="16"/>
      <w:szCs w:val="16"/>
    </w:rPr>
  </w:style>
  <w:style w:type="paragraph" w:styleId="CommentText">
    <w:name w:val="annotation text"/>
    <w:basedOn w:val="Normal"/>
    <w:semiHidden/>
    <w:rsid w:val="00794A0F"/>
    <w:rPr>
      <w:sz w:val="20"/>
    </w:rPr>
  </w:style>
  <w:style w:type="paragraph" w:styleId="CommentSubject">
    <w:name w:val="annotation subject"/>
    <w:basedOn w:val="CommentText"/>
    <w:next w:val="CommentText"/>
    <w:semiHidden/>
    <w:rsid w:val="00794A0F"/>
    <w:rPr>
      <w:b/>
      <w:bCs/>
    </w:rPr>
  </w:style>
  <w:style w:type="paragraph" w:styleId="NormalWeb">
    <w:name w:val="Normal (Web)"/>
    <w:basedOn w:val="Normal"/>
    <w:uiPriority w:val="99"/>
    <w:unhideWhenUsed/>
    <w:rsid w:val="00B02A5F"/>
    <w:pPr>
      <w:spacing w:before="100" w:beforeAutospacing="1" w:after="100" w:afterAutospacing="1" w:line="240" w:lineRule="auto"/>
    </w:pPr>
    <w:rPr>
      <w:rFonts w:ascii="Times New Roman" w:hAnsi="Times New Roman"/>
      <w:sz w:val="24"/>
      <w:szCs w:val="24"/>
    </w:rPr>
  </w:style>
  <w:style w:type="paragraph" w:customStyle="1" w:styleId="Pa16">
    <w:name w:val="Pa16"/>
    <w:basedOn w:val="Normal"/>
    <w:next w:val="Normal"/>
    <w:uiPriority w:val="99"/>
    <w:rsid w:val="00477FFE"/>
    <w:pPr>
      <w:autoSpaceDE w:val="0"/>
      <w:autoSpaceDN w:val="0"/>
      <w:adjustRightInd w:val="0"/>
      <w:spacing w:line="241" w:lineRule="atLeast"/>
    </w:pPr>
    <w:rPr>
      <w:rFonts w:ascii="Zurich BT" w:hAnsi="Zurich BT"/>
      <w:sz w:val="24"/>
      <w:szCs w:val="24"/>
    </w:rPr>
  </w:style>
  <w:style w:type="character" w:customStyle="1" w:styleId="A7">
    <w:name w:val="A7"/>
    <w:uiPriority w:val="99"/>
    <w:rsid w:val="00477FFE"/>
    <w:rPr>
      <w:rFonts w:cs="Zurich BT"/>
      <w:b/>
      <w:bCs/>
      <w:color w:val="000000"/>
      <w:sz w:val="18"/>
      <w:szCs w:val="18"/>
    </w:rPr>
  </w:style>
  <w:style w:type="character" w:customStyle="1" w:styleId="A0">
    <w:name w:val="A0"/>
    <w:uiPriority w:val="99"/>
    <w:rsid w:val="00477FFE"/>
    <w:rPr>
      <w:rFonts w:cs="Zurich BT"/>
      <w:color w:val="000000"/>
      <w:sz w:val="16"/>
      <w:szCs w:val="16"/>
    </w:rPr>
  </w:style>
  <w:style w:type="paragraph" w:customStyle="1" w:styleId="Pa18">
    <w:name w:val="Pa18"/>
    <w:basedOn w:val="Normal"/>
    <w:next w:val="Normal"/>
    <w:uiPriority w:val="99"/>
    <w:rsid w:val="00477FFE"/>
    <w:pPr>
      <w:autoSpaceDE w:val="0"/>
      <w:autoSpaceDN w:val="0"/>
      <w:adjustRightInd w:val="0"/>
      <w:spacing w:line="151" w:lineRule="atLeast"/>
    </w:pPr>
    <w:rPr>
      <w:rFonts w:ascii="Zurich BT" w:hAnsi="Zurich BT"/>
      <w:sz w:val="24"/>
      <w:szCs w:val="24"/>
    </w:rPr>
  </w:style>
  <w:style w:type="character" w:customStyle="1" w:styleId="A15">
    <w:name w:val="A15"/>
    <w:uiPriority w:val="99"/>
    <w:rsid w:val="00477FFE"/>
    <w:rPr>
      <w:rFonts w:cs="Zurich BT"/>
      <w:color w:val="000000"/>
      <w:sz w:val="12"/>
      <w:szCs w:val="12"/>
    </w:rPr>
  </w:style>
  <w:style w:type="paragraph" w:customStyle="1" w:styleId="Pa9">
    <w:name w:val="Pa9"/>
    <w:basedOn w:val="Normal"/>
    <w:next w:val="Normal"/>
    <w:uiPriority w:val="99"/>
    <w:rsid w:val="00477FFE"/>
    <w:pPr>
      <w:autoSpaceDE w:val="0"/>
      <w:autoSpaceDN w:val="0"/>
      <w:adjustRightInd w:val="0"/>
      <w:spacing w:line="151" w:lineRule="atLeast"/>
    </w:pPr>
    <w:rPr>
      <w:rFonts w:ascii="Zurich BT" w:hAnsi="Zurich BT"/>
      <w:sz w:val="24"/>
      <w:szCs w:val="24"/>
    </w:rPr>
  </w:style>
  <w:style w:type="character" w:customStyle="1" w:styleId="A8">
    <w:name w:val="A8"/>
    <w:uiPriority w:val="99"/>
    <w:rsid w:val="00477FFE"/>
    <w:rPr>
      <w:rFonts w:cs="Zurich BT"/>
      <w:color w:val="000000"/>
      <w:sz w:val="12"/>
      <w:szCs w:val="12"/>
    </w:rPr>
  </w:style>
  <w:style w:type="paragraph" w:customStyle="1" w:styleId="Pa17">
    <w:name w:val="Pa17"/>
    <w:basedOn w:val="Normal"/>
    <w:next w:val="Normal"/>
    <w:uiPriority w:val="99"/>
    <w:rsid w:val="00813B0D"/>
    <w:pPr>
      <w:autoSpaceDE w:val="0"/>
      <w:autoSpaceDN w:val="0"/>
      <w:adjustRightInd w:val="0"/>
      <w:spacing w:line="151" w:lineRule="atLeast"/>
    </w:pPr>
    <w:rPr>
      <w:rFonts w:ascii="Zurich BT" w:hAnsi="Zurich BT"/>
      <w:sz w:val="24"/>
      <w:szCs w:val="24"/>
    </w:rPr>
  </w:style>
  <w:style w:type="paragraph" w:customStyle="1" w:styleId="Jobtitle">
    <w:name w:val="Jobtitle"/>
    <w:basedOn w:val="Normal"/>
    <w:rsid w:val="00E66055"/>
    <w:pPr>
      <w:overflowPunct w:val="0"/>
      <w:autoSpaceDE w:val="0"/>
      <w:autoSpaceDN w:val="0"/>
      <w:adjustRightInd w:val="0"/>
      <w:spacing w:line="240" w:lineRule="auto"/>
      <w:textAlignment w:val="baseline"/>
    </w:pPr>
    <w:rPr>
      <w:rFonts w:ascii="Palatino Linotype" w:hAnsi="Palatino Linotype"/>
      <w:b/>
      <w:sz w:val="22"/>
      <w:lang w:eastAsia="en-US"/>
    </w:rPr>
  </w:style>
  <w:style w:type="paragraph" w:customStyle="1" w:styleId="NormalSansSerifHeading">
    <w:name w:val="Normal SansSerif Heading"/>
    <w:basedOn w:val="Normal"/>
    <w:rsid w:val="00E66055"/>
    <w:pPr>
      <w:overflowPunct w:val="0"/>
      <w:autoSpaceDE w:val="0"/>
      <w:autoSpaceDN w:val="0"/>
      <w:adjustRightInd w:val="0"/>
      <w:spacing w:line="240" w:lineRule="auto"/>
      <w:textAlignment w:val="baseline"/>
    </w:pPr>
    <w:rPr>
      <w:rFonts w:ascii="Futura Hv BT" w:hAnsi="Futura Hv BT"/>
      <w:sz w:val="28"/>
      <w:lang w:eastAsia="en-US"/>
    </w:rPr>
  </w:style>
  <w:style w:type="paragraph" w:styleId="BodyText">
    <w:name w:val="Body Text"/>
    <w:basedOn w:val="Normal"/>
    <w:link w:val="BodyTextChar"/>
    <w:uiPriority w:val="99"/>
    <w:rsid w:val="00E66055"/>
    <w:pPr>
      <w:numPr>
        <w:ilvl w:val="12"/>
      </w:numPr>
      <w:overflowPunct w:val="0"/>
      <w:autoSpaceDE w:val="0"/>
      <w:autoSpaceDN w:val="0"/>
      <w:adjustRightInd w:val="0"/>
      <w:spacing w:line="240" w:lineRule="auto"/>
      <w:textAlignment w:val="baseline"/>
    </w:pPr>
    <w:rPr>
      <w:rFonts w:ascii="Souvenir Lt BT" w:hAnsi="Souvenir Lt BT"/>
      <w:sz w:val="22"/>
      <w:lang w:val="en-US" w:eastAsia="en-US"/>
    </w:rPr>
  </w:style>
  <w:style w:type="character" w:customStyle="1" w:styleId="BodyTextChar">
    <w:name w:val="Body Text Char"/>
    <w:basedOn w:val="DefaultParagraphFont"/>
    <w:link w:val="BodyText"/>
    <w:rsid w:val="00E66055"/>
    <w:rPr>
      <w:rFonts w:ascii="Souvenir Lt BT" w:hAnsi="Souvenir Lt BT"/>
      <w:sz w:val="22"/>
      <w:lang w:val="en-US" w:eastAsia="en-US"/>
    </w:rPr>
  </w:style>
</w:styles>
</file>

<file path=word/webSettings.xml><?xml version="1.0" encoding="utf-8"?>
<w:webSettings xmlns:r="http://schemas.openxmlformats.org/officeDocument/2006/relationships" xmlns:w="http://schemas.openxmlformats.org/wordprocessingml/2006/main">
  <w:divs>
    <w:div w:id="112020291">
      <w:bodyDiv w:val="1"/>
      <w:marLeft w:val="0"/>
      <w:marRight w:val="0"/>
      <w:marTop w:val="0"/>
      <w:marBottom w:val="0"/>
      <w:divBdr>
        <w:top w:val="none" w:sz="0" w:space="0" w:color="auto"/>
        <w:left w:val="none" w:sz="0" w:space="0" w:color="auto"/>
        <w:bottom w:val="none" w:sz="0" w:space="0" w:color="auto"/>
        <w:right w:val="none" w:sz="0" w:space="0" w:color="auto"/>
      </w:divBdr>
    </w:div>
    <w:div w:id="505749217">
      <w:bodyDiv w:val="1"/>
      <w:marLeft w:val="0"/>
      <w:marRight w:val="0"/>
      <w:marTop w:val="0"/>
      <w:marBottom w:val="0"/>
      <w:divBdr>
        <w:top w:val="none" w:sz="0" w:space="0" w:color="auto"/>
        <w:left w:val="none" w:sz="0" w:space="0" w:color="auto"/>
        <w:bottom w:val="none" w:sz="0" w:space="0" w:color="auto"/>
        <w:right w:val="none" w:sz="0" w:space="0" w:color="auto"/>
      </w:divBdr>
      <w:divsChild>
        <w:div w:id="829061146">
          <w:marLeft w:val="0"/>
          <w:marRight w:val="0"/>
          <w:marTop w:val="0"/>
          <w:marBottom w:val="0"/>
          <w:divBdr>
            <w:top w:val="none" w:sz="0" w:space="0" w:color="auto"/>
            <w:left w:val="none" w:sz="0" w:space="0" w:color="auto"/>
            <w:bottom w:val="none" w:sz="0" w:space="0" w:color="auto"/>
            <w:right w:val="none" w:sz="0" w:space="0" w:color="auto"/>
          </w:divBdr>
          <w:divsChild>
            <w:div w:id="1072000506">
              <w:marLeft w:val="0"/>
              <w:marRight w:val="0"/>
              <w:marTop w:val="0"/>
              <w:marBottom w:val="0"/>
              <w:divBdr>
                <w:top w:val="none" w:sz="0" w:space="0" w:color="auto"/>
                <w:left w:val="none" w:sz="0" w:space="0" w:color="auto"/>
                <w:bottom w:val="none" w:sz="0" w:space="0" w:color="auto"/>
                <w:right w:val="none" w:sz="0" w:space="0" w:color="auto"/>
              </w:divBdr>
              <w:divsChild>
                <w:div w:id="1748072922">
                  <w:marLeft w:val="0"/>
                  <w:marRight w:val="0"/>
                  <w:marTop w:val="0"/>
                  <w:marBottom w:val="0"/>
                  <w:divBdr>
                    <w:top w:val="none" w:sz="0" w:space="0" w:color="auto"/>
                    <w:left w:val="none" w:sz="0" w:space="0" w:color="auto"/>
                    <w:bottom w:val="none" w:sz="0" w:space="0" w:color="auto"/>
                    <w:right w:val="none" w:sz="0" w:space="0" w:color="auto"/>
                  </w:divBdr>
                  <w:divsChild>
                    <w:div w:id="7144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579415">
      <w:bodyDiv w:val="1"/>
      <w:marLeft w:val="0"/>
      <w:marRight w:val="0"/>
      <w:marTop w:val="0"/>
      <w:marBottom w:val="0"/>
      <w:divBdr>
        <w:top w:val="none" w:sz="0" w:space="0" w:color="auto"/>
        <w:left w:val="none" w:sz="0" w:space="0" w:color="auto"/>
        <w:bottom w:val="none" w:sz="0" w:space="0" w:color="auto"/>
        <w:right w:val="none" w:sz="0" w:space="0" w:color="auto"/>
      </w:divBdr>
    </w:div>
    <w:div w:id="941374496">
      <w:bodyDiv w:val="1"/>
      <w:marLeft w:val="0"/>
      <w:marRight w:val="0"/>
      <w:marTop w:val="0"/>
      <w:marBottom w:val="0"/>
      <w:divBdr>
        <w:top w:val="none" w:sz="0" w:space="0" w:color="auto"/>
        <w:left w:val="none" w:sz="0" w:space="0" w:color="auto"/>
        <w:bottom w:val="none" w:sz="0" w:space="0" w:color="auto"/>
        <w:right w:val="none" w:sz="0" w:space="0" w:color="auto"/>
      </w:divBdr>
    </w:div>
    <w:div w:id="1021861924">
      <w:bodyDiv w:val="1"/>
      <w:marLeft w:val="0"/>
      <w:marRight w:val="0"/>
      <w:marTop w:val="0"/>
      <w:marBottom w:val="0"/>
      <w:divBdr>
        <w:top w:val="none" w:sz="0" w:space="0" w:color="auto"/>
        <w:left w:val="none" w:sz="0" w:space="0" w:color="auto"/>
        <w:bottom w:val="none" w:sz="0" w:space="0" w:color="auto"/>
        <w:right w:val="none" w:sz="0" w:space="0" w:color="auto"/>
      </w:divBdr>
    </w:div>
    <w:div w:id="1091465520">
      <w:bodyDiv w:val="1"/>
      <w:marLeft w:val="0"/>
      <w:marRight w:val="0"/>
      <w:marTop w:val="0"/>
      <w:marBottom w:val="0"/>
      <w:divBdr>
        <w:top w:val="none" w:sz="0" w:space="0" w:color="auto"/>
        <w:left w:val="none" w:sz="0" w:space="0" w:color="auto"/>
        <w:bottom w:val="none" w:sz="0" w:space="0" w:color="auto"/>
        <w:right w:val="none" w:sz="0" w:space="0" w:color="auto"/>
      </w:divBdr>
      <w:divsChild>
        <w:div w:id="1807698677">
          <w:marLeft w:val="0"/>
          <w:marRight w:val="0"/>
          <w:marTop w:val="0"/>
          <w:marBottom w:val="0"/>
          <w:divBdr>
            <w:top w:val="none" w:sz="0" w:space="0" w:color="auto"/>
            <w:left w:val="none" w:sz="0" w:space="0" w:color="auto"/>
            <w:bottom w:val="none" w:sz="0" w:space="0" w:color="auto"/>
            <w:right w:val="none" w:sz="0" w:space="0" w:color="auto"/>
          </w:divBdr>
          <w:divsChild>
            <w:div w:id="1591769296">
              <w:marLeft w:val="0"/>
              <w:marRight w:val="0"/>
              <w:marTop w:val="0"/>
              <w:marBottom w:val="0"/>
              <w:divBdr>
                <w:top w:val="none" w:sz="0" w:space="0" w:color="auto"/>
                <w:left w:val="none" w:sz="0" w:space="0" w:color="auto"/>
                <w:bottom w:val="none" w:sz="0" w:space="0" w:color="auto"/>
                <w:right w:val="none" w:sz="0" w:space="0" w:color="auto"/>
              </w:divBdr>
              <w:divsChild>
                <w:div w:id="1816680323">
                  <w:marLeft w:val="17"/>
                  <w:marRight w:val="0"/>
                  <w:marTop w:val="0"/>
                  <w:marBottom w:val="0"/>
                  <w:divBdr>
                    <w:top w:val="none" w:sz="0" w:space="0" w:color="auto"/>
                    <w:left w:val="none" w:sz="0" w:space="0" w:color="auto"/>
                    <w:bottom w:val="none" w:sz="0" w:space="0" w:color="auto"/>
                    <w:right w:val="none" w:sz="0" w:space="0" w:color="auto"/>
                  </w:divBdr>
                  <w:divsChild>
                    <w:div w:id="171847776">
                      <w:marLeft w:val="0"/>
                      <w:marRight w:val="0"/>
                      <w:marTop w:val="0"/>
                      <w:marBottom w:val="0"/>
                      <w:divBdr>
                        <w:top w:val="single" w:sz="2" w:space="0" w:color="009933"/>
                        <w:left w:val="single" w:sz="48" w:space="11" w:color="009933"/>
                        <w:bottom w:val="single" w:sz="2" w:space="0" w:color="009933"/>
                        <w:right w:val="single" w:sz="2" w:space="0" w:color="009933"/>
                      </w:divBdr>
                    </w:div>
                  </w:divsChild>
                </w:div>
              </w:divsChild>
            </w:div>
          </w:divsChild>
        </w:div>
      </w:divsChild>
    </w:div>
    <w:div w:id="1145658342">
      <w:bodyDiv w:val="1"/>
      <w:marLeft w:val="0"/>
      <w:marRight w:val="0"/>
      <w:marTop w:val="0"/>
      <w:marBottom w:val="0"/>
      <w:divBdr>
        <w:top w:val="none" w:sz="0" w:space="0" w:color="auto"/>
        <w:left w:val="none" w:sz="0" w:space="0" w:color="auto"/>
        <w:bottom w:val="none" w:sz="0" w:space="0" w:color="auto"/>
        <w:right w:val="none" w:sz="0" w:space="0" w:color="auto"/>
      </w:divBdr>
    </w:div>
    <w:div w:id="1298102117">
      <w:bodyDiv w:val="1"/>
      <w:marLeft w:val="0"/>
      <w:marRight w:val="0"/>
      <w:marTop w:val="0"/>
      <w:marBottom w:val="0"/>
      <w:divBdr>
        <w:top w:val="none" w:sz="0" w:space="0" w:color="auto"/>
        <w:left w:val="none" w:sz="0" w:space="0" w:color="auto"/>
        <w:bottom w:val="none" w:sz="0" w:space="0" w:color="auto"/>
        <w:right w:val="none" w:sz="0" w:space="0" w:color="auto"/>
      </w:divBdr>
    </w:div>
    <w:div w:id="1349870085">
      <w:bodyDiv w:val="1"/>
      <w:marLeft w:val="0"/>
      <w:marRight w:val="0"/>
      <w:marTop w:val="0"/>
      <w:marBottom w:val="0"/>
      <w:divBdr>
        <w:top w:val="none" w:sz="0" w:space="0" w:color="auto"/>
        <w:left w:val="none" w:sz="0" w:space="0" w:color="auto"/>
        <w:bottom w:val="none" w:sz="0" w:space="0" w:color="auto"/>
        <w:right w:val="none" w:sz="0" w:space="0" w:color="auto"/>
      </w:divBdr>
    </w:div>
    <w:div w:id="1469082550">
      <w:bodyDiv w:val="1"/>
      <w:marLeft w:val="0"/>
      <w:marRight w:val="0"/>
      <w:marTop w:val="0"/>
      <w:marBottom w:val="0"/>
      <w:divBdr>
        <w:top w:val="none" w:sz="0" w:space="0" w:color="auto"/>
        <w:left w:val="none" w:sz="0" w:space="0" w:color="auto"/>
        <w:bottom w:val="none" w:sz="0" w:space="0" w:color="auto"/>
        <w:right w:val="none" w:sz="0" w:space="0" w:color="auto"/>
      </w:divBdr>
    </w:div>
    <w:div w:id="1474525415">
      <w:bodyDiv w:val="1"/>
      <w:marLeft w:val="0"/>
      <w:marRight w:val="0"/>
      <w:marTop w:val="0"/>
      <w:marBottom w:val="0"/>
      <w:divBdr>
        <w:top w:val="none" w:sz="0" w:space="0" w:color="auto"/>
        <w:left w:val="none" w:sz="0" w:space="0" w:color="auto"/>
        <w:bottom w:val="none" w:sz="0" w:space="0" w:color="auto"/>
        <w:right w:val="none" w:sz="0" w:space="0" w:color="auto"/>
      </w:divBdr>
    </w:div>
    <w:div w:id="1548370475">
      <w:bodyDiv w:val="1"/>
      <w:marLeft w:val="0"/>
      <w:marRight w:val="0"/>
      <w:marTop w:val="0"/>
      <w:marBottom w:val="0"/>
      <w:divBdr>
        <w:top w:val="none" w:sz="0" w:space="0" w:color="auto"/>
        <w:left w:val="none" w:sz="0" w:space="0" w:color="auto"/>
        <w:bottom w:val="none" w:sz="0" w:space="0" w:color="auto"/>
        <w:right w:val="none" w:sz="0" w:space="0" w:color="auto"/>
      </w:divBdr>
      <w:divsChild>
        <w:div w:id="422410975">
          <w:marLeft w:val="0"/>
          <w:marRight w:val="0"/>
          <w:marTop w:val="0"/>
          <w:marBottom w:val="0"/>
          <w:divBdr>
            <w:top w:val="none" w:sz="0" w:space="0" w:color="auto"/>
            <w:left w:val="none" w:sz="0" w:space="0" w:color="auto"/>
            <w:bottom w:val="none" w:sz="0" w:space="0" w:color="auto"/>
            <w:right w:val="none" w:sz="0" w:space="0" w:color="auto"/>
          </w:divBdr>
          <w:divsChild>
            <w:div w:id="1958177079">
              <w:marLeft w:val="0"/>
              <w:marRight w:val="0"/>
              <w:marTop w:val="0"/>
              <w:marBottom w:val="0"/>
              <w:divBdr>
                <w:top w:val="none" w:sz="0" w:space="0" w:color="auto"/>
                <w:left w:val="none" w:sz="0" w:space="0" w:color="auto"/>
                <w:bottom w:val="none" w:sz="0" w:space="0" w:color="auto"/>
                <w:right w:val="none" w:sz="0" w:space="0" w:color="auto"/>
              </w:divBdr>
              <w:divsChild>
                <w:div w:id="1938295251">
                  <w:marLeft w:val="0"/>
                  <w:marRight w:val="0"/>
                  <w:marTop w:val="0"/>
                  <w:marBottom w:val="0"/>
                  <w:divBdr>
                    <w:top w:val="none" w:sz="0" w:space="0" w:color="auto"/>
                    <w:left w:val="none" w:sz="0" w:space="0" w:color="auto"/>
                    <w:bottom w:val="none" w:sz="0" w:space="0" w:color="auto"/>
                    <w:right w:val="none" w:sz="0" w:space="0" w:color="auto"/>
                  </w:divBdr>
                  <w:divsChild>
                    <w:div w:id="195967116">
                      <w:marLeft w:val="0"/>
                      <w:marRight w:val="0"/>
                      <w:marTop w:val="0"/>
                      <w:marBottom w:val="0"/>
                      <w:divBdr>
                        <w:top w:val="none" w:sz="0" w:space="0" w:color="auto"/>
                        <w:left w:val="none" w:sz="0" w:space="0" w:color="auto"/>
                        <w:bottom w:val="none" w:sz="0" w:space="0" w:color="auto"/>
                        <w:right w:val="none" w:sz="0" w:space="0" w:color="auto"/>
                      </w:divBdr>
                      <w:divsChild>
                        <w:div w:id="1147555305">
                          <w:marLeft w:val="0"/>
                          <w:marRight w:val="0"/>
                          <w:marTop w:val="0"/>
                          <w:marBottom w:val="0"/>
                          <w:divBdr>
                            <w:top w:val="none" w:sz="0" w:space="0" w:color="auto"/>
                            <w:left w:val="none" w:sz="0" w:space="0" w:color="auto"/>
                            <w:bottom w:val="none" w:sz="0" w:space="0" w:color="auto"/>
                            <w:right w:val="none" w:sz="0" w:space="0" w:color="auto"/>
                          </w:divBdr>
                          <w:divsChild>
                            <w:div w:id="365254624">
                              <w:marLeft w:val="0"/>
                              <w:marRight w:val="0"/>
                              <w:marTop w:val="0"/>
                              <w:marBottom w:val="0"/>
                              <w:divBdr>
                                <w:top w:val="none" w:sz="0" w:space="0" w:color="auto"/>
                                <w:left w:val="none" w:sz="0" w:space="0" w:color="auto"/>
                                <w:bottom w:val="none" w:sz="0" w:space="0" w:color="auto"/>
                                <w:right w:val="none" w:sz="0" w:space="0" w:color="auto"/>
                              </w:divBdr>
                              <w:divsChild>
                                <w:div w:id="1654213107">
                                  <w:marLeft w:val="0"/>
                                  <w:marRight w:val="0"/>
                                  <w:marTop w:val="0"/>
                                  <w:marBottom w:val="0"/>
                                  <w:divBdr>
                                    <w:top w:val="none" w:sz="0" w:space="0" w:color="auto"/>
                                    <w:left w:val="none" w:sz="0" w:space="0" w:color="auto"/>
                                    <w:bottom w:val="none" w:sz="0" w:space="0" w:color="auto"/>
                                    <w:right w:val="none" w:sz="0" w:space="0" w:color="auto"/>
                                  </w:divBdr>
                                  <w:divsChild>
                                    <w:div w:id="20125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382859">
      <w:bodyDiv w:val="1"/>
      <w:marLeft w:val="0"/>
      <w:marRight w:val="0"/>
      <w:marTop w:val="0"/>
      <w:marBottom w:val="0"/>
      <w:divBdr>
        <w:top w:val="none" w:sz="0" w:space="0" w:color="auto"/>
        <w:left w:val="none" w:sz="0" w:space="0" w:color="auto"/>
        <w:bottom w:val="none" w:sz="0" w:space="0" w:color="auto"/>
        <w:right w:val="none" w:sz="0" w:space="0" w:color="auto"/>
      </w:divBdr>
    </w:div>
    <w:div w:id="1577936610">
      <w:bodyDiv w:val="1"/>
      <w:marLeft w:val="0"/>
      <w:marRight w:val="0"/>
      <w:marTop w:val="0"/>
      <w:marBottom w:val="0"/>
      <w:divBdr>
        <w:top w:val="none" w:sz="0" w:space="0" w:color="auto"/>
        <w:left w:val="none" w:sz="0" w:space="0" w:color="auto"/>
        <w:bottom w:val="none" w:sz="0" w:space="0" w:color="auto"/>
        <w:right w:val="none" w:sz="0" w:space="0" w:color="auto"/>
      </w:divBdr>
    </w:div>
    <w:div w:id="1733386617">
      <w:bodyDiv w:val="1"/>
      <w:marLeft w:val="0"/>
      <w:marRight w:val="0"/>
      <w:marTop w:val="0"/>
      <w:marBottom w:val="0"/>
      <w:divBdr>
        <w:top w:val="none" w:sz="0" w:space="0" w:color="auto"/>
        <w:left w:val="none" w:sz="0" w:space="0" w:color="auto"/>
        <w:bottom w:val="none" w:sz="0" w:space="0" w:color="auto"/>
        <w:right w:val="none" w:sz="0" w:space="0" w:color="auto"/>
      </w:divBdr>
      <w:divsChild>
        <w:div w:id="1118643649">
          <w:marLeft w:val="0"/>
          <w:marRight w:val="0"/>
          <w:marTop w:val="0"/>
          <w:marBottom w:val="0"/>
          <w:divBdr>
            <w:top w:val="none" w:sz="0" w:space="0" w:color="auto"/>
            <w:left w:val="none" w:sz="0" w:space="0" w:color="auto"/>
            <w:bottom w:val="none" w:sz="0" w:space="0" w:color="auto"/>
            <w:right w:val="none" w:sz="0" w:space="0" w:color="auto"/>
          </w:divBdr>
          <w:divsChild>
            <w:div w:id="1131628270">
              <w:marLeft w:val="0"/>
              <w:marRight w:val="0"/>
              <w:marTop w:val="0"/>
              <w:marBottom w:val="0"/>
              <w:divBdr>
                <w:top w:val="none" w:sz="0" w:space="0" w:color="auto"/>
                <w:left w:val="none" w:sz="0" w:space="0" w:color="auto"/>
                <w:bottom w:val="none" w:sz="0" w:space="0" w:color="auto"/>
                <w:right w:val="none" w:sz="0" w:space="0" w:color="auto"/>
              </w:divBdr>
              <w:divsChild>
                <w:div w:id="1428817475">
                  <w:marLeft w:val="0"/>
                  <w:marRight w:val="0"/>
                  <w:marTop w:val="0"/>
                  <w:marBottom w:val="0"/>
                  <w:divBdr>
                    <w:top w:val="none" w:sz="0" w:space="0" w:color="auto"/>
                    <w:left w:val="none" w:sz="0" w:space="0" w:color="auto"/>
                    <w:bottom w:val="none" w:sz="0" w:space="0" w:color="auto"/>
                    <w:right w:val="none" w:sz="0" w:space="0" w:color="auto"/>
                  </w:divBdr>
                  <w:divsChild>
                    <w:div w:id="18173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26515">
      <w:bodyDiv w:val="1"/>
      <w:marLeft w:val="0"/>
      <w:marRight w:val="0"/>
      <w:marTop w:val="0"/>
      <w:marBottom w:val="0"/>
      <w:divBdr>
        <w:top w:val="none" w:sz="0" w:space="0" w:color="auto"/>
        <w:left w:val="none" w:sz="0" w:space="0" w:color="auto"/>
        <w:bottom w:val="none" w:sz="0" w:space="0" w:color="auto"/>
        <w:right w:val="none" w:sz="0" w:space="0" w:color="auto"/>
      </w:divBdr>
    </w:div>
    <w:div w:id="1906836880">
      <w:bodyDiv w:val="1"/>
      <w:marLeft w:val="0"/>
      <w:marRight w:val="0"/>
      <w:marTop w:val="0"/>
      <w:marBottom w:val="0"/>
      <w:divBdr>
        <w:top w:val="none" w:sz="0" w:space="0" w:color="auto"/>
        <w:left w:val="none" w:sz="0" w:space="0" w:color="auto"/>
        <w:bottom w:val="none" w:sz="0" w:space="0" w:color="auto"/>
        <w:right w:val="none" w:sz="0" w:space="0" w:color="auto"/>
      </w:divBdr>
      <w:divsChild>
        <w:div w:id="1228610355">
          <w:marLeft w:val="0"/>
          <w:marRight w:val="0"/>
          <w:marTop w:val="0"/>
          <w:marBottom w:val="0"/>
          <w:divBdr>
            <w:top w:val="none" w:sz="0" w:space="0" w:color="auto"/>
            <w:left w:val="none" w:sz="0" w:space="0" w:color="auto"/>
            <w:bottom w:val="none" w:sz="0" w:space="0" w:color="auto"/>
            <w:right w:val="none" w:sz="0" w:space="0" w:color="auto"/>
          </w:divBdr>
          <w:divsChild>
            <w:div w:id="1935941793">
              <w:marLeft w:val="-3244"/>
              <w:marRight w:val="0"/>
              <w:marTop w:val="0"/>
              <w:marBottom w:val="0"/>
              <w:divBdr>
                <w:top w:val="none" w:sz="0" w:space="0" w:color="auto"/>
                <w:left w:val="none" w:sz="0" w:space="0" w:color="auto"/>
                <w:bottom w:val="none" w:sz="0" w:space="0" w:color="auto"/>
                <w:right w:val="none" w:sz="0" w:space="0" w:color="auto"/>
              </w:divBdr>
              <w:divsChild>
                <w:div w:id="1988240793">
                  <w:marLeft w:val="3244"/>
                  <w:marRight w:val="0"/>
                  <w:marTop w:val="0"/>
                  <w:marBottom w:val="0"/>
                  <w:divBdr>
                    <w:top w:val="none" w:sz="0" w:space="0" w:color="auto"/>
                    <w:left w:val="none" w:sz="0" w:space="0" w:color="auto"/>
                    <w:bottom w:val="none" w:sz="0" w:space="0" w:color="auto"/>
                    <w:right w:val="none" w:sz="0" w:space="0" w:color="auto"/>
                  </w:divBdr>
                  <w:divsChild>
                    <w:div w:id="1184242589">
                      <w:marLeft w:val="0"/>
                      <w:marRight w:val="0"/>
                      <w:marTop w:val="0"/>
                      <w:marBottom w:val="0"/>
                      <w:divBdr>
                        <w:top w:val="none" w:sz="0" w:space="0" w:color="auto"/>
                        <w:left w:val="none" w:sz="0" w:space="0" w:color="auto"/>
                        <w:bottom w:val="none" w:sz="0" w:space="0" w:color="auto"/>
                        <w:right w:val="none" w:sz="0" w:space="0" w:color="auto"/>
                      </w:divBdr>
                      <w:divsChild>
                        <w:div w:id="371616637">
                          <w:marLeft w:val="-2690"/>
                          <w:marRight w:val="0"/>
                          <w:marTop w:val="0"/>
                          <w:marBottom w:val="0"/>
                          <w:divBdr>
                            <w:top w:val="none" w:sz="0" w:space="0" w:color="auto"/>
                            <w:left w:val="none" w:sz="0" w:space="0" w:color="auto"/>
                            <w:bottom w:val="none" w:sz="0" w:space="0" w:color="auto"/>
                            <w:right w:val="none" w:sz="0" w:space="0" w:color="auto"/>
                          </w:divBdr>
                          <w:divsChild>
                            <w:div w:id="1648052783">
                              <w:marLeft w:val="2690"/>
                              <w:marRight w:val="0"/>
                              <w:marTop w:val="0"/>
                              <w:marBottom w:val="0"/>
                              <w:divBdr>
                                <w:top w:val="none" w:sz="0" w:space="0" w:color="auto"/>
                                <w:left w:val="none" w:sz="0" w:space="0" w:color="auto"/>
                                <w:bottom w:val="none" w:sz="0" w:space="0" w:color="auto"/>
                                <w:right w:val="none" w:sz="0" w:space="0" w:color="auto"/>
                              </w:divBdr>
                              <w:divsChild>
                                <w:div w:id="1500578492">
                                  <w:marLeft w:val="3323"/>
                                  <w:marRight w:val="0"/>
                                  <w:marTop w:val="0"/>
                                  <w:marBottom w:val="0"/>
                                  <w:divBdr>
                                    <w:top w:val="none" w:sz="0" w:space="0" w:color="auto"/>
                                    <w:left w:val="none" w:sz="0" w:space="0" w:color="auto"/>
                                    <w:bottom w:val="none" w:sz="0" w:space="0" w:color="auto"/>
                                    <w:right w:val="none" w:sz="0" w:space="0" w:color="auto"/>
                                  </w:divBdr>
                                  <w:divsChild>
                                    <w:div w:id="1535582089">
                                      <w:marLeft w:val="0"/>
                                      <w:marRight w:val="0"/>
                                      <w:marTop w:val="0"/>
                                      <w:marBottom w:val="0"/>
                                      <w:divBdr>
                                        <w:top w:val="none" w:sz="0" w:space="0" w:color="auto"/>
                                        <w:left w:val="none" w:sz="0" w:space="0" w:color="auto"/>
                                        <w:bottom w:val="none" w:sz="0" w:space="0" w:color="auto"/>
                                        <w:right w:val="none" w:sz="0" w:space="0" w:color="auto"/>
                                      </w:divBdr>
                                      <w:divsChild>
                                        <w:div w:id="14709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95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HEFCE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4BDB1-E618-4227-824D-4CDC7138A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HEFCE_Blank.dot</Template>
  <TotalTime>0</TotalTime>
  <Pages>12</Pages>
  <Words>4216</Words>
  <Characters>24034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HE participation and achievement by men and women</vt:lpstr>
    </vt:vector>
  </TitlesOfParts>
  <Company/>
  <LinksUpToDate>false</LinksUpToDate>
  <CharactersWithSpaces>28194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participation and achievement by men and women</dc:title>
  <dc:subject/>
  <dc:creator>thompjo</dc:creator>
  <cp:keywords/>
  <cp:lastModifiedBy> </cp:lastModifiedBy>
  <cp:revision>2</cp:revision>
  <cp:lastPrinted>2009-01-12T12:10:00Z</cp:lastPrinted>
  <dcterms:created xsi:type="dcterms:W3CDTF">2010-06-30T09:52:00Z</dcterms:created>
  <dcterms:modified xsi:type="dcterms:W3CDTF">2010-06-30T09:52:00Z</dcterms:modified>
</cp:coreProperties>
</file>