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D6A" w:rsidRDefault="00517D6A" w:rsidP="00517D6A">
      <w:pPr>
        <w:spacing w:after="240"/>
        <w:rPr>
          <w:rFonts w:ascii="Verdana" w:hAnsi="Verdana"/>
          <w:b/>
          <w:sz w:val="24"/>
        </w:rPr>
      </w:pPr>
      <w:r w:rsidRPr="00DB5337">
        <w:rPr>
          <w:rFonts w:ascii="Verdana" w:hAnsi="Verdana"/>
          <w:b/>
          <w:sz w:val="24"/>
        </w:rPr>
        <w:t>Annex A: Modelling student loan repayment</w:t>
      </w:r>
      <w:r w:rsidR="008A54AC">
        <w:rPr>
          <w:rFonts w:ascii="Verdana" w:hAnsi="Verdana"/>
          <w:b/>
          <w:sz w:val="24"/>
        </w:rPr>
        <w:t xml:space="preserve"> </w:t>
      </w:r>
    </w:p>
    <w:p w:rsidR="00D165B0" w:rsidRPr="00DB5337" w:rsidRDefault="00D165B0" w:rsidP="00517D6A">
      <w:pPr>
        <w:spacing w:after="240"/>
        <w:rPr>
          <w:rFonts w:ascii="Verdana" w:hAnsi="Verdana"/>
          <w:b/>
          <w:sz w:val="24"/>
        </w:rPr>
      </w:pPr>
      <w:r>
        <w:rPr>
          <w:rFonts w:ascii="Verdana" w:hAnsi="Verdana"/>
          <w:b/>
          <w:sz w:val="24"/>
        </w:rPr>
        <w:t>Introduction</w:t>
      </w:r>
    </w:p>
    <w:p w:rsidR="007A0984" w:rsidRPr="003E1C24" w:rsidRDefault="007C1650" w:rsidP="007A0984">
      <w:pPr>
        <w:numPr>
          <w:ilvl w:val="0"/>
          <w:numId w:val="1"/>
        </w:numPr>
        <w:spacing w:after="240"/>
        <w:rPr>
          <w:rFonts w:ascii="Verdana" w:hAnsi="Verdana"/>
          <w:sz w:val="22"/>
          <w:szCs w:val="22"/>
        </w:rPr>
      </w:pPr>
      <w:r w:rsidRPr="00D165B0">
        <w:rPr>
          <w:rFonts w:ascii="Verdana" w:hAnsi="Verdana"/>
          <w:sz w:val="22"/>
          <w:szCs w:val="22"/>
        </w:rPr>
        <w:t>In an earlier report (</w:t>
      </w:r>
      <w:r w:rsidR="006A7D8F">
        <w:rPr>
          <w:rFonts w:ascii="Verdana" w:hAnsi="Verdana"/>
          <w:sz w:val="22"/>
          <w:szCs w:val="22"/>
        </w:rPr>
        <w:t>Thompson et al,</w:t>
      </w:r>
      <w:r w:rsidRPr="00D165B0">
        <w:rPr>
          <w:rFonts w:ascii="Verdana" w:hAnsi="Verdana"/>
          <w:sz w:val="22"/>
          <w:szCs w:val="22"/>
        </w:rPr>
        <w:t xml:space="preserve"> 2010</w:t>
      </w:r>
      <w:r w:rsidR="00C967EB">
        <w:rPr>
          <w:rFonts w:ascii="Verdana" w:hAnsi="Verdana"/>
          <w:sz w:val="22"/>
          <w:szCs w:val="22"/>
        </w:rPr>
        <w:t>b</w:t>
      </w:r>
      <w:r w:rsidRPr="00D165B0">
        <w:rPr>
          <w:rFonts w:ascii="Verdana" w:hAnsi="Verdana"/>
          <w:sz w:val="22"/>
          <w:szCs w:val="22"/>
        </w:rPr>
        <w:t xml:space="preserve">) we examined the assumptions behind the Government estimates of the cost of providing </w:t>
      </w:r>
      <w:bookmarkStart w:id="0" w:name="_GoBack"/>
      <w:bookmarkEnd w:id="0"/>
      <w:r w:rsidRPr="00D165B0">
        <w:rPr>
          <w:rFonts w:ascii="Verdana" w:hAnsi="Verdana"/>
          <w:sz w:val="22"/>
          <w:szCs w:val="22"/>
        </w:rPr>
        <w:t>loans, the ‘RAB’ charge</w:t>
      </w:r>
      <w:r w:rsidR="00956BB2" w:rsidRPr="00D165B0">
        <w:rPr>
          <w:rFonts w:ascii="Verdana" w:hAnsi="Verdana"/>
          <w:sz w:val="22"/>
          <w:szCs w:val="22"/>
        </w:rPr>
        <w:t>. Our analysis made use of the Department for Business, Innovation and Skills (BIS) ‘Ready Reckoner’, a tool, originally requested by the Browne Committee, designed for making comparisons between policy options.</w:t>
      </w:r>
      <w:r w:rsidR="00D165B0">
        <w:rPr>
          <w:rFonts w:ascii="Verdana" w:hAnsi="Verdana"/>
          <w:sz w:val="22"/>
          <w:szCs w:val="22"/>
        </w:rPr>
        <w:t xml:space="preserve"> </w:t>
      </w:r>
      <w:r w:rsidR="00956BB2" w:rsidRPr="00D165B0">
        <w:rPr>
          <w:rFonts w:ascii="Verdana" w:hAnsi="Verdana"/>
          <w:sz w:val="22"/>
          <w:szCs w:val="22"/>
        </w:rPr>
        <w:t xml:space="preserve">Since then, with the policy decisions made, Government has developed and refined its estimation methods. </w:t>
      </w:r>
      <w:r w:rsidR="002A1F7C" w:rsidRPr="00D165B0">
        <w:rPr>
          <w:rFonts w:ascii="Verdana" w:hAnsi="Verdana"/>
          <w:sz w:val="22"/>
          <w:szCs w:val="22"/>
        </w:rPr>
        <w:t>On</w:t>
      </w:r>
      <w:r w:rsidR="00956BB2" w:rsidRPr="00D165B0">
        <w:rPr>
          <w:rFonts w:ascii="Verdana" w:hAnsi="Verdana"/>
          <w:sz w:val="22"/>
          <w:szCs w:val="22"/>
        </w:rPr>
        <w:t xml:space="preserve"> </w:t>
      </w:r>
      <w:r w:rsidR="002A1F7C" w:rsidRPr="00D165B0">
        <w:rPr>
          <w:rFonts w:ascii="Verdana" w:hAnsi="Verdana"/>
          <w:sz w:val="22"/>
          <w:szCs w:val="22"/>
        </w:rPr>
        <w:t xml:space="preserve">30 </w:t>
      </w:r>
      <w:r w:rsidR="00956BB2" w:rsidRPr="00D165B0">
        <w:rPr>
          <w:rFonts w:ascii="Verdana" w:hAnsi="Verdana"/>
          <w:sz w:val="22"/>
          <w:szCs w:val="22"/>
        </w:rPr>
        <w:t xml:space="preserve">August 2012 BIS </w:t>
      </w:r>
      <w:r w:rsidR="008B3A65" w:rsidRPr="00D165B0">
        <w:rPr>
          <w:rFonts w:ascii="Verdana" w:hAnsi="Verdana"/>
          <w:sz w:val="22"/>
          <w:szCs w:val="22"/>
        </w:rPr>
        <w:t xml:space="preserve">made available </w:t>
      </w:r>
      <w:r w:rsidR="00956BB2" w:rsidRPr="00D165B0">
        <w:rPr>
          <w:rFonts w:ascii="Verdana" w:hAnsi="Verdana"/>
          <w:sz w:val="22"/>
          <w:szCs w:val="22"/>
        </w:rPr>
        <w:t xml:space="preserve">a </w:t>
      </w:r>
      <w:r w:rsidR="003724EF">
        <w:rPr>
          <w:rFonts w:ascii="Verdana" w:hAnsi="Verdana"/>
          <w:sz w:val="22"/>
          <w:szCs w:val="22"/>
        </w:rPr>
        <w:t xml:space="preserve">‘simplified </w:t>
      </w:r>
      <w:r w:rsidR="00956BB2" w:rsidRPr="00D165B0">
        <w:rPr>
          <w:rFonts w:ascii="Verdana" w:hAnsi="Verdana"/>
          <w:sz w:val="22"/>
          <w:szCs w:val="22"/>
        </w:rPr>
        <w:t>student loan repayment</w:t>
      </w:r>
      <w:r w:rsidR="008B3A65" w:rsidRPr="00D165B0">
        <w:rPr>
          <w:rFonts w:ascii="Verdana" w:hAnsi="Verdana"/>
          <w:sz w:val="22"/>
          <w:szCs w:val="22"/>
        </w:rPr>
        <w:t xml:space="preserve"> model</w:t>
      </w:r>
      <w:r w:rsidR="003724EF">
        <w:rPr>
          <w:rFonts w:ascii="Verdana" w:hAnsi="Verdana"/>
          <w:sz w:val="22"/>
          <w:szCs w:val="22"/>
        </w:rPr>
        <w:t>’</w:t>
      </w:r>
      <w:r w:rsidR="007A0984">
        <w:rPr>
          <w:rFonts w:ascii="Verdana" w:hAnsi="Verdana"/>
          <w:sz w:val="22"/>
          <w:szCs w:val="22"/>
        </w:rPr>
        <w:t xml:space="preserve"> and a guide to accompany it. They can be found at the link below:-</w:t>
      </w:r>
    </w:p>
    <w:p w:rsidR="002A1F7C" w:rsidRDefault="00517D6A" w:rsidP="002A1F7C">
      <w:pPr>
        <w:spacing w:after="240"/>
        <w:rPr>
          <w:rFonts w:ascii="Verdana" w:hAnsi="Verdana"/>
          <w:sz w:val="22"/>
          <w:szCs w:val="22"/>
        </w:rPr>
      </w:pPr>
      <w:r w:rsidRPr="003E1C24">
        <w:rPr>
          <w:rFonts w:ascii="Verdana" w:hAnsi="Verdana"/>
          <w:sz w:val="22"/>
          <w:szCs w:val="22"/>
        </w:rPr>
        <w:t xml:space="preserve"> </w:t>
      </w:r>
      <w:hyperlink r:id="rId9" w:history="1">
        <w:r w:rsidR="002A1F7C" w:rsidRPr="00E17AC4">
          <w:rPr>
            <w:rStyle w:val="Hyperlink"/>
            <w:rFonts w:ascii="Verdana" w:hAnsi="Verdana"/>
            <w:sz w:val="22"/>
            <w:szCs w:val="22"/>
          </w:rPr>
          <w:t>www.bis.gov.uk/policies/higher-education/research-analysis</w:t>
        </w:r>
      </w:hyperlink>
      <w:r w:rsidR="002A1F7C">
        <w:rPr>
          <w:rFonts w:ascii="Verdana" w:hAnsi="Verdana"/>
          <w:sz w:val="22"/>
          <w:szCs w:val="22"/>
        </w:rPr>
        <w:t>.</w:t>
      </w:r>
    </w:p>
    <w:p w:rsidR="008B3A65" w:rsidRDefault="00F13CE2" w:rsidP="003850A3">
      <w:pPr>
        <w:numPr>
          <w:ilvl w:val="0"/>
          <w:numId w:val="1"/>
        </w:numPr>
        <w:autoSpaceDE w:val="0"/>
        <w:autoSpaceDN w:val="0"/>
        <w:adjustRightInd w:val="0"/>
        <w:spacing w:after="240" w:line="240" w:lineRule="auto"/>
        <w:rPr>
          <w:rFonts w:ascii="Verdana" w:hAnsi="Verdana"/>
          <w:sz w:val="22"/>
          <w:szCs w:val="22"/>
        </w:rPr>
      </w:pPr>
      <w:r w:rsidRPr="008B3A65">
        <w:rPr>
          <w:rFonts w:ascii="Verdana" w:hAnsi="Verdana"/>
          <w:sz w:val="22"/>
          <w:szCs w:val="22"/>
        </w:rPr>
        <w:t xml:space="preserve">As the name implies, this model is a simplified version of the one used by Government to make their official RAB estimates. </w:t>
      </w:r>
      <w:r w:rsidR="00D165B0">
        <w:rPr>
          <w:rFonts w:ascii="Verdana" w:hAnsi="Verdana"/>
          <w:sz w:val="22"/>
          <w:szCs w:val="22"/>
        </w:rPr>
        <w:t>The simplified model</w:t>
      </w:r>
      <w:r w:rsidRPr="008B3A65">
        <w:rPr>
          <w:rFonts w:ascii="Verdana" w:hAnsi="Verdana"/>
          <w:sz w:val="22"/>
          <w:szCs w:val="22"/>
        </w:rPr>
        <w:t xml:space="preserve"> only considers young home graduates from three-year degree level </w:t>
      </w:r>
      <w:r w:rsidR="00B631E1">
        <w:rPr>
          <w:rFonts w:ascii="Verdana" w:hAnsi="Verdana"/>
          <w:sz w:val="22"/>
          <w:szCs w:val="22"/>
        </w:rPr>
        <w:t xml:space="preserve">courses </w:t>
      </w:r>
      <w:r w:rsidRPr="008B3A65">
        <w:rPr>
          <w:rFonts w:ascii="Verdana" w:hAnsi="Verdana"/>
          <w:sz w:val="22"/>
          <w:szCs w:val="22"/>
        </w:rPr>
        <w:t>who started in 2012, and it ignores the impact of early repayments, death and disability</w:t>
      </w:r>
      <w:r w:rsidR="008B3A65" w:rsidRPr="008B3A65">
        <w:rPr>
          <w:rFonts w:ascii="Verdana" w:hAnsi="Verdana"/>
          <w:sz w:val="22"/>
          <w:szCs w:val="22"/>
        </w:rPr>
        <w:t xml:space="preserve">, </w:t>
      </w:r>
      <w:r w:rsidR="000E40AE">
        <w:rPr>
          <w:rFonts w:ascii="Verdana" w:hAnsi="Verdana"/>
          <w:sz w:val="22"/>
          <w:szCs w:val="22"/>
        </w:rPr>
        <w:t>and so on</w:t>
      </w:r>
      <w:r w:rsidRPr="008B3A65">
        <w:rPr>
          <w:rFonts w:ascii="Verdana" w:hAnsi="Verdana"/>
          <w:sz w:val="22"/>
          <w:szCs w:val="22"/>
        </w:rPr>
        <w:t>.</w:t>
      </w:r>
      <w:r w:rsidR="009B35BF" w:rsidRPr="008B3A65">
        <w:rPr>
          <w:rFonts w:ascii="Verdana" w:hAnsi="Verdana"/>
          <w:sz w:val="22"/>
          <w:szCs w:val="22"/>
        </w:rPr>
        <w:t xml:space="preserve"> </w:t>
      </w:r>
      <w:r w:rsidRPr="008B3A65">
        <w:rPr>
          <w:rFonts w:ascii="Verdana" w:hAnsi="Verdana"/>
          <w:sz w:val="22"/>
          <w:szCs w:val="22"/>
        </w:rPr>
        <w:t>However</w:t>
      </w:r>
      <w:r w:rsidR="008B3A65" w:rsidRPr="008B3A65">
        <w:rPr>
          <w:rFonts w:ascii="Verdana" w:hAnsi="Verdana"/>
          <w:sz w:val="22"/>
          <w:szCs w:val="22"/>
        </w:rPr>
        <w:t xml:space="preserve"> </w:t>
      </w:r>
      <w:r w:rsidR="009B35BF" w:rsidRPr="008B3A65">
        <w:rPr>
          <w:rFonts w:ascii="Verdana" w:hAnsi="Verdana"/>
          <w:sz w:val="22"/>
          <w:szCs w:val="22"/>
        </w:rPr>
        <w:t>the simplified model does enable us to assess the sensitivity of the RAB estimates to the assumptions</w:t>
      </w:r>
      <w:r w:rsidR="008B3A65" w:rsidRPr="008B3A65">
        <w:rPr>
          <w:rFonts w:ascii="Verdana" w:hAnsi="Verdana"/>
          <w:sz w:val="22"/>
          <w:szCs w:val="22"/>
        </w:rPr>
        <w:t xml:space="preserve"> underlying both simplified and full models. </w:t>
      </w:r>
    </w:p>
    <w:p w:rsidR="003850A3" w:rsidRPr="008B3A65" w:rsidRDefault="009B35BF" w:rsidP="003850A3">
      <w:pPr>
        <w:numPr>
          <w:ilvl w:val="0"/>
          <w:numId w:val="1"/>
        </w:numPr>
        <w:autoSpaceDE w:val="0"/>
        <w:autoSpaceDN w:val="0"/>
        <w:adjustRightInd w:val="0"/>
        <w:spacing w:after="240" w:line="240" w:lineRule="auto"/>
        <w:rPr>
          <w:rFonts w:ascii="Verdana" w:hAnsi="Verdana"/>
          <w:sz w:val="22"/>
          <w:szCs w:val="22"/>
        </w:rPr>
      </w:pPr>
      <w:r w:rsidRPr="008B3A65">
        <w:rPr>
          <w:rFonts w:ascii="Verdana" w:hAnsi="Verdana"/>
          <w:sz w:val="22"/>
          <w:szCs w:val="22"/>
        </w:rPr>
        <w:t>In addition, earlier this year, the Institute of Fiscal Studies published a further report</w:t>
      </w:r>
      <w:r w:rsidR="003850A3" w:rsidRPr="008B3A65">
        <w:rPr>
          <w:rFonts w:ascii="Verdana" w:hAnsi="Verdana"/>
          <w:sz w:val="22"/>
          <w:szCs w:val="22"/>
        </w:rPr>
        <w:t xml:space="preserve"> into the financial implications of the new higher education student support and funding arrangements (Chowdry et al, 2012). </w:t>
      </w:r>
      <w:r w:rsidRPr="008B3A65">
        <w:rPr>
          <w:rFonts w:ascii="Verdana" w:hAnsi="Verdana"/>
          <w:sz w:val="22"/>
          <w:szCs w:val="22"/>
        </w:rPr>
        <w:t xml:space="preserve"> </w:t>
      </w:r>
    </w:p>
    <w:p w:rsidR="00517D6A" w:rsidRPr="003E1C24" w:rsidRDefault="00517D6A" w:rsidP="003850A3">
      <w:pPr>
        <w:numPr>
          <w:ilvl w:val="0"/>
          <w:numId w:val="1"/>
        </w:numPr>
        <w:spacing w:after="240"/>
        <w:rPr>
          <w:rFonts w:ascii="Verdana" w:hAnsi="Verdana"/>
          <w:sz w:val="22"/>
          <w:szCs w:val="22"/>
        </w:rPr>
      </w:pPr>
      <w:r w:rsidRPr="003E1C24">
        <w:rPr>
          <w:rFonts w:ascii="Verdana" w:hAnsi="Verdana"/>
          <w:sz w:val="22"/>
          <w:szCs w:val="22"/>
        </w:rPr>
        <w:t xml:space="preserve">In this annex we </w:t>
      </w:r>
      <w:r w:rsidR="003850A3">
        <w:rPr>
          <w:rFonts w:ascii="Verdana" w:hAnsi="Verdana"/>
          <w:sz w:val="22"/>
          <w:szCs w:val="22"/>
        </w:rPr>
        <w:t xml:space="preserve">review our assessment of the RAB estimates in the light of these new sources of information. </w:t>
      </w:r>
      <w:r w:rsidRPr="003E1C24">
        <w:rPr>
          <w:rFonts w:ascii="Verdana" w:hAnsi="Verdana"/>
          <w:sz w:val="22"/>
          <w:szCs w:val="22"/>
        </w:rPr>
        <w:t xml:space="preserve">There are </w:t>
      </w:r>
      <w:r w:rsidR="006120ED">
        <w:rPr>
          <w:rFonts w:ascii="Verdana" w:hAnsi="Verdana"/>
          <w:sz w:val="22"/>
          <w:szCs w:val="22"/>
        </w:rPr>
        <w:t>ten</w:t>
      </w:r>
      <w:r w:rsidRPr="003E1C24">
        <w:rPr>
          <w:rFonts w:ascii="Verdana" w:hAnsi="Verdana"/>
          <w:sz w:val="22"/>
          <w:szCs w:val="22"/>
        </w:rPr>
        <w:t xml:space="preserve"> sections: </w:t>
      </w:r>
    </w:p>
    <w:tbl>
      <w:tblPr>
        <w:tblStyle w:val="TableGrid"/>
        <w:tblW w:w="0" w:type="auto"/>
        <w:tblLook w:val="04A0" w:firstRow="1" w:lastRow="0" w:firstColumn="1" w:lastColumn="0" w:noHBand="0" w:noVBand="1"/>
      </w:tblPr>
      <w:tblGrid>
        <w:gridCol w:w="6629"/>
        <w:gridCol w:w="1893"/>
      </w:tblGrid>
      <w:tr w:rsidR="00517D6A" w:rsidRPr="003E1C24" w:rsidTr="00B50E2C">
        <w:tc>
          <w:tcPr>
            <w:tcW w:w="6629" w:type="dxa"/>
            <w:vAlign w:val="center"/>
          </w:tcPr>
          <w:p w:rsidR="00517D6A" w:rsidRPr="003E1C24" w:rsidRDefault="00517D6A" w:rsidP="008879B5">
            <w:pPr>
              <w:spacing w:before="120" w:line="240" w:lineRule="auto"/>
              <w:rPr>
                <w:rFonts w:ascii="Verdana" w:hAnsi="Verdana"/>
                <w:sz w:val="22"/>
                <w:szCs w:val="22"/>
              </w:rPr>
            </w:pPr>
          </w:p>
        </w:tc>
        <w:tc>
          <w:tcPr>
            <w:tcW w:w="1893" w:type="dxa"/>
          </w:tcPr>
          <w:p w:rsidR="00517D6A" w:rsidRPr="003E1C24" w:rsidRDefault="00517D6A" w:rsidP="008879B5">
            <w:pPr>
              <w:spacing w:before="120" w:line="240" w:lineRule="auto"/>
              <w:rPr>
                <w:rFonts w:ascii="Verdana" w:hAnsi="Verdana"/>
                <w:b/>
                <w:sz w:val="22"/>
                <w:szCs w:val="22"/>
              </w:rPr>
            </w:pPr>
            <w:r w:rsidRPr="003E1C24">
              <w:rPr>
                <w:rFonts w:ascii="Verdana" w:hAnsi="Verdana"/>
                <w:b/>
                <w:sz w:val="22"/>
                <w:szCs w:val="22"/>
              </w:rPr>
              <w:t>Paragraphs</w:t>
            </w:r>
          </w:p>
        </w:tc>
      </w:tr>
      <w:tr w:rsidR="00D165B0" w:rsidRPr="003E1C24" w:rsidTr="00F35E0D">
        <w:tc>
          <w:tcPr>
            <w:tcW w:w="6629" w:type="dxa"/>
            <w:vAlign w:val="bottom"/>
          </w:tcPr>
          <w:p w:rsidR="00D165B0" w:rsidRDefault="00D165B0" w:rsidP="008879B5">
            <w:pPr>
              <w:spacing w:before="120" w:line="240" w:lineRule="auto"/>
              <w:rPr>
                <w:rFonts w:ascii="Verdana" w:hAnsi="Verdana"/>
                <w:sz w:val="22"/>
                <w:szCs w:val="22"/>
              </w:rPr>
            </w:pPr>
            <w:r>
              <w:rPr>
                <w:rFonts w:ascii="Verdana" w:hAnsi="Verdana"/>
                <w:sz w:val="22"/>
                <w:szCs w:val="22"/>
              </w:rPr>
              <w:t>Full and the simplified models – common key elements</w:t>
            </w:r>
          </w:p>
        </w:tc>
        <w:tc>
          <w:tcPr>
            <w:tcW w:w="1893" w:type="dxa"/>
            <w:vAlign w:val="bottom"/>
          </w:tcPr>
          <w:p w:rsidR="00D165B0" w:rsidRPr="00F35E0D" w:rsidRDefault="00F35E0D" w:rsidP="00F35E0D">
            <w:pPr>
              <w:spacing w:before="120" w:line="240" w:lineRule="auto"/>
              <w:jc w:val="right"/>
              <w:rPr>
                <w:rFonts w:ascii="Verdana" w:hAnsi="Verdana"/>
                <w:sz w:val="22"/>
                <w:szCs w:val="22"/>
              </w:rPr>
            </w:pPr>
            <w:r w:rsidRPr="00F35E0D">
              <w:rPr>
                <w:rFonts w:ascii="Verdana" w:hAnsi="Verdana"/>
                <w:sz w:val="22"/>
                <w:szCs w:val="22"/>
              </w:rPr>
              <w:t>5 - 11</w:t>
            </w:r>
          </w:p>
        </w:tc>
      </w:tr>
      <w:tr w:rsidR="00517D6A" w:rsidRPr="003E1C24" w:rsidTr="00F35E0D">
        <w:tc>
          <w:tcPr>
            <w:tcW w:w="6629" w:type="dxa"/>
            <w:vAlign w:val="bottom"/>
          </w:tcPr>
          <w:p w:rsidR="00517D6A" w:rsidRPr="003E1C24" w:rsidRDefault="00D165B0" w:rsidP="00D165B0">
            <w:pPr>
              <w:spacing w:before="120" w:line="240" w:lineRule="auto"/>
              <w:rPr>
                <w:rFonts w:ascii="Verdana" w:hAnsi="Verdana"/>
                <w:sz w:val="22"/>
                <w:szCs w:val="22"/>
              </w:rPr>
            </w:pPr>
            <w:r>
              <w:rPr>
                <w:rFonts w:ascii="Verdana" w:hAnsi="Verdana"/>
                <w:sz w:val="22"/>
                <w:szCs w:val="22"/>
              </w:rPr>
              <w:t>Differences between f</w:t>
            </w:r>
            <w:r w:rsidR="003850A3">
              <w:rPr>
                <w:rFonts w:ascii="Verdana" w:hAnsi="Verdana"/>
                <w:sz w:val="22"/>
                <w:szCs w:val="22"/>
              </w:rPr>
              <w:t xml:space="preserve">ull and the simplified models </w:t>
            </w:r>
          </w:p>
        </w:tc>
        <w:tc>
          <w:tcPr>
            <w:tcW w:w="1893" w:type="dxa"/>
            <w:vAlign w:val="bottom"/>
          </w:tcPr>
          <w:p w:rsidR="00517D6A" w:rsidRPr="00F35E0D" w:rsidRDefault="00F35E0D" w:rsidP="00F35E0D">
            <w:pPr>
              <w:spacing w:before="120" w:line="240" w:lineRule="auto"/>
              <w:jc w:val="right"/>
              <w:rPr>
                <w:rFonts w:ascii="Verdana" w:hAnsi="Verdana"/>
                <w:sz w:val="22"/>
                <w:szCs w:val="22"/>
              </w:rPr>
            </w:pPr>
            <w:r w:rsidRPr="00F35E0D">
              <w:rPr>
                <w:rFonts w:ascii="Verdana" w:hAnsi="Verdana"/>
                <w:sz w:val="22"/>
                <w:szCs w:val="22"/>
              </w:rPr>
              <w:t>12 - 16</w:t>
            </w:r>
          </w:p>
        </w:tc>
      </w:tr>
      <w:tr w:rsidR="00517D6A" w:rsidRPr="003E1C24" w:rsidTr="00F35E0D">
        <w:tc>
          <w:tcPr>
            <w:tcW w:w="6629" w:type="dxa"/>
            <w:vAlign w:val="bottom"/>
          </w:tcPr>
          <w:p w:rsidR="00517D6A" w:rsidRPr="003E1C24" w:rsidRDefault="00124B2C" w:rsidP="00124B2C">
            <w:pPr>
              <w:spacing w:before="120" w:line="240" w:lineRule="auto"/>
              <w:rPr>
                <w:rFonts w:ascii="Verdana" w:hAnsi="Verdana"/>
                <w:sz w:val="22"/>
                <w:szCs w:val="22"/>
              </w:rPr>
            </w:pPr>
            <w:r>
              <w:rPr>
                <w:rFonts w:ascii="Verdana" w:hAnsi="Verdana"/>
                <w:sz w:val="22"/>
                <w:szCs w:val="22"/>
              </w:rPr>
              <w:t xml:space="preserve">Former students’ </w:t>
            </w:r>
            <w:r w:rsidR="00C23251">
              <w:rPr>
                <w:rFonts w:ascii="Verdana" w:hAnsi="Verdana"/>
                <w:sz w:val="22"/>
                <w:szCs w:val="22"/>
              </w:rPr>
              <w:t>earnings in 2016</w:t>
            </w:r>
          </w:p>
        </w:tc>
        <w:tc>
          <w:tcPr>
            <w:tcW w:w="1893" w:type="dxa"/>
            <w:vAlign w:val="bottom"/>
          </w:tcPr>
          <w:p w:rsidR="008912FC" w:rsidRPr="00F35E0D" w:rsidRDefault="00F35E0D" w:rsidP="00F35E0D">
            <w:pPr>
              <w:spacing w:before="120" w:line="240" w:lineRule="auto"/>
              <w:jc w:val="right"/>
              <w:rPr>
                <w:rFonts w:ascii="Verdana" w:hAnsi="Verdana"/>
                <w:sz w:val="22"/>
                <w:szCs w:val="22"/>
              </w:rPr>
            </w:pPr>
            <w:r w:rsidRPr="00F35E0D">
              <w:rPr>
                <w:rFonts w:ascii="Verdana" w:hAnsi="Verdana"/>
                <w:sz w:val="22"/>
                <w:szCs w:val="22"/>
              </w:rPr>
              <w:t>17 - 23</w:t>
            </w:r>
          </w:p>
        </w:tc>
      </w:tr>
      <w:tr w:rsidR="008B3A65" w:rsidRPr="003E1C24" w:rsidTr="00F35E0D">
        <w:tc>
          <w:tcPr>
            <w:tcW w:w="6629" w:type="dxa"/>
            <w:vAlign w:val="bottom"/>
          </w:tcPr>
          <w:p w:rsidR="008B3A65" w:rsidRPr="003E1C24" w:rsidRDefault="00752FB1" w:rsidP="00124B2C">
            <w:pPr>
              <w:spacing w:before="120" w:line="240" w:lineRule="auto"/>
              <w:rPr>
                <w:rFonts w:ascii="Verdana" w:hAnsi="Verdana"/>
                <w:sz w:val="22"/>
                <w:szCs w:val="22"/>
              </w:rPr>
            </w:pPr>
            <w:r>
              <w:rPr>
                <w:rFonts w:ascii="Verdana" w:hAnsi="Verdana"/>
                <w:sz w:val="22"/>
                <w:szCs w:val="22"/>
              </w:rPr>
              <w:t xml:space="preserve">Long term average earning assumptions </w:t>
            </w:r>
          </w:p>
        </w:tc>
        <w:tc>
          <w:tcPr>
            <w:tcW w:w="1893" w:type="dxa"/>
            <w:vAlign w:val="bottom"/>
          </w:tcPr>
          <w:p w:rsidR="008B3A65" w:rsidRPr="00F35E0D" w:rsidRDefault="00F35E0D" w:rsidP="00F35E0D">
            <w:pPr>
              <w:spacing w:before="120" w:line="240" w:lineRule="auto"/>
              <w:jc w:val="right"/>
              <w:rPr>
                <w:rFonts w:ascii="Verdana" w:hAnsi="Verdana"/>
                <w:sz w:val="22"/>
                <w:szCs w:val="22"/>
              </w:rPr>
            </w:pPr>
            <w:r w:rsidRPr="00F35E0D">
              <w:rPr>
                <w:rFonts w:ascii="Verdana" w:hAnsi="Verdana"/>
                <w:sz w:val="22"/>
                <w:szCs w:val="22"/>
              </w:rPr>
              <w:t>24 - 31</w:t>
            </w:r>
          </w:p>
        </w:tc>
      </w:tr>
      <w:tr w:rsidR="00752FB1" w:rsidRPr="003E1C24" w:rsidTr="00F35E0D">
        <w:tc>
          <w:tcPr>
            <w:tcW w:w="6629" w:type="dxa"/>
            <w:vAlign w:val="bottom"/>
          </w:tcPr>
          <w:p w:rsidR="00752FB1" w:rsidRPr="003E1C24" w:rsidRDefault="00752FB1" w:rsidP="00C23251">
            <w:pPr>
              <w:spacing w:before="120" w:line="240" w:lineRule="auto"/>
              <w:rPr>
                <w:rFonts w:ascii="Verdana" w:hAnsi="Verdana"/>
                <w:sz w:val="22"/>
                <w:szCs w:val="22"/>
              </w:rPr>
            </w:pPr>
            <w:r>
              <w:rPr>
                <w:rFonts w:ascii="Verdana" w:hAnsi="Verdana"/>
                <w:sz w:val="22"/>
                <w:szCs w:val="22"/>
              </w:rPr>
              <w:t xml:space="preserve">Career </w:t>
            </w:r>
            <w:r w:rsidR="00C23251">
              <w:rPr>
                <w:rFonts w:ascii="Verdana" w:hAnsi="Verdana"/>
                <w:sz w:val="22"/>
                <w:szCs w:val="22"/>
              </w:rPr>
              <w:t>g</w:t>
            </w:r>
            <w:r>
              <w:rPr>
                <w:rFonts w:ascii="Verdana" w:hAnsi="Verdana"/>
                <w:sz w:val="22"/>
                <w:szCs w:val="22"/>
              </w:rPr>
              <w:t>rowth in earnings</w:t>
            </w:r>
          </w:p>
        </w:tc>
        <w:tc>
          <w:tcPr>
            <w:tcW w:w="1893" w:type="dxa"/>
            <w:vAlign w:val="bottom"/>
          </w:tcPr>
          <w:p w:rsidR="00752FB1" w:rsidRPr="00F35E0D" w:rsidRDefault="00F35E0D" w:rsidP="00F35E0D">
            <w:pPr>
              <w:jc w:val="right"/>
              <w:rPr>
                <w:rFonts w:ascii="Verdana" w:hAnsi="Verdana"/>
                <w:sz w:val="22"/>
                <w:szCs w:val="22"/>
              </w:rPr>
            </w:pPr>
            <w:r w:rsidRPr="00F35E0D">
              <w:rPr>
                <w:rFonts w:ascii="Verdana" w:hAnsi="Verdana"/>
                <w:sz w:val="22"/>
                <w:szCs w:val="22"/>
              </w:rPr>
              <w:t>32 - 45</w:t>
            </w:r>
          </w:p>
        </w:tc>
      </w:tr>
      <w:tr w:rsidR="00752FB1" w:rsidRPr="003E1C24" w:rsidTr="00F35E0D">
        <w:tc>
          <w:tcPr>
            <w:tcW w:w="6629" w:type="dxa"/>
            <w:vAlign w:val="bottom"/>
          </w:tcPr>
          <w:p w:rsidR="00752FB1" w:rsidRPr="003E1C24" w:rsidRDefault="00752FB1" w:rsidP="00C23251">
            <w:pPr>
              <w:spacing w:before="120" w:line="240" w:lineRule="auto"/>
              <w:rPr>
                <w:rFonts w:ascii="Verdana" w:hAnsi="Verdana"/>
                <w:sz w:val="22"/>
                <w:szCs w:val="22"/>
              </w:rPr>
            </w:pPr>
            <w:r w:rsidRPr="00B50E2C">
              <w:rPr>
                <w:rFonts w:ascii="Verdana" w:hAnsi="Verdana"/>
                <w:sz w:val="22"/>
                <w:szCs w:val="22"/>
              </w:rPr>
              <w:t xml:space="preserve">Changes in individual </w:t>
            </w:r>
            <w:r w:rsidR="00C23251">
              <w:rPr>
                <w:rFonts w:ascii="Verdana" w:hAnsi="Verdana"/>
                <w:sz w:val="22"/>
                <w:szCs w:val="22"/>
              </w:rPr>
              <w:t>earnings</w:t>
            </w:r>
            <w:r w:rsidRPr="00B50E2C">
              <w:rPr>
                <w:rFonts w:ascii="Verdana" w:hAnsi="Verdana"/>
                <w:sz w:val="22"/>
                <w:szCs w:val="22"/>
              </w:rPr>
              <w:t xml:space="preserve"> from year to year</w:t>
            </w:r>
          </w:p>
        </w:tc>
        <w:tc>
          <w:tcPr>
            <w:tcW w:w="1893" w:type="dxa"/>
            <w:vAlign w:val="bottom"/>
          </w:tcPr>
          <w:p w:rsidR="00752FB1" w:rsidRPr="00F35E0D" w:rsidRDefault="00F35E0D" w:rsidP="00F35E0D">
            <w:pPr>
              <w:spacing w:before="120" w:line="240" w:lineRule="auto"/>
              <w:jc w:val="right"/>
              <w:rPr>
                <w:rFonts w:ascii="Verdana" w:hAnsi="Verdana"/>
                <w:sz w:val="22"/>
                <w:szCs w:val="22"/>
              </w:rPr>
            </w:pPr>
            <w:r>
              <w:rPr>
                <w:rFonts w:ascii="Verdana" w:hAnsi="Verdana"/>
                <w:sz w:val="22"/>
                <w:szCs w:val="22"/>
              </w:rPr>
              <w:t>46 -47</w:t>
            </w:r>
          </w:p>
        </w:tc>
      </w:tr>
      <w:tr w:rsidR="00124B2C" w:rsidRPr="003E1C24" w:rsidTr="00F35E0D">
        <w:tc>
          <w:tcPr>
            <w:tcW w:w="6629" w:type="dxa"/>
            <w:vAlign w:val="bottom"/>
          </w:tcPr>
          <w:p w:rsidR="00124B2C" w:rsidRDefault="00124B2C" w:rsidP="00B631E1">
            <w:pPr>
              <w:rPr>
                <w:rFonts w:ascii="Verdana" w:hAnsi="Verdana"/>
              </w:rPr>
            </w:pPr>
            <w:r>
              <w:rPr>
                <w:rFonts w:ascii="Verdana" w:hAnsi="Verdana"/>
              </w:rPr>
              <w:t>Estimates by the Institute for Fiscal Studies</w:t>
            </w:r>
          </w:p>
        </w:tc>
        <w:tc>
          <w:tcPr>
            <w:tcW w:w="1893" w:type="dxa"/>
            <w:vAlign w:val="bottom"/>
          </w:tcPr>
          <w:p w:rsidR="00124B2C" w:rsidRPr="00F35E0D" w:rsidRDefault="00F35E0D" w:rsidP="00F35E0D">
            <w:pPr>
              <w:spacing w:before="120" w:line="240" w:lineRule="auto"/>
              <w:jc w:val="right"/>
              <w:rPr>
                <w:rFonts w:ascii="Verdana" w:hAnsi="Verdana"/>
                <w:sz w:val="22"/>
                <w:szCs w:val="22"/>
              </w:rPr>
            </w:pPr>
            <w:r>
              <w:rPr>
                <w:rFonts w:ascii="Verdana" w:hAnsi="Verdana"/>
                <w:sz w:val="22"/>
                <w:szCs w:val="22"/>
              </w:rPr>
              <w:t>48 - 55</w:t>
            </w:r>
          </w:p>
        </w:tc>
      </w:tr>
      <w:tr w:rsidR="007A0984" w:rsidRPr="003E1C24" w:rsidTr="00F35E0D">
        <w:tc>
          <w:tcPr>
            <w:tcW w:w="6629" w:type="dxa"/>
            <w:vAlign w:val="bottom"/>
          </w:tcPr>
          <w:p w:rsidR="007A0984" w:rsidRDefault="007A0984" w:rsidP="001F4F3A">
            <w:pPr>
              <w:rPr>
                <w:rFonts w:ascii="Verdana" w:hAnsi="Verdana"/>
              </w:rPr>
            </w:pPr>
            <w:r>
              <w:rPr>
                <w:rFonts w:ascii="Verdana" w:hAnsi="Verdana"/>
              </w:rPr>
              <w:t>Checks of RAB estimates made by OBR</w:t>
            </w:r>
            <w:r w:rsidR="006120ED">
              <w:rPr>
                <w:rFonts w:ascii="Verdana" w:hAnsi="Verdana"/>
              </w:rPr>
              <w:t xml:space="preserve"> </w:t>
            </w:r>
          </w:p>
        </w:tc>
        <w:tc>
          <w:tcPr>
            <w:tcW w:w="1893" w:type="dxa"/>
            <w:vAlign w:val="bottom"/>
          </w:tcPr>
          <w:p w:rsidR="007A0984" w:rsidRPr="00F35E0D" w:rsidRDefault="00F35E0D" w:rsidP="00F35E0D">
            <w:pPr>
              <w:spacing w:before="120" w:line="240" w:lineRule="auto"/>
              <w:jc w:val="right"/>
              <w:rPr>
                <w:rFonts w:ascii="Verdana" w:hAnsi="Verdana"/>
                <w:sz w:val="22"/>
                <w:szCs w:val="22"/>
              </w:rPr>
            </w:pPr>
            <w:r>
              <w:rPr>
                <w:rFonts w:ascii="Verdana" w:hAnsi="Verdana"/>
                <w:sz w:val="22"/>
                <w:szCs w:val="22"/>
              </w:rPr>
              <w:t>56 - 57</w:t>
            </w:r>
          </w:p>
        </w:tc>
      </w:tr>
      <w:tr w:rsidR="00752FB1" w:rsidRPr="003E1C24" w:rsidTr="00F35E0D">
        <w:tc>
          <w:tcPr>
            <w:tcW w:w="6629" w:type="dxa"/>
            <w:vAlign w:val="bottom"/>
          </w:tcPr>
          <w:p w:rsidR="00752FB1" w:rsidRPr="000D13D9" w:rsidRDefault="00C23251" w:rsidP="00B631E1">
            <w:pPr>
              <w:rPr>
                <w:rFonts w:ascii="Verdana" w:hAnsi="Verdana"/>
              </w:rPr>
            </w:pPr>
            <w:r>
              <w:rPr>
                <w:rFonts w:ascii="Verdana" w:hAnsi="Verdana"/>
              </w:rPr>
              <w:t>Conclusions</w:t>
            </w:r>
          </w:p>
        </w:tc>
        <w:tc>
          <w:tcPr>
            <w:tcW w:w="1893" w:type="dxa"/>
            <w:vAlign w:val="bottom"/>
          </w:tcPr>
          <w:p w:rsidR="00752FB1" w:rsidRPr="00F35E0D" w:rsidRDefault="00F35E0D" w:rsidP="00F35E0D">
            <w:pPr>
              <w:spacing w:before="120" w:line="240" w:lineRule="auto"/>
              <w:jc w:val="right"/>
              <w:rPr>
                <w:rFonts w:ascii="Verdana" w:hAnsi="Verdana"/>
                <w:sz w:val="22"/>
                <w:szCs w:val="22"/>
              </w:rPr>
            </w:pPr>
            <w:r>
              <w:rPr>
                <w:rFonts w:ascii="Verdana" w:hAnsi="Verdana"/>
                <w:sz w:val="22"/>
                <w:szCs w:val="22"/>
              </w:rPr>
              <w:t>58 - 60</w:t>
            </w:r>
          </w:p>
        </w:tc>
      </w:tr>
      <w:tr w:rsidR="00124B2C" w:rsidRPr="003E1C24" w:rsidTr="00F35E0D">
        <w:tc>
          <w:tcPr>
            <w:tcW w:w="6629" w:type="dxa"/>
            <w:vAlign w:val="bottom"/>
          </w:tcPr>
          <w:p w:rsidR="00124B2C" w:rsidRDefault="00124B2C" w:rsidP="00B631E1">
            <w:pPr>
              <w:rPr>
                <w:rFonts w:ascii="Verdana" w:hAnsi="Verdana"/>
              </w:rPr>
            </w:pPr>
            <w:r>
              <w:rPr>
                <w:rFonts w:ascii="Verdana" w:hAnsi="Verdana"/>
              </w:rPr>
              <w:t>References</w:t>
            </w:r>
          </w:p>
        </w:tc>
        <w:tc>
          <w:tcPr>
            <w:tcW w:w="1893" w:type="dxa"/>
            <w:vAlign w:val="bottom"/>
          </w:tcPr>
          <w:p w:rsidR="00124B2C" w:rsidRPr="00F35E0D" w:rsidRDefault="00F35E0D" w:rsidP="00F35E0D">
            <w:pPr>
              <w:spacing w:before="120" w:line="240" w:lineRule="auto"/>
              <w:jc w:val="right"/>
              <w:rPr>
                <w:rFonts w:ascii="Verdana" w:hAnsi="Verdana"/>
                <w:sz w:val="22"/>
                <w:szCs w:val="22"/>
              </w:rPr>
            </w:pPr>
            <w:r w:rsidRPr="00F35E0D">
              <w:rPr>
                <w:rFonts w:ascii="Verdana" w:hAnsi="Verdana"/>
                <w:sz w:val="22"/>
                <w:szCs w:val="22"/>
              </w:rPr>
              <w:t>61</w:t>
            </w:r>
          </w:p>
        </w:tc>
      </w:tr>
    </w:tbl>
    <w:p w:rsidR="00A93500" w:rsidRDefault="00A93500" w:rsidP="00517D6A">
      <w:pPr>
        <w:spacing w:before="120" w:after="240"/>
        <w:rPr>
          <w:rFonts w:ascii="Verdana" w:hAnsi="Verdana"/>
          <w:b/>
          <w:sz w:val="22"/>
          <w:szCs w:val="22"/>
        </w:rPr>
      </w:pPr>
    </w:p>
    <w:p w:rsidR="000E40AE" w:rsidRDefault="000E40AE" w:rsidP="00517D6A">
      <w:pPr>
        <w:spacing w:before="120" w:after="240"/>
        <w:rPr>
          <w:rFonts w:ascii="Verdana" w:hAnsi="Verdana"/>
          <w:b/>
          <w:sz w:val="24"/>
          <w:szCs w:val="24"/>
        </w:rPr>
      </w:pPr>
    </w:p>
    <w:p w:rsidR="00B01BFF" w:rsidRPr="00CB1951" w:rsidRDefault="00191BA7" w:rsidP="00517D6A">
      <w:pPr>
        <w:spacing w:before="120" w:after="240"/>
        <w:rPr>
          <w:rFonts w:ascii="Verdana" w:hAnsi="Verdana"/>
          <w:b/>
          <w:sz w:val="24"/>
          <w:szCs w:val="24"/>
        </w:rPr>
      </w:pPr>
      <w:r w:rsidRPr="00CB1951">
        <w:rPr>
          <w:rFonts w:ascii="Verdana" w:hAnsi="Verdana"/>
          <w:b/>
          <w:sz w:val="24"/>
          <w:szCs w:val="24"/>
        </w:rPr>
        <w:lastRenderedPageBreak/>
        <w:t>Full and the simplified models</w:t>
      </w:r>
      <w:r w:rsidR="002511C5" w:rsidRPr="00CB1951">
        <w:rPr>
          <w:rFonts w:ascii="Verdana" w:hAnsi="Verdana"/>
          <w:b/>
          <w:sz w:val="24"/>
          <w:szCs w:val="24"/>
        </w:rPr>
        <w:t xml:space="preserve"> - common key elements</w:t>
      </w:r>
    </w:p>
    <w:p w:rsidR="00057501" w:rsidRDefault="00D10A67" w:rsidP="00CB2996">
      <w:pPr>
        <w:numPr>
          <w:ilvl w:val="0"/>
          <w:numId w:val="1"/>
        </w:numPr>
        <w:spacing w:after="240"/>
        <w:rPr>
          <w:rFonts w:ascii="Verdana" w:hAnsi="Verdana"/>
          <w:sz w:val="22"/>
          <w:szCs w:val="22"/>
        </w:rPr>
      </w:pPr>
      <w:r>
        <w:rPr>
          <w:rFonts w:ascii="Verdana" w:hAnsi="Verdana"/>
          <w:sz w:val="22"/>
          <w:szCs w:val="22"/>
        </w:rPr>
        <w:t>Both the full and simplified model</w:t>
      </w:r>
      <w:r w:rsidR="00651F5C">
        <w:rPr>
          <w:rFonts w:ascii="Verdana" w:hAnsi="Verdana"/>
          <w:sz w:val="22"/>
          <w:szCs w:val="22"/>
        </w:rPr>
        <w:t>s</w:t>
      </w:r>
      <w:r>
        <w:rPr>
          <w:rFonts w:ascii="Verdana" w:hAnsi="Verdana"/>
          <w:sz w:val="22"/>
          <w:szCs w:val="22"/>
        </w:rPr>
        <w:t xml:space="preserve"> involve </w:t>
      </w:r>
      <w:r w:rsidR="00CB2996">
        <w:rPr>
          <w:rFonts w:ascii="Verdana" w:hAnsi="Verdana"/>
          <w:sz w:val="22"/>
          <w:szCs w:val="22"/>
        </w:rPr>
        <w:t xml:space="preserve">the same </w:t>
      </w:r>
      <w:r>
        <w:rPr>
          <w:rFonts w:ascii="Verdana" w:hAnsi="Verdana"/>
          <w:sz w:val="22"/>
          <w:szCs w:val="22"/>
        </w:rPr>
        <w:t>five stages. (See page 4 o</w:t>
      </w:r>
      <w:r w:rsidR="00CB2996">
        <w:rPr>
          <w:rFonts w:ascii="Verdana" w:hAnsi="Verdana"/>
          <w:sz w:val="22"/>
          <w:szCs w:val="22"/>
        </w:rPr>
        <w:t xml:space="preserve">f the </w:t>
      </w:r>
      <w:r w:rsidR="00734376">
        <w:rPr>
          <w:rFonts w:ascii="Verdana" w:hAnsi="Verdana"/>
          <w:sz w:val="22"/>
          <w:szCs w:val="22"/>
        </w:rPr>
        <w:t xml:space="preserve">model </w:t>
      </w:r>
      <w:r w:rsidR="00CB2996">
        <w:rPr>
          <w:rFonts w:ascii="Verdana" w:hAnsi="Verdana"/>
          <w:sz w:val="22"/>
          <w:szCs w:val="22"/>
        </w:rPr>
        <w:t xml:space="preserve">guide for an outline.)  </w:t>
      </w:r>
      <w:r w:rsidR="00057501">
        <w:rPr>
          <w:rFonts w:ascii="Verdana" w:hAnsi="Verdana"/>
          <w:sz w:val="22"/>
          <w:szCs w:val="22"/>
        </w:rPr>
        <w:t xml:space="preserve">BIS have provided HEPI with further details about the construction of the two key data sets </w:t>
      </w:r>
      <w:r w:rsidR="00CE5716">
        <w:rPr>
          <w:rFonts w:ascii="Verdana" w:hAnsi="Verdana"/>
          <w:sz w:val="22"/>
          <w:szCs w:val="22"/>
        </w:rPr>
        <w:t>underpinning</w:t>
      </w:r>
      <w:r w:rsidR="00057501">
        <w:rPr>
          <w:rFonts w:ascii="Verdana" w:hAnsi="Verdana"/>
          <w:sz w:val="22"/>
          <w:szCs w:val="22"/>
        </w:rPr>
        <w:t xml:space="preserve"> the estimation</w:t>
      </w:r>
      <w:r w:rsidR="00CE5716">
        <w:rPr>
          <w:rFonts w:ascii="Verdana" w:hAnsi="Verdana"/>
          <w:sz w:val="22"/>
          <w:szCs w:val="22"/>
        </w:rPr>
        <w:t>s</w:t>
      </w:r>
      <w:r w:rsidR="00057501">
        <w:rPr>
          <w:rFonts w:ascii="Verdana" w:hAnsi="Verdana"/>
          <w:sz w:val="22"/>
          <w:szCs w:val="22"/>
        </w:rPr>
        <w:t xml:space="preserve">, the </w:t>
      </w:r>
      <w:r w:rsidR="0069155E">
        <w:rPr>
          <w:rFonts w:ascii="Verdana" w:hAnsi="Verdana"/>
          <w:sz w:val="22"/>
          <w:szCs w:val="22"/>
        </w:rPr>
        <w:t>‘percentile path’ matrix and the ‘income distribution’ matrix.</w:t>
      </w:r>
      <w:r w:rsidR="002511C5">
        <w:rPr>
          <w:rFonts w:ascii="Verdana" w:hAnsi="Verdana"/>
          <w:sz w:val="22"/>
          <w:szCs w:val="22"/>
        </w:rPr>
        <w:t xml:space="preserve"> </w:t>
      </w:r>
    </w:p>
    <w:p w:rsidR="0069155E" w:rsidRPr="002511C5" w:rsidRDefault="0069155E" w:rsidP="0069155E">
      <w:pPr>
        <w:pStyle w:val="ListParagraph"/>
        <w:spacing w:after="240"/>
        <w:ind w:left="0"/>
        <w:rPr>
          <w:rFonts w:ascii="Verdana" w:hAnsi="Verdana"/>
          <w:sz w:val="22"/>
          <w:szCs w:val="22"/>
          <w:u w:val="single"/>
        </w:rPr>
      </w:pPr>
      <w:r w:rsidRPr="002511C5">
        <w:rPr>
          <w:rFonts w:ascii="Verdana" w:hAnsi="Verdana"/>
          <w:sz w:val="22"/>
          <w:szCs w:val="22"/>
          <w:u w:val="single"/>
        </w:rPr>
        <w:t>Percentile paths</w:t>
      </w:r>
    </w:p>
    <w:p w:rsidR="0069155E" w:rsidRDefault="0069155E" w:rsidP="00CB2996">
      <w:pPr>
        <w:numPr>
          <w:ilvl w:val="0"/>
          <w:numId w:val="1"/>
        </w:numPr>
        <w:spacing w:after="240"/>
        <w:rPr>
          <w:rFonts w:ascii="Verdana" w:hAnsi="Verdana"/>
          <w:sz w:val="22"/>
          <w:szCs w:val="22"/>
        </w:rPr>
      </w:pPr>
      <w:r>
        <w:rPr>
          <w:rFonts w:ascii="Verdana" w:hAnsi="Verdana"/>
          <w:sz w:val="22"/>
          <w:szCs w:val="22"/>
        </w:rPr>
        <w:t xml:space="preserve">These data consist of </w:t>
      </w:r>
      <w:r w:rsidR="00124B2C">
        <w:rPr>
          <w:rFonts w:ascii="Verdana" w:hAnsi="Verdana"/>
          <w:sz w:val="22"/>
          <w:szCs w:val="22"/>
        </w:rPr>
        <w:t xml:space="preserve">simulated </w:t>
      </w:r>
      <w:r>
        <w:rPr>
          <w:rFonts w:ascii="Verdana" w:hAnsi="Verdana"/>
          <w:sz w:val="22"/>
          <w:szCs w:val="22"/>
        </w:rPr>
        <w:t xml:space="preserve">individuals (20,000 for the simplified model, typically ten times that many for the full model), showing for each </w:t>
      </w:r>
      <w:r w:rsidR="00124B2C">
        <w:rPr>
          <w:rFonts w:ascii="Verdana" w:hAnsi="Verdana"/>
          <w:sz w:val="22"/>
          <w:szCs w:val="22"/>
        </w:rPr>
        <w:t>individual</w:t>
      </w:r>
      <w:r>
        <w:rPr>
          <w:rFonts w:ascii="Verdana" w:hAnsi="Verdana"/>
          <w:sz w:val="22"/>
          <w:szCs w:val="22"/>
        </w:rPr>
        <w:t xml:space="preserve"> </w:t>
      </w:r>
      <w:r w:rsidR="00124B2C">
        <w:rPr>
          <w:rFonts w:ascii="Verdana" w:hAnsi="Verdana"/>
          <w:sz w:val="22"/>
          <w:szCs w:val="22"/>
        </w:rPr>
        <w:t xml:space="preserve">his or her </w:t>
      </w:r>
      <w:r>
        <w:rPr>
          <w:rFonts w:ascii="Verdana" w:hAnsi="Verdana"/>
          <w:sz w:val="22"/>
          <w:szCs w:val="22"/>
        </w:rPr>
        <w:t>percentile o</w:t>
      </w:r>
      <w:r w:rsidR="00124B2C">
        <w:rPr>
          <w:rFonts w:ascii="Verdana" w:hAnsi="Verdana"/>
          <w:sz w:val="22"/>
          <w:szCs w:val="22"/>
        </w:rPr>
        <w:t>f</w:t>
      </w:r>
      <w:r>
        <w:rPr>
          <w:rFonts w:ascii="Verdana" w:hAnsi="Verdana"/>
          <w:sz w:val="22"/>
          <w:szCs w:val="22"/>
        </w:rPr>
        <w:t xml:space="preserve"> the income distribution for each year of the repayment period. Apart from the number of </w:t>
      </w:r>
      <w:r w:rsidR="00124B2C">
        <w:rPr>
          <w:rFonts w:ascii="Verdana" w:hAnsi="Verdana"/>
          <w:sz w:val="22"/>
          <w:szCs w:val="22"/>
        </w:rPr>
        <w:t>individuals</w:t>
      </w:r>
      <w:r>
        <w:rPr>
          <w:rFonts w:ascii="Verdana" w:hAnsi="Verdana"/>
          <w:sz w:val="22"/>
          <w:szCs w:val="22"/>
        </w:rPr>
        <w:t>, this path matrix is the same for simplified and full models.</w:t>
      </w:r>
    </w:p>
    <w:p w:rsidR="002511C5" w:rsidRDefault="00CE5716" w:rsidP="00CB2996">
      <w:pPr>
        <w:numPr>
          <w:ilvl w:val="0"/>
          <w:numId w:val="1"/>
        </w:numPr>
        <w:spacing w:after="240"/>
        <w:rPr>
          <w:rFonts w:ascii="Verdana" w:hAnsi="Verdana"/>
          <w:sz w:val="22"/>
          <w:szCs w:val="22"/>
        </w:rPr>
      </w:pPr>
      <w:r>
        <w:rPr>
          <w:rFonts w:ascii="Verdana" w:hAnsi="Verdana"/>
          <w:sz w:val="22"/>
          <w:szCs w:val="22"/>
        </w:rPr>
        <w:t xml:space="preserve">Incomes of HE qualifiers are taken from the British Household Panel Survey (1991-2008). </w:t>
      </w:r>
      <w:r w:rsidR="002511C5">
        <w:rPr>
          <w:rFonts w:ascii="Verdana" w:hAnsi="Verdana"/>
          <w:sz w:val="22"/>
          <w:szCs w:val="22"/>
        </w:rPr>
        <w:t xml:space="preserve">Incomes are recorded for all qualifiers including those unemployed or out of the labour market, so the lower percentiles will typically correspond to zero incomes.  No adjustments are made for part-time working and no information about employment status is recorded. </w:t>
      </w:r>
      <w:r>
        <w:rPr>
          <w:rFonts w:ascii="Verdana" w:hAnsi="Verdana"/>
          <w:sz w:val="22"/>
          <w:szCs w:val="22"/>
        </w:rPr>
        <w:t xml:space="preserve">Individual values for successive pairs of years are then used to derive the distributions of income percentiles for the second year for each </w:t>
      </w:r>
      <w:r w:rsidR="00651F5C">
        <w:rPr>
          <w:rFonts w:ascii="Verdana" w:hAnsi="Verdana"/>
          <w:sz w:val="22"/>
          <w:szCs w:val="22"/>
        </w:rPr>
        <w:t>set of characteristics</w:t>
      </w:r>
      <w:r>
        <w:rPr>
          <w:rFonts w:ascii="Verdana" w:hAnsi="Verdana"/>
          <w:sz w:val="22"/>
          <w:szCs w:val="22"/>
        </w:rPr>
        <w:t xml:space="preserve"> defined by age, sex and percentile in the first year. </w:t>
      </w:r>
    </w:p>
    <w:p w:rsidR="00CB1951" w:rsidRDefault="002511C5" w:rsidP="00CB1951">
      <w:pPr>
        <w:numPr>
          <w:ilvl w:val="0"/>
          <w:numId w:val="1"/>
        </w:numPr>
        <w:spacing w:after="240"/>
        <w:rPr>
          <w:rFonts w:ascii="Verdana" w:hAnsi="Verdana"/>
          <w:sz w:val="24"/>
          <w:szCs w:val="24"/>
        </w:rPr>
      </w:pPr>
      <w:r w:rsidRPr="00CB1951">
        <w:rPr>
          <w:rFonts w:ascii="Verdana" w:hAnsi="Verdana"/>
          <w:sz w:val="22"/>
          <w:szCs w:val="22"/>
        </w:rPr>
        <w:t>The individual cases of the path matrix are generated by first assigned a percentile at random, and then</w:t>
      </w:r>
      <w:r w:rsidR="00CB1951" w:rsidRPr="00CB1951">
        <w:rPr>
          <w:rFonts w:ascii="Verdana" w:hAnsi="Verdana"/>
          <w:sz w:val="22"/>
          <w:szCs w:val="22"/>
        </w:rPr>
        <w:t xml:space="preserve"> selecting at random from the distribution defined by age, sex and th</w:t>
      </w:r>
      <w:r w:rsidR="009468F2">
        <w:rPr>
          <w:rFonts w:ascii="Verdana" w:hAnsi="Verdana"/>
          <w:sz w:val="22"/>
          <w:szCs w:val="22"/>
        </w:rPr>
        <w:t>e first</w:t>
      </w:r>
      <w:r w:rsidR="00CB1951" w:rsidRPr="00CB1951">
        <w:rPr>
          <w:rFonts w:ascii="Verdana" w:hAnsi="Verdana"/>
          <w:sz w:val="22"/>
          <w:szCs w:val="22"/>
        </w:rPr>
        <w:t xml:space="preserve"> percentile, to give the percentile for the following year. The process is repeated </w:t>
      </w:r>
      <w:r w:rsidR="00651F5C">
        <w:rPr>
          <w:rFonts w:ascii="Verdana" w:hAnsi="Verdana"/>
          <w:sz w:val="22"/>
          <w:szCs w:val="22"/>
        </w:rPr>
        <w:t>using this percentile from the second year to derive the percentile for the third, and so on</w:t>
      </w:r>
      <w:r w:rsidR="009468F2">
        <w:rPr>
          <w:rFonts w:ascii="Verdana" w:hAnsi="Verdana"/>
          <w:sz w:val="22"/>
          <w:szCs w:val="22"/>
        </w:rPr>
        <w:t>,</w:t>
      </w:r>
      <w:r w:rsidR="00651F5C">
        <w:rPr>
          <w:rFonts w:ascii="Verdana" w:hAnsi="Verdana"/>
          <w:sz w:val="22"/>
          <w:szCs w:val="22"/>
        </w:rPr>
        <w:t xml:space="preserve"> </w:t>
      </w:r>
      <w:r w:rsidR="00CB1951" w:rsidRPr="00CB1951">
        <w:rPr>
          <w:rFonts w:ascii="Verdana" w:hAnsi="Verdana"/>
          <w:sz w:val="22"/>
          <w:szCs w:val="22"/>
        </w:rPr>
        <w:t xml:space="preserve">until the end of the repayment period. </w:t>
      </w:r>
    </w:p>
    <w:p w:rsidR="00CB1951" w:rsidRPr="00CB1951" w:rsidRDefault="00CB1951" w:rsidP="00CB1951">
      <w:pPr>
        <w:spacing w:after="240"/>
        <w:rPr>
          <w:rFonts w:ascii="Verdana" w:hAnsi="Verdana"/>
          <w:sz w:val="24"/>
          <w:szCs w:val="24"/>
          <w:u w:val="single"/>
        </w:rPr>
      </w:pPr>
      <w:r w:rsidRPr="00CB1951">
        <w:rPr>
          <w:rFonts w:ascii="Verdana" w:hAnsi="Verdana"/>
          <w:sz w:val="24"/>
          <w:szCs w:val="24"/>
          <w:u w:val="single"/>
        </w:rPr>
        <w:t>Income distribution</w:t>
      </w:r>
    </w:p>
    <w:p w:rsidR="00CB1951" w:rsidRPr="00B244D1" w:rsidRDefault="00CB1951" w:rsidP="00B244D1">
      <w:pPr>
        <w:numPr>
          <w:ilvl w:val="0"/>
          <w:numId w:val="1"/>
        </w:numPr>
        <w:spacing w:after="240"/>
        <w:rPr>
          <w:rFonts w:ascii="Verdana" w:hAnsi="Verdana"/>
          <w:sz w:val="24"/>
          <w:szCs w:val="24"/>
        </w:rPr>
      </w:pPr>
      <w:r w:rsidRPr="00B244D1">
        <w:rPr>
          <w:rFonts w:ascii="Verdana" w:hAnsi="Verdana"/>
          <w:sz w:val="22"/>
          <w:szCs w:val="22"/>
        </w:rPr>
        <w:t xml:space="preserve">These data consist of average earnings (2009 prices) by age and sex. The simplified model has one set of data for graduates. The </w:t>
      </w:r>
      <w:r w:rsidR="009468F2">
        <w:rPr>
          <w:rFonts w:ascii="Verdana" w:hAnsi="Verdana"/>
          <w:sz w:val="22"/>
          <w:szCs w:val="22"/>
        </w:rPr>
        <w:t>full</w:t>
      </w:r>
      <w:r w:rsidRPr="00B244D1">
        <w:rPr>
          <w:rFonts w:ascii="Verdana" w:hAnsi="Verdana"/>
          <w:sz w:val="22"/>
          <w:szCs w:val="22"/>
        </w:rPr>
        <w:t xml:space="preserve"> model has two, one for graduates and one for other </w:t>
      </w:r>
      <w:r w:rsidR="009468F2">
        <w:rPr>
          <w:rFonts w:ascii="Verdana" w:hAnsi="Verdana"/>
          <w:sz w:val="22"/>
          <w:szCs w:val="22"/>
        </w:rPr>
        <w:t>undergraduate</w:t>
      </w:r>
      <w:r w:rsidRPr="00B244D1">
        <w:rPr>
          <w:rFonts w:ascii="Verdana" w:hAnsi="Verdana"/>
          <w:sz w:val="22"/>
          <w:szCs w:val="22"/>
        </w:rPr>
        <w:t xml:space="preserve"> qualifiers. There are no other attributes specified in the derivation of these data. The data source </w:t>
      </w:r>
      <w:r w:rsidR="00B244D1" w:rsidRPr="00B244D1">
        <w:rPr>
          <w:rFonts w:ascii="Verdana" w:hAnsi="Verdana"/>
          <w:sz w:val="22"/>
          <w:szCs w:val="22"/>
        </w:rPr>
        <w:t xml:space="preserve">for ages 24 and older </w:t>
      </w:r>
      <w:r w:rsidRPr="00B244D1">
        <w:rPr>
          <w:rFonts w:ascii="Verdana" w:hAnsi="Verdana"/>
          <w:sz w:val="22"/>
          <w:szCs w:val="22"/>
        </w:rPr>
        <w:t>is the Labour Force Survey (2001-2009).</w:t>
      </w:r>
      <w:r w:rsidR="00B244D1" w:rsidRPr="00B244D1">
        <w:rPr>
          <w:rFonts w:ascii="Verdana" w:hAnsi="Verdana"/>
          <w:sz w:val="22"/>
          <w:szCs w:val="22"/>
        </w:rPr>
        <w:t xml:space="preserve"> Student Loan Company </w:t>
      </w:r>
      <w:r w:rsidR="00B244D1">
        <w:rPr>
          <w:rFonts w:ascii="Verdana" w:hAnsi="Verdana"/>
          <w:sz w:val="22"/>
          <w:szCs w:val="22"/>
        </w:rPr>
        <w:t xml:space="preserve">(SLC) </w:t>
      </w:r>
      <w:r w:rsidR="00B244D1" w:rsidRPr="00B244D1">
        <w:rPr>
          <w:rFonts w:ascii="Verdana" w:hAnsi="Verdana"/>
          <w:sz w:val="22"/>
          <w:szCs w:val="22"/>
        </w:rPr>
        <w:t>data was used for the younger ages. This is possible because few of these former students have fully repaid</w:t>
      </w:r>
      <w:r w:rsidR="00222F0A">
        <w:rPr>
          <w:rFonts w:ascii="Verdana" w:hAnsi="Verdana"/>
          <w:sz w:val="22"/>
          <w:szCs w:val="22"/>
        </w:rPr>
        <w:t>,</w:t>
      </w:r>
      <w:r w:rsidR="00B244D1" w:rsidRPr="00B244D1">
        <w:rPr>
          <w:rFonts w:ascii="Verdana" w:hAnsi="Verdana"/>
          <w:sz w:val="22"/>
          <w:szCs w:val="22"/>
        </w:rPr>
        <w:t xml:space="preserve"> and advantageous because the LFS is a little sparse at th</w:t>
      </w:r>
      <w:r w:rsidR="00B244D1">
        <w:rPr>
          <w:rFonts w:ascii="Verdana" w:hAnsi="Verdana"/>
          <w:sz w:val="22"/>
          <w:szCs w:val="22"/>
        </w:rPr>
        <w:t>ese</w:t>
      </w:r>
      <w:r w:rsidR="00B244D1" w:rsidRPr="00B244D1">
        <w:rPr>
          <w:rFonts w:ascii="Verdana" w:hAnsi="Verdana"/>
          <w:sz w:val="22"/>
          <w:szCs w:val="22"/>
        </w:rPr>
        <w:t xml:space="preserve"> ages</w:t>
      </w:r>
      <w:r w:rsidR="00B244D1">
        <w:rPr>
          <w:rFonts w:ascii="Verdana" w:hAnsi="Verdana"/>
          <w:sz w:val="22"/>
          <w:szCs w:val="22"/>
        </w:rPr>
        <w:t xml:space="preserve">. </w:t>
      </w:r>
    </w:p>
    <w:p w:rsidR="0095002A" w:rsidRPr="00FC43A9" w:rsidRDefault="00CB1951" w:rsidP="00057501">
      <w:pPr>
        <w:numPr>
          <w:ilvl w:val="0"/>
          <w:numId w:val="1"/>
        </w:numPr>
        <w:spacing w:after="240"/>
        <w:rPr>
          <w:rFonts w:ascii="Verdana" w:hAnsi="Verdana"/>
          <w:sz w:val="24"/>
          <w:szCs w:val="24"/>
        </w:rPr>
      </w:pPr>
      <w:r w:rsidRPr="00222F0A">
        <w:rPr>
          <w:rFonts w:ascii="Verdana" w:hAnsi="Verdana"/>
          <w:sz w:val="22"/>
          <w:szCs w:val="22"/>
        </w:rPr>
        <w:t xml:space="preserve">The values from 2001 to 2008 are adjusted </w:t>
      </w:r>
      <w:r w:rsidR="0095002A" w:rsidRPr="00222F0A">
        <w:rPr>
          <w:rFonts w:ascii="Verdana" w:hAnsi="Verdana"/>
          <w:sz w:val="22"/>
          <w:szCs w:val="22"/>
        </w:rPr>
        <w:t>to 2009 in line with the changes in average earnings. No weighting</w:t>
      </w:r>
      <w:r w:rsidR="00124B2C" w:rsidRPr="00222F0A">
        <w:rPr>
          <w:rFonts w:ascii="Verdana" w:hAnsi="Verdana"/>
          <w:sz w:val="22"/>
          <w:szCs w:val="22"/>
        </w:rPr>
        <w:t>s</w:t>
      </w:r>
      <w:r w:rsidR="0095002A" w:rsidRPr="00222F0A">
        <w:rPr>
          <w:rFonts w:ascii="Verdana" w:hAnsi="Verdana"/>
          <w:sz w:val="22"/>
          <w:szCs w:val="22"/>
        </w:rPr>
        <w:t xml:space="preserve"> are applied even though for some age values the numbers of graduates will </w:t>
      </w:r>
      <w:r w:rsidR="00124B2C" w:rsidRPr="00222F0A">
        <w:rPr>
          <w:rFonts w:ascii="Verdana" w:hAnsi="Verdana"/>
          <w:sz w:val="22"/>
          <w:szCs w:val="22"/>
        </w:rPr>
        <w:t xml:space="preserve">greatly </w:t>
      </w:r>
      <w:r w:rsidR="0095002A" w:rsidRPr="00222F0A">
        <w:rPr>
          <w:rFonts w:ascii="Verdana" w:hAnsi="Verdana"/>
          <w:sz w:val="22"/>
          <w:szCs w:val="22"/>
        </w:rPr>
        <w:t>differ for different LFS surveys.</w:t>
      </w:r>
    </w:p>
    <w:p w:rsidR="00FC43A9" w:rsidRPr="00FC43A9" w:rsidRDefault="00FC43A9" w:rsidP="00FC43A9">
      <w:pPr>
        <w:spacing w:after="240"/>
        <w:rPr>
          <w:rFonts w:ascii="Verdana" w:hAnsi="Verdana"/>
          <w:sz w:val="24"/>
          <w:szCs w:val="24"/>
          <w:u w:val="single"/>
        </w:rPr>
      </w:pPr>
      <w:r w:rsidRPr="00FC43A9">
        <w:rPr>
          <w:rFonts w:ascii="Verdana" w:hAnsi="Verdana"/>
          <w:sz w:val="22"/>
          <w:szCs w:val="22"/>
          <w:u w:val="single"/>
        </w:rPr>
        <w:lastRenderedPageBreak/>
        <w:t>Loan assumptions</w:t>
      </w:r>
    </w:p>
    <w:p w:rsidR="00FC43A9" w:rsidRPr="00FC43A9" w:rsidRDefault="00ED5218" w:rsidP="00CB1951">
      <w:pPr>
        <w:numPr>
          <w:ilvl w:val="0"/>
          <w:numId w:val="1"/>
        </w:numPr>
        <w:spacing w:after="240"/>
        <w:rPr>
          <w:rFonts w:ascii="Verdana" w:hAnsi="Verdana"/>
          <w:sz w:val="24"/>
          <w:szCs w:val="24"/>
        </w:rPr>
      </w:pPr>
      <w:r>
        <w:rPr>
          <w:rFonts w:ascii="Verdana" w:hAnsi="Verdana"/>
          <w:sz w:val="22"/>
          <w:szCs w:val="22"/>
        </w:rPr>
        <w:t>With the default settings, the average loan is set at £11,700 which includes a fee loan of £7,000.For the sensitivity analysis we have not changed the default setting, though our most recent estimate of fees for 2012 was £8,2</w:t>
      </w:r>
      <w:r w:rsidR="002B3983">
        <w:rPr>
          <w:rFonts w:ascii="Verdana" w:hAnsi="Verdana"/>
          <w:sz w:val="22"/>
          <w:szCs w:val="22"/>
        </w:rPr>
        <w:t>34</w:t>
      </w:r>
      <w:r>
        <w:rPr>
          <w:rFonts w:ascii="Verdana" w:hAnsi="Verdana"/>
          <w:sz w:val="22"/>
          <w:szCs w:val="22"/>
        </w:rPr>
        <w:t>. If we assume that this converted to am £8</w:t>
      </w:r>
      <w:r w:rsidR="002B3983">
        <w:rPr>
          <w:rFonts w:ascii="Verdana" w:hAnsi="Verdana"/>
          <w:sz w:val="22"/>
          <w:szCs w:val="22"/>
        </w:rPr>
        <w:t>,</w:t>
      </w:r>
      <w:r>
        <w:rPr>
          <w:rFonts w:ascii="Verdana" w:hAnsi="Verdana"/>
          <w:sz w:val="22"/>
          <w:szCs w:val="22"/>
        </w:rPr>
        <w:t>2</w:t>
      </w:r>
      <w:r w:rsidR="002B3983">
        <w:rPr>
          <w:rFonts w:ascii="Verdana" w:hAnsi="Verdana"/>
          <w:sz w:val="22"/>
          <w:szCs w:val="22"/>
        </w:rPr>
        <w:t>34</w:t>
      </w:r>
      <w:r>
        <w:rPr>
          <w:rFonts w:ascii="Verdana" w:hAnsi="Verdana"/>
          <w:sz w:val="22"/>
          <w:szCs w:val="22"/>
        </w:rPr>
        <w:t xml:space="preserve"> fee loan, that is all those taking a fee loan took a 100 per cent loa</w:t>
      </w:r>
      <w:r w:rsidR="002B3983">
        <w:rPr>
          <w:rFonts w:ascii="Verdana" w:hAnsi="Verdana"/>
          <w:sz w:val="22"/>
          <w:szCs w:val="22"/>
        </w:rPr>
        <w:t>n, giving a total loan of £12,434</w:t>
      </w:r>
      <w:r>
        <w:rPr>
          <w:rFonts w:ascii="Verdana" w:hAnsi="Verdana"/>
          <w:sz w:val="22"/>
          <w:szCs w:val="22"/>
        </w:rPr>
        <w:t xml:space="preserve"> we get an increase in the RAB charge of 1.</w:t>
      </w:r>
      <w:r w:rsidR="002B3983">
        <w:rPr>
          <w:rFonts w:ascii="Verdana" w:hAnsi="Verdana"/>
          <w:sz w:val="22"/>
          <w:szCs w:val="22"/>
        </w:rPr>
        <w:t>4</w:t>
      </w:r>
      <w:r>
        <w:rPr>
          <w:rFonts w:ascii="Verdana" w:hAnsi="Verdana"/>
          <w:sz w:val="22"/>
          <w:szCs w:val="22"/>
        </w:rPr>
        <w:t xml:space="preserve"> per cent.</w:t>
      </w:r>
      <w:r w:rsidR="00FC43A9" w:rsidRPr="00FC43A9">
        <w:rPr>
          <w:rFonts w:ascii="Verdana" w:hAnsi="Verdana"/>
          <w:sz w:val="22"/>
          <w:szCs w:val="22"/>
        </w:rPr>
        <w:t xml:space="preserve"> </w:t>
      </w:r>
    </w:p>
    <w:p w:rsidR="00057501" w:rsidRPr="00FC43A9" w:rsidRDefault="00057501" w:rsidP="00FC43A9">
      <w:pPr>
        <w:spacing w:after="240"/>
        <w:rPr>
          <w:rFonts w:ascii="Verdana" w:hAnsi="Verdana"/>
          <w:b/>
          <w:sz w:val="24"/>
          <w:szCs w:val="24"/>
        </w:rPr>
      </w:pPr>
      <w:r w:rsidRPr="00FC43A9">
        <w:rPr>
          <w:rFonts w:ascii="Verdana" w:hAnsi="Verdana"/>
          <w:b/>
          <w:sz w:val="24"/>
          <w:szCs w:val="24"/>
        </w:rPr>
        <w:t>Differences between full and simplified models</w:t>
      </w:r>
    </w:p>
    <w:p w:rsidR="00CB2996" w:rsidRDefault="00CB2996" w:rsidP="00CB2996">
      <w:pPr>
        <w:numPr>
          <w:ilvl w:val="0"/>
          <w:numId w:val="1"/>
        </w:numPr>
        <w:spacing w:after="240"/>
        <w:rPr>
          <w:rFonts w:ascii="Verdana" w:hAnsi="Verdana"/>
          <w:sz w:val="22"/>
          <w:szCs w:val="22"/>
        </w:rPr>
      </w:pPr>
      <w:r>
        <w:rPr>
          <w:rFonts w:ascii="Verdana" w:hAnsi="Verdana"/>
          <w:sz w:val="22"/>
          <w:szCs w:val="22"/>
        </w:rPr>
        <w:t>The differences are:-</w:t>
      </w:r>
    </w:p>
    <w:tbl>
      <w:tblPr>
        <w:tblStyle w:val="TableGrid"/>
        <w:tblW w:w="0" w:type="auto"/>
        <w:tblLook w:val="04A0" w:firstRow="1" w:lastRow="0" w:firstColumn="1" w:lastColumn="0" w:noHBand="0" w:noVBand="1"/>
      </w:tblPr>
      <w:tblGrid>
        <w:gridCol w:w="4261"/>
        <w:gridCol w:w="4261"/>
      </w:tblGrid>
      <w:tr w:rsidR="00CB2996" w:rsidTr="00CB2996">
        <w:tc>
          <w:tcPr>
            <w:tcW w:w="4261" w:type="dxa"/>
          </w:tcPr>
          <w:p w:rsidR="00CB2996" w:rsidRPr="00435659" w:rsidRDefault="00060536" w:rsidP="00435659">
            <w:pPr>
              <w:spacing w:after="240"/>
              <w:jc w:val="center"/>
              <w:rPr>
                <w:rFonts w:ascii="Verdana" w:hAnsi="Verdana"/>
                <w:b/>
                <w:sz w:val="22"/>
                <w:szCs w:val="22"/>
              </w:rPr>
            </w:pPr>
            <w:r w:rsidRPr="00435659">
              <w:rPr>
                <w:rFonts w:ascii="Verdana" w:hAnsi="Verdana"/>
                <w:b/>
                <w:sz w:val="22"/>
                <w:szCs w:val="22"/>
              </w:rPr>
              <w:t>Simplified</w:t>
            </w:r>
          </w:p>
        </w:tc>
        <w:tc>
          <w:tcPr>
            <w:tcW w:w="4261" w:type="dxa"/>
          </w:tcPr>
          <w:p w:rsidR="00CB2996" w:rsidRPr="00435659" w:rsidRDefault="00060536" w:rsidP="00435659">
            <w:pPr>
              <w:spacing w:after="240"/>
              <w:jc w:val="center"/>
              <w:rPr>
                <w:rFonts w:ascii="Verdana" w:hAnsi="Verdana"/>
                <w:b/>
                <w:sz w:val="22"/>
                <w:szCs w:val="22"/>
              </w:rPr>
            </w:pPr>
            <w:r w:rsidRPr="00435659">
              <w:rPr>
                <w:rFonts w:ascii="Verdana" w:hAnsi="Verdana"/>
                <w:b/>
                <w:sz w:val="22"/>
                <w:szCs w:val="22"/>
              </w:rPr>
              <w:t>Full</w:t>
            </w:r>
          </w:p>
        </w:tc>
      </w:tr>
      <w:tr w:rsidR="00CB2996" w:rsidTr="00CB2996">
        <w:tc>
          <w:tcPr>
            <w:tcW w:w="4261" w:type="dxa"/>
          </w:tcPr>
          <w:p w:rsidR="00CB2996" w:rsidRDefault="00435659" w:rsidP="001B6902">
            <w:pPr>
              <w:spacing w:after="240"/>
              <w:rPr>
                <w:rFonts w:ascii="Verdana" w:hAnsi="Verdana"/>
                <w:sz w:val="22"/>
                <w:szCs w:val="22"/>
              </w:rPr>
            </w:pPr>
            <w:r>
              <w:rPr>
                <w:rFonts w:ascii="Verdana" w:hAnsi="Verdana"/>
                <w:sz w:val="22"/>
                <w:szCs w:val="22"/>
              </w:rPr>
              <w:t>H</w:t>
            </w:r>
            <w:r w:rsidR="00060536">
              <w:rPr>
                <w:rFonts w:ascii="Verdana" w:hAnsi="Verdana"/>
                <w:sz w:val="22"/>
                <w:szCs w:val="22"/>
              </w:rPr>
              <w:t xml:space="preserve">ome </w:t>
            </w:r>
            <w:r w:rsidR="00060536" w:rsidRPr="00060536">
              <w:rPr>
                <w:rFonts w:ascii="Verdana" w:hAnsi="Verdana"/>
                <w:sz w:val="22"/>
                <w:szCs w:val="22"/>
              </w:rPr>
              <w:t>graduates from three-year degree level courses</w:t>
            </w:r>
            <w:r w:rsidR="001B6902">
              <w:rPr>
                <w:rFonts w:ascii="Verdana" w:hAnsi="Verdana"/>
                <w:sz w:val="22"/>
                <w:szCs w:val="22"/>
              </w:rPr>
              <w:t>.</w:t>
            </w:r>
            <w:r>
              <w:rPr>
                <w:rFonts w:ascii="Verdana" w:hAnsi="Verdana"/>
                <w:sz w:val="22"/>
                <w:szCs w:val="22"/>
              </w:rPr>
              <w:t xml:space="preserve"> HE entry aged 18</w:t>
            </w:r>
            <w:r w:rsidR="000D2461">
              <w:rPr>
                <w:rFonts w:ascii="Verdana" w:hAnsi="Verdana"/>
                <w:sz w:val="22"/>
                <w:szCs w:val="22"/>
              </w:rPr>
              <w:t xml:space="preserve"> in </w:t>
            </w:r>
            <w:r>
              <w:rPr>
                <w:rFonts w:ascii="Verdana" w:hAnsi="Verdana"/>
                <w:sz w:val="22"/>
                <w:szCs w:val="22"/>
              </w:rPr>
              <w:t>2012, graduate 2015, first liable to repay loan 2016.</w:t>
            </w:r>
          </w:p>
        </w:tc>
        <w:tc>
          <w:tcPr>
            <w:tcW w:w="4261" w:type="dxa"/>
          </w:tcPr>
          <w:p w:rsidR="00CB2996" w:rsidRDefault="00435659" w:rsidP="00CB2996">
            <w:pPr>
              <w:spacing w:after="240"/>
              <w:rPr>
                <w:rFonts w:ascii="Verdana" w:hAnsi="Verdana"/>
                <w:sz w:val="22"/>
                <w:szCs w:val="22"/>
              </w:rPr>
            </w:pPr>
            <w:r>
              <w:rPr>
                <w:rFonts w:ascii="Verdana" w:hAnsi="Verdana"/>
                <w:sz w:val="22"/>
                <w:szCs w:val="22"/>
              </w:rPr>
              <w:t>Varying course lengths and age of entry and leaving,</w:t>
            </w:r>
            <w:r w:rsidR="00060536">
              <w:rPr>
                <w:rFonts w:ascii="Verdana" w:hAnsi="Verdana"/>
                <w:sz w:val="22"/>
                <w:szCs w:val="22"/>
              </w:rPr>
              <w:t xml:space="preserve"> different earnings matrices for degree and sub degree qualifiers, separate estimates for non-completers and EU former students.</w:t>
            </w:r>
          </w:p>
        </w:tc>
      </w:tr>
      <w:tr w:rsidR="00CB2996" w:rsidTr="00CB2996">
        <w:tc>
          <w:tcPr>
            <w:tcW w:w="4261" w:type="dxa"/>
          </w:tcPr>
          <w:p w:rsidR="00CB2996" w:rsidRDefault="00060536" w:rsidP="00993151">
            <w:pPr>
              <w:spacing w:after="240"/>
              <w:rPr>
                <w:rFonts w:ascii="Verdana" w:hAnsi="Verdana"/>
                <w:sz w:val="22"/>
                <w:szCs w:val="22"/>
              </w:rPr>
            </w:pPr>
            <w:r>
              <w:rPr>
                <w:rFonts w:ascii="Verdana" w:hAnsi="Verdana"/>
                <w:sz w:val="22"/>
                <w:szCs w:val="22"/>
              </w:rPr>
              <w:t>Single sum borrowed for each of three years</w:t>
            </w:r>
            <w:r w:rsidR="000D2461">
              <w:rPr>
                <w:rFonts w:ascii="Verdana" w:hAnsi="Verdana"/>
                <w:sz w:val="22"/>
                <w:szCs w:val="22"/>
              </w:rPr>
              <w:t>. Default set at £11,700</w:t>
            </w:r>
            <w:r w:rsidR="00993151">
              <w:rPr>
                <w:rFonts w:ascii="Verdana" w:hAnsi="Verdana"/>
                <w:sz w:val="22"/>
                <w:szCs w:val="22"/>
              </w:rPr>
              <w:t xml:space="preserve"> for each year.</w:t>
            </w:r>
          </w:p>
        </w:tc>
        <w:tc>
          <w:tcPr>
            <w:tcW w:w="4261" w:type="dxa"/>
          </w:tcPr>
          <w:p w:rsidR="00CB2996" w:rsidRDefault="00060536" w:rsidP="00CB2996">
            <w:pPr>
              <w:spacing w:after="240"/>
              <w:rPr>
                <w:rFonts w:ascii="Verdana" w:hAnsi="Verdana"/>
                <w:sz w:val="22"/>
                <w:szCs w:val="22"/>
              </w:rPr>
            </w:pPr>
            <w:r>
              <w:rPr>
                <w:rFonts w:ascii="Verdana" w:hAnsi="Verdana"/>
                <w:sz w:val="22"/>
                <w:szCs w:val="22"/>
              </w:rPr>
              <w:t>Range of loan values</w:t>
            </w:r>
            <w:r w:rsidR="00FA34CF">
              <w:rPr>
                <w:rFonts w:ascii="Verdana" w:hAnsi="Verdana"/>
                <w:sz w:val="22"/>
                <w:szCs w:val="22"/>
              </w:rPr>
              <w:t xml:space="preserve"> and loan take up patterns</w:t>
            </w:r>
            <w:r>
              <w:rPr>
                <w:rFonts w:ascii="Verdana" w:hAnsi="Verdana"/>
                <w:sz w:val="22"/>
                <w:szCs w:val="22"/>
              </w:rPr>
              <w:t>.</w:t>
            </w:r>
          </w:p>
        </w:tc>
      </w:tr>
      <w:tr w:rsidR="00CB2996" w:rsidTr="00CB2996">
        <w:tc>
          <w:tcPr>
            <w:tcW w:w="4261" w:type="dxa"/>
          </w:tcPr>
          <w:p w:rsidR="00CB2996" w:rsidRDefault="00060536" w:rsidP="00060536">
            <w:pPr>
              <w:spacing w:after="240"/>
              <w:rPr>
                <w:rFonts w:ascii="Verdana" w:hAnsi="Verdana"/>
                <w:sz w:val="22"/>
                <w:szCs w:val="22"/>
              </w:rPr>
            </w:pPr>
            <w:r>
              <w:rPr>
                <w:rFonts w:ascii="Verdana" w:hAnsi="Verdana"/>
                <w:sz w:val="22"/>
                <w:szCs w:val="22"/>
              </w:rPr>
              <w:t>I</w:t>
            </w:r>
            <w:r w:rsidRPr="00060536">
              <w:rPr>
                <w:rFonts w:ascii="Verdana" w:hAnsi="Verdana"/>
                <w:sz w:val="22"/>
                <w:szCs w:val="22"/>
              </w:rPr>
              <w:t>gnores early repayments</w:t>
            </w:r>
            <w:r>
              <w:rPr>
                <w:rFonts w:ascii="Verdana" w:hAnsi="Verdana"/>
                <w:sz w:val="22"/>
                <w:szCs w:val="22"/>
              </w:rPr>
              <w:t>, death and disability</w:t>
            </w:r>
          </w:p>
        </w:tc>
        <w:tc>
          <w:tcPr>
            <w:tcW w:w="4261" w:type="dxa"/>
          </w:tcPr>
          <w:p w:rsidR="00CB2996" w:rsidRDefault="00060536" w:rsidP="00060536">
            <w:pPr>
              <w:spacing w:after="240"/>
              <w:rPr>
                <w:rFonts w:ascii="Verdana" w:hAnsi="Verdana"/>
                <w:sz w:val="22"/>
                <w:szCs w:val="22"/>
              </w:rPr>
            </w:pPr>
            <w:r>
              <w:rPr>
                <w:rFonts w:ascii="Verdana" w:hAnsi="Verdana"/>
                <w:sz w:val="22"/>
                <w:szCs w:val="22"/>
              </w:rPr>
              <w:t>Models</w:t>
            </w:r>
            <w:r w:rsidRPr="00060536">
              <w:rPr>
                <w:rFonts w:ascii="Verdana" w:hAnsi="Verdana"/>
                <w:sz w:val="22"/>
                <w:szCs w:val="22"/>
              </w:rPr>
              <w:t xml:space="preserve"> early repayments</w:t>
            </w:r>
            <w:r>
              <w:rPr>
                <w:rFonts w:ascii="Verdana" w:hAnsi="Verdana"/>
                <w:sz w:val="22"/>
                <w:szCs w:val="22"/>
              </w:rPr>
              <w:t>, death and disability</w:t>
            </w:r>
          </w:p>
        </w:tc>
      </w:tr>
      <w:tr w:rsidR="00CB2996" w:rsidTr="00CB2996">
        <w:tc>
          <w:tcPr>
            <w:tcW w:w="4261" w:type="dxa"/>
          </w:tcPr>
          <w:p w:rsidR="00CB2996" w:rsidRDefault="00060536" w:rsidP="00060536">
            <w:pPr>
              <w:spacing w:after="240"/>
              <w:rPr>
                <w:rFonts w:ascii="Verdana" w:hAnsi="Verdana"/>
                <w:sz w:val="22"/>
                <w:szCs w:val="22"/>
              </w:rPr>
            </w:pPr>
            <w:r>
              <w:rPr>
                <w:rFonts w:ascii="Verdana" w:hAnsi="Verdana"/>
                <w:sz w:val="22"/>
                <w:szCs w:val="22"/>
              </w:rPr>
              <w:t>Sets proportion of females at 55%</w:t>
            </w:r>
          </w:p>
        </w:tc>
        <w:tc>
          <w:tcPr>
            <w:tcW w:w="4261" w:type="dxa"/>
          </w:tcPr>
          <w:p w:rsidR="00CB2996" w:rsidRDefault="006E05BD" w:rsidP="00CB2996">
            <w:pPr>
              <w:spacing w:after="240"/>
              <w:rPr>
                <w:rFonts w:ascii="Verdana" w:hAnsi="Verdana"/>
                <w:sz w:val="22"/>
                <w:szCs w:val="22"/>
              </w:rPr>
            </w:pPr>
            <w:r>
              <w:rPr>
                <w:rFonts w:ascii="Verdana" w:hAnsi="Verdana"/>
                <w:sz w:val="22"/>
                <w:szCs w:val="22"/>
              </w:rPr>
              <w:t>Proportions of females estimated from SLC data.</w:t>
            </w:r>
          </w:p>
        </w:tc>
      </w:tr>
      <w:tr w:rsidR="006965A2" w:rsidTr="00CB2996">
        <w:tc>
          <w:tcPr>
            <w:tcW w:w="4261" w:type="dxa"/>
          </w:tcPr>
          <w:p w:rsidR="006965A2" w:rsidRDefault="006965A2" w:rsidP="00D448E2">
            <w:pPr>
              <w:spacing w:after="240"/>
              <w:rPr>
                <w:rFonts w:ascii="Verdana" w:hAnsi="Verdana"/>
                <w:sz w:val="22"/>
                <w:szCs w:val="22"/>
              </w:rPr>
            </w:pPr>
            <w:r>
              <w:rPr>
                <w:rFonts w:ascii="Verdana" w:hAnsi="Verdana"/>
                <w:sz w:val="22"/>
                <w:szCs w:val="22"/>
              </w:rPr>
              <w:t xml:space="preserve">RAB (base version) </w:t>
            </w:r>
            <w:r w:rsidR="00D448E2">
              <w:rPr>
                <w:rFonts w:ascii="Verdana" w:hAnsi="Verdana"/>
                <w:sz w:val="22"/>
                <w:szCs w:val="22"/>
              </w:rPr>
              <w:t>30.1</w:t>
            </w:r>
            <w:r>
              <w:rPr>
                <w:rFonts w:ascii="Verdana" w:hAnsi="Verdana"/>
                <w:sz w:val="22"/>
                <w:szCs w:val="22"/>
              </w:rPr>
              <w:t>%</w:t>
            </w:r>
          </w:p>
        </w:tc>
        <w:tc>
          <w:tcPr>
            <w:tcW w:w="4261" w:type="dxa"/>
          </w:tcPr>
          <w:p w:rsidR="006965A2" w:rsidRDefault="006965A2" w:rsidP="00CB2996">
            <w:pPr>
              <w:spacing w:after="240"/>
              <w:rPr>
                <w:rFonts w:ascii="Verdana" w:hAnsi="Verdana"/>
                <w:sz w:val="22"/>
                <w:szCs w:val="22"/>
              </w:rPr>
            </w:pPr>
            <w:r>
              <w:rPr>
                <w:rFonts w:ascii="Verdana" w:hAnsi="Verdana"/>
                <w:sz w:val="22"/>
                <w:szCs w:val="22"/>
              </w:rPr>
              <w:t>RAB 32% (base version)</w:t>
            </w:r>
          </w:p>
        </w:tc>
      </w:tr>
    </w:tbl>
    <w:p w:rsidR="00993151" w:rsidRDefault="00993151" w:rsidP="00993151">
      <w:pPr>
        <w:spacing w:after="240"/>
        <w:rPr>
          <w:rFonts w:ascii="Verdana" w:hAnsi="Verdana"/>
          <w:sz w:val="22"/>
          <w:szCs w:val="22"/>
        </w:rPr>
      </w:pPr>
    </w:p>
    <w:p w:rsidR="00C23251" w:rsidRPr="000D2461" w:rsidRDefault="00C23251" w:rsidP="00C23251">
      <w:pPr>
        <w:numPr>
          <w:ilvl w:val="0"/>
          <w:numId w:val="1"/>
        </w:numPr>
        <w:spacing w:after="240"/>
        <w:rPr>
          <w:rFonts w:ascii="Verdana" w:hAnsi="Verdana"/>
          <w:sz w:val="22"/>
          <w:szCs w:val="22"/>
        </w:rPr>
      </w:pPr>
      <w:r>
        <w:rPr>
          <w:rFonts w:ascii="Verdana" w:hAnsi="Verdana"/>
          <w:sz w:val="22"/>
          <w:szCs w:val="22"/>
        </w:rPr>
        <w:t xml:space="preserve">The simplified model </w:t>
      </w:r>
      <w:r w:rsidR="00C00D2A">
        <w:rPr>
          <w:rFonts w:ascii="Verdana" w:hAnsi="Verdana"/>
          <w:sz w:val="22"/>
          <w:szCs w:val="22"/>
        </w:rPr>
        <w:t xml:space="preserve">was not created </w:t>
      </w:r>
      <w:r>
        <w:rPr>
          <w:rFonts w:ascii="Verdana" w:hAnsi="Verdana"/>
          <w:sz w:val="22"/>
          <w:szCs w:val="22"/>
        </w:rPr>
        <w:t>to giv</w:t>
      </w:r>
      <w:r w:rsidR="00C00D2A">
        <w:rPr>
          <w:rFonts w:ascii="Verdana" w:hAnsi="Verdana"/>
          <w:sz w:val="22"/>
          <w:szCs w:val="22"/>
        </w:rPr>
        <w:t>e</w:t>
      </w:r>
      <w:r>
        <w:rPr>
          <w:rFonts w:ascii="Verdana" w:hAnsi="Verdana"/>
          <w:sz w:val="22"/>
          <w:szCs w:val="22"/>
        </w:rPr>
        <w:t xml:space="preserve"> the best overall estimate of the RAB</w:t>
      </w:r>
      <w:r w:rsidR="00651F5C">
        <w:rPr>
          <w:rFonts w:ascii="Verdana" w:hAnsi="Verdana"/>
          <w:sz w:val="22"/>
          <w:szCs w:val="22"/>
        </w:rPr>
        <w:t>.</w:t>
      </w:r>
      <w:r>
        <w:rPr>
          <w:rFonts w:ascii="Verdana" w:hAnsi="Verdana"/>
          <w:sz w:val="22"/>
          <w:szCs w:val="22"/>
        </w:rPr>
        <w:t xml:space="preserve"> BIS report</w:t>
      </w:r>
      <w:r w:rsidR="00222F0A">
        <w:rPr>
          <w:rFonts w:ascii="Verdana" w:hAnsi="Verdana"/>
          <w:sz w:val="22"/>
          <w:szCs w:val="22"/>
        </w:rPr>
        <w:t xml:space="preserve"> in the guide to the simplified model </w:t>
      </w:r>
      <w:r>
        <w:rPr>
          <w:rFonts w:ascii="Verdana" w:hAnsi="Verdana"/>
          <w:sz w:val="22"/>
          <w:szCs w:val="22"/>
        </w:rPr>
        <w:t>that it gave a value t</w:t>
      </w:r>
      <w:r w:rsidR="003D7BA8">
        <w:rPr>
          <w:rFonts w:ascii="Verdana" w:hAnsi="Verdana"/>
          <w:sz w:val="22"/>
          <w:szCs w:val="22"/>
        </w:rPr>
        <w:t>wo</w:t>
      </w:r>
      <w:r>
        <w:rPr>
          <w:rFonts w:ascii="Verdana" w:hAnsi="Verdana"/>
          <w:sz w:val="22"/>
          <w:szCs w:val="22"/>
        </w:rPr>
        <w:t xml:space="preserve"> percentage points lower than the full model </w:t>
      </w:r>
      <w:r w:rsidR="00222F0A">
        <w:rPr>
          <w:rFonts w:ascii="Verdana" w:hAnsi="Verdana"/>
          <w:sz w:val="22"/>
          <w:szCs w:val="22"/>
        </w:rPr>
        <w:t>with default parameters</w:t>
      </w:r>
      <w:r w:rsidR="00651F5C">
        <w:rPr>
          <w:rFonts w:ascii="Verdana" w:hAnsi="Verdana"/>
          <w:sz w:val="22"/>
          <w:szCs w:val="22"/>
        </w:rPr>
        <w:t>. T</w:t>
      </w:r>
      <w:r>
        <w:rPr>
          <w:rFonts w:ascii="Verdana" w:hAnsi="Verdana"/>
          <w:sz w:val="22"/>
          <w:szCs w:val="22"/>
        </w:rPr>
        <w:t xml:space="preserve">he simplified model is </w:t>
      </w:r>
      <w:r w:rsidR="00651F5C">
        <w:rPr>
          <w:rFonts w:ascii="Verdana" w:hAnsi="Verdana"/>
          <w:sz w:val="22"/>
          <w:szCs w:val="22"/>
        </w:rPr>
        <w:t xml:space="preserve">better viewed as </w:t>
      </w:r>
      <w:r>
        <w:rPr>
          <w:rFonts w:ascii="Verdana" w:hAnsi="Verdana"/>
          <w:sz w:val="22"/>
          <w:szCs w:val="22"/>
        </w:rPr>
        <w:t>a tool to carry out sensitivity analysis, to clarify the key processes that are common to full and simplified models</w:t>
      </w:r>
      <w:r w:rsidR="00651F5C">
        <w:rPr>
          <w:rFonts w:ascii="Verdana" w:hAnsi="Verdana"/>
          <w:sz w:val="22"/>
          <w:szCs w:val="22"/>
        </w:rPr>
        <w:t>,</w:t>
      </w:r>
      <w:r>
        <w:rPr>
          <w:rFonts w:ascii="Verdana" w:hAnsi="Verdana"/>
          <w:sz w:val="22"/>
          <w:szCs w:val="22"/>
        </w:rPr>
        <w:t xml:space="preserve"> and to explore the uncertainties in the RAB estimates.  </w:t>
      </w:r>
    </w:p>
    <w:p w:rsidR="001B6902" w:rsidRDefault="00C23251" w:rsidP="000D2461">
      <w:pPr>
        <w:numPr>
          <w:ilvl w:val="0"/>
          <w:numId w:val="1"/>
        </w:numPr>
        <w:spacing w:after="240"/>
        <w:rPr>
          <w:rFonts w:ascii="Verdana" w:hAnsi="Verdana"/>
          <w:sz w:val="22"/>
          <w:szCs w:val="22"/>
        </w:rPr>
      </w:pPr>
      <w:r>
        <w:rPr>
          <w:rFonts w:ascii="Verdana" w:hAnsi="Verdana"/>
          <w:sz w:val="22"/>
          <w:szCs w:val="22"/>
        </w:rPr>
        <w:t>For this reason t</w:t>
      </w:r>
      <w:r w:rsidR="000D2461">
        <w:rPr>
          <w:rFonts w:ascii="Verdana" w:hAnsi="Verdana"/>
          <w:sz w:val="22"/>
          <w:szCs w:val="22"/>
        </w:rPr>
        <w:t xml:space="preserve">he simplified model </w:t>
      </w:r>
      <w:r>
        <w:rPr>
          <w:rFonts w:ascii="Verdana" w:hAnsi="Verdana"/>
          <w:sz w:val="22"/>
          <w:szCs w:val="22"/>
        </w:rPr>
        <w:t xml:space="preserve">has not been </w:t>
      </w:r>
      <w:r w:rsidR="000D2461">
        <w:rPr>
          <w:rFonts w:ascii="Verdana" w:hAnsi="Verdana"/>
          <w:sz w:val="22"/>
          <w:szCs w:val="22"/>
        </w:rPr>
        <w:t xml:space="preserve">modified to give a more accurate estimate of the RAB, for example by changing the </w:t>
      </w:r>
      <w:r w:rsidR="000D2461">
        <w:rPr>
          <w:rFonts w:ascii="Verdana" w:hAnsi="Verdana"/>
          <w:sz w:val="22"/>
          <w:szCs w:val="22"/>
        </w:rPr>
        <w:lastRenderedPageBreak/>
        <w:t>proportion of females</w:t>
      </w:r>
      <w:r w:rsidR="0027004E">
        <w:rPr>
          <w:rStyle w:val="FootnoteReference"/>
          <w:rFonts w:ascii="Verdana" w:hAnsi="Verdana"/>
          <w:sz w:val="22"/>
          <w:szCs w:val="22"/>
        </w:rPr>
        <w:footnoteReference w:id="1"/>
      </w:r>
      <w:r w:rsidR="009B423F">
        <w:rPr>
          <w:rFonts w:ascii="Verdana" w:hAnsi="Verdana"/>
          <w:sz w:val="22"/>
          <w:szCs w:val="22"/>
        </w:rPr>
        <w:t>.</w:t>
      </w:r>
      <w:r w:rsidR="000D2461">
        <w:rPr>
          <w:rFonts w:ascii="Verdana" w:hAnsi="Verdana"/>
          <w:sz w:val="22"/>
          <w:szCs w:val="22"/>
        </w:rPr>
        <w:t xml:space="preserve"> All the results reported here use the simplified model as </w:t>
      </w:r>
      <w:r w:rsidR="004074BC">
        <w:rPr>
          <w:rFonts w:ascii="Verdana" w:hAnsi="Verdana"/>
          <w:sz w:val="22"/>
          <w:szCs w:val="22"/>
        </w:rPr>
        <w:t xml:space="preserve">originally </w:t>
      </w:r>
      <w:r w:rsidR="000D2461">
        <w:rPr>
          <w:rFonts w:ascii="Verdana" w:hAnsi="Verdana"/>
          <w:sz w:val="22"/>
          <w:szCs w:val="22"/>
        </w:rPr>
        <w:t>published by BIS with the default settings, apart from any changes specifically mentioned</w:t>
      </w:r>
      <w:r w:rsidR="001B6902">
        <w:rPr>
          <w:rFonts w:ascii="Verdana" w:hAnsi="Verdana"/>
          <w:sz w:val="22"/>
          <w:szCs w:val="22"/>
        </w:rPr>
        <w:t xml:space="preserve">. </w:t>
      </w:r>
      <w:r>
        <w:rPr>
          <w:rFonts w:ascii="Verdana" w:hAnsi="Verdana"/>
          <w:sz w:val="22"/>
          <w:szCs w:val="22"/>
        </w:rPr>
        <w:t>This should make comparisons with other analys</w:t>
      </w:r>
      <w:r w:rsidR="00B631E1">
        <w:rPr>
          <w:rFonts w:ascii="Verdana" w:hAnsi="Verdana"/>
          <w:sz w:val="22"/>
          <w:szCs w:val="22"/>
        </w:rPr>
        <w:t>es</w:t>
      </w:r>
      <w:r>
        <w:rPr>
          <w:rFonts w:ascii="Verdana" w:hAnsi="Verdana"/>
          <w:sz w:val="22"/>
          <w:szCs w:val="22"/>
        </w:rPr>
        <w:t xml:space="preserve"> more straightforward without compromising the usefulness of the simplified model to carry out ‘what if’ analysis.</w:t>
      </w:r>
    </w:p>
    <w:p w:rsidR="003D7BA8" w:rsidRDefault="003D7BA8" w:rsidP="000D2461">
      <w:pPr>
        <w:numPr>
          <w:ilvl w:val="0"/>
          <w:numId w:val="1"/>
        </w:numPr>
        <w:spacing w:after="240"/>
        <w:rPr>
          <w:rFonts w:ascii="Verdana" w:hAnsi="Verdana"/>
          <w:sz w:val="22"/>
          <w:szCs w:val="22"/>
        </w:rPr>
      </w:pPr>
      <w:r>
        <w:rPr>
          <w:rFonts w:ascii="Verdana" w:hAnsi="Verdana"/>
          <w:sz w:val="22"/>
          <w:szCs w:val="22"/>
        </w:rPr>
        <w:t xml:space="preserve">The </w:t>
      </w:r>
      <w:r w:rsidR="00652759">
        <w:rPr>
          <w:rFonts w:ascii="Verdana" w:hAnsi="Verdana"/>
          <w:sz w:val="22"/>
          <w:szCs w:val="22"/>
        </w:rPr>
        <w:t>model</w:t>
      </w:r>
      <w:r>
        <w:rPr>
          <w:rFonts w:ascii="Verdana" w:hAnsi="Verdana"/>
          <w:sz w:val="22"/>
          <w:szCs w:val="22"/>
        </w:rPr>
        <w:t xml:space="preserve"> do</w:t>
      </w:r>
      <w:r w:rsidR="00652759">
        <w:rPr>
          <w:rFonts w:ascii="Verdana" w:hAnsi="Verdana"/>
          <w:sz w:val="22"/>
          <w:szCs w:val="22"/>
        </w:rPr>
        <w:t>es</w:t>
      </w:r>
      <w:r>
        <w:rPr>
          <w:rFonts w:ascii="Verdana" w:hAnsi="Verdana"/>
          <w:sz w:val="22"/>
          <w:szCs w:val="22"/>
        </w:rPr>
        <w:t xml:space="preserve"> not give consistent results</w:t>
      </w:r>
      <w:r w:rsidR="00D448E2">
        <w:rPr>
          <w:rFonts w:ascii="Verdana" w:hAnsi="Verdana"/>
          <w:sz w:val="22"/>
          <w:szCs w:val="22"/>
        </w:rPr>
        <w:t xml:space="preserve"> with the percentage female parameter set to 55 per cent</w:t>
      </w:r>
      <w:r>
        <w:rPr>
          <w:rFonts w:ascii="Verdana" w:hAnsi="Verdana"/>
          <w:sz w:val="22"/>
          <w:szCs w:val="22"/>
        </w:rPr>
        <w:t xml:space="preserve">. Rerunning a </w:t>
      </w:r>
      <w:r w:rsidR="00652759">
        <w:rPr>
          <w:rFonts w:ascii="Verdana" w:hAnsi="Verdana"/>
          <w:sz w:val="22"/>
          <w:szCs w:val="22"/>
        </w:rPr>
        <w:t>calculation</w:t>
      </w:r>
      <w:r>
        <w:rPr>
          <w:rFonts w:ascii="Verdana" w:hAnsi="Verdana"/>
          <w:sz w:val="22"/>
          <w:szCs w:val="22"/>
        </w:rPr>
        <w:t xml:space="preserve"> gives different answers which can, through rounding, change the value to a who</w:t>
      </w:r>
      <w:r w:rsidR="00D448E2">
        <w:rPr>
          <w:rFonts w:ascii="Verdana" w:hAnsi="Verdana"/>
          <w:sz w:val="22"/>
          <w:szCs w:val="22"/>
        </w:rPr>
        <w:t>le</w:t>
      </w:r>
      <w:r>
        <w:rPr>
          <w:rFonts w:ascii="Verdana" w:hAnsi="Verdana"/>
          <w:sz w:val="22"/>
          <w:szCs w:val="22"/>
        </w:rPr>
        <w:t xml:space="preserve"> percentage, and </w:t>
      </w:r>
      <w:r w:rsidR="00652759">
        <w:rPr>
          <w:rFonts w:ascii="Verdana" w:hAnsi="Verdana"/>
          <w:sz w:val="22"/>
          <w:szCs w:val="22"/>
        </w:rPr>
        <w:t xml:space="preserve">which </w:t>
      </w:r>
      <w:r>
        <w:rPr>
          <w:rFonts w:ascii="Verdana" w:hAnsi="Verdana"/>
          <w:sz w:val="22"/>
          <w:szCs w:val="22"/>
        </w:rPr>
        <w:t xml:space="preserve">also makes it difficult to measure the sensitivity of the RAB to small changes. </w:t>
      </w:r>
      <w:r w:rsidR="00D448E2">
        <w:rPr>
          <w:rFonts w:ascii="Verdana" w:hAnsi="Verdana"/>
          <w:sz w:val="22"/>
          <w:szCs w:val="22"/>
        </w:rPr>
        <w:t>It is unclear why it was constructed in this way, because all the functional randomisation is done in preparing the matrix of pathways which are then held in a static table. To avoid these variations, the values in this annex were calculated by first setting the percent female variable to 100 per cent, and then to 0 per cent, and combining the values assuming 55 per cent female.</w:t>
      </w:r>
    </w:p>
    <w:p w:rsidR="001B6902" w:rsidRPr="0005291E" w:rsidRDefault="00FA34CF" w:rsidP="00191BA7">
      <w:pPr>
        <w:numPr>
          <w:ilvl w:val="0"/>
          <w:numId w:val="1"/>
        </w:numPr>
        <w:spacing w:after="240"/>
        <w:rPr>
          <w:rFonts w:ascii="Verdana" w:hAnsi="Verdana"/>
          <w:sz w:val="22"/>
          <w:szCs w:val="22"/>
        </w:rPr>
      </w:pPr>
      <w:r>
        <w:rPr>
          <w:rFonts w:ascii="Verdana" w:hAnsi="Verdana"/>
          <w:sz w:val="22"/>
          <w:szCs w:val="22"/>
        </w:rPr>
        <w:t>The simplified model focuses on</w:t>
      </w:r>
      <w:r w:rsidR="00383770">
        <w:rPr>
          <w:rFonts w:ascii="Verdana" w:hAnsi="Verdana"/>
          <w:sz w:val="22"/>
          <w:szCs w:val="22"/>
        </w:rPr>
        <w:t xml:space="preserve"> </w:t>
      </w:r>
      <w:r w:rsidR="00333A2B">
        <w:rPr>
          <w:rFonts w:ascii="Verdana" w:hAnsi="Verdana"/>
          <w:sz w:val="22"/>
          <w:szCs w:val="22"/>
        </w:rPr>
        <w:t xml:space="preserve">a </w:t>
      </w:r>
      <w:r w:rsidR="00383770">
        <w:rPr>
          <w:rFonts w:ascii="Verdana" w:hAnsi="Verdana"/>
          <w:sz w:val="22"/>
          <w:szCs w:val="22"/>
        </w:rPr>
        <w:t>common</w:t>
      </w:r>
      <w:r w:rsidR="00333A2B">
        <w:rPr>
          <w:rFonts w:ascii="Verdana" w:hAnsi="Verdana"/>
          <w:sz w:val="22"/>
          <w:szCs w:val="22"/>
        </w:rPr>
        <w:t xml:space="preserve"> </w:t>
      </w:r>
      <w:r>
        <w:rPr>
          <w:rFonts w:ascii="Verdana" w:hAnsi="Verdana"/>
          <w:sz w:val="22"/>
          <w:szCs w:val="22"/>
        </w:rPr>
        <w:t>group of former students. The data sets for this group are larger and less problematic tha</w:t>
      </w:r>
      <w:r w:rsidR="00B631E1">
        <w:rPr>
          <w:rFonts w:ascii="Verdana" w:hAnsi="Verdana"/>
          <w:sz w:val="22"/>
          <w:szCs w:val="22"/>
        </w:rPr>
        <w:t>n</w:t>
      </w:r>
      <w:r>
        <w:rPr>
          <w:rFonts w:ascii="Verdana" w:hAnsi="Verdana"/>
          <w:sz w:val="22"/>
          <w:szCs w:val="22"/>
        </w:rPr>
        <w:t xml:space="preserve"> for th</w:t>
      </w:r>
      <w:r w:rsidR="009B423F">
        <w:rPr>
          <w:rFonts w:ascii="Verdana" w:hAnsi="Verdana"/>
          <w:sz w:val="22"/>
          <w:szCs w:val="22"/>
        </w:rPr>
        <w:t xml:space="preserve">ose </w:t>
      </w:r>
      <w:r w:rsidR="00651F5C">
        <w:rPr>
          <w:rFonts w:ascii="Verdana" w:hAnsi="Verdana"/>
          <w:sz w:val="22"/>
          <w:szCs w:val="22"/>
        </w:rPr>
        <w:t xml:space="preserve">groups </w:t>
      </w:r>
      <w:r w:rsidR="00124B2C">
        <w:rPr>
          <w:rFonts w:ascii="Verdana" w:hAnsi="Verdana"/>
          <w:sz w:val="22"/>
          <w:szCs w:val="22"/>
        </w:rPr>
        <w:t>that</w:t>
      </w:r>
      <w:r>
        <w:rPr>
          <w:rFonts w:ascii="Verdana" w:hAnsi="Verdana"/>
          <w:sz w:val="22"/>
          <w:szCs w:val="22"/>
        </w:rPr>
        <w:t xml:space="preserve"> are only included in the full model. This is particularly true </w:t>
      </w:r>
      <w:r w:rsidR="00C2497A">
        <w:rPr>
          <w:rFonts w:ascii="Verdana" w:hAnsi="Verdana"/>
          <w:sz w:val="22"/>
          <w:szCs w:val="22"/>
        </w:rPr>
        <w:t>of non-complet</w:t>
      </w:r>
      <w:r w:rsidR="001B6902">
        <w:rPr>
          <w:rFonts w:ascii="Verdana" w:hAnsi="Verdana"/>
          <w:sz w:val="22"/>
          <w:szCs w:val="22"/>
        </w:rPr>
        <w:t>e</w:t>
      </w:r>
      <w:r w:rsidR="00C2497A">
        <w:rPr>
          <w:rFonts w:ascii="Verdana" w:hAnsi="Verdana"/>
          <w:sz w:val="22"/>
          <w:szCs w:val="22"/>
        </w:rPr>
        <w:t>rs and non-UK EU former students, where setting the parameters</w:t>
      </w:r>
      <w:r w:rsidR="001B6902">
        <w:rPr>
          <w:rFonts w:ascii="Verdana" w:hAnsi="Verdana"/>
          <w:sz w:val="22"/>
          <w:szCs w:val="22"/>
        </w:rPr>
        <w:t xml:space="preserve"> is</w:t>
      </w:r>
      <w:r w:rsidR="00C2497A">
        <w:rPr>
          <w:rFonts w:ascii="Verdana" w:hAnsi="Verdana"/>
          <w:sz w:val="22"/>
          <w:szCs w:val="22"/>
        </w:rPr>
        <w:t xml:space="preserve"> larg</w:t>
      </w:r>
      <w:r w:rsidR="001B6902">
        <w:rPr>
          <w:rFonts w:ascii="Verdana" w:hAnsi="Verdana"/>
          <w:sz w:val="22"/>
          <w:szCs w:val="22"/>
        </w:rPr>
        <w:t>ely</w:t>
      </w:r>
      <w:r w:rsidR="00C2497A">
        <w:rPr>
          <w:rFonts w:ascii="Verdana" w:hAnsi="Verdana"/>
          <w:sz w:val="22"/>
          <w:szCs w:val="22"/>
        </w:rPr>
        <w:t xml:space="preserve"> a question of judgement. The features ignored by the simple model, like early repayments, necessarily rely on data from </w:t>
      </w:r>
      <w:r w:rsidR="001B6902">
        <w:rPr>
          <w:rFonts w:ascii="Verdana" w:hAnsi="Verdana"/>
          <w:sz w:val="22"/>
          <w:szCs w:val="22"/>
        </w:rPr>
        <w:t>the SLC and HM</w:t>
      </w:r>
      <w:r w:rsidR="00057501">
        <w:rPr>
          <w:rFonts w:ascii="Verdana" w:hAnsi="Verdana"/>
          <w:sz w:val="22"/>
          <w:szCs w:val="22"/>
        </w:rPr>
        <w:t>RC</w:t>
      </w:r>
      <w:r w:rsidR="001B6902">
        <w:rPr>
          <w:rFonts w:ascii="Verdana" w:hAnsi="Verdana"/>
          <w:sz w:val="22"/>
          <w:szCs w:val="22"/>
        </w:rPr>
        <w:t xml:space="preserve"> about the current loans, and, clearly, there will be a large degree of uncertainty in extrapolating to the new system with the much large loans and different repayment regulations. From this we may conclude that </w:t>
      </w:r>
      <w:r>
        <w:rPr>
          <w:rFonts w:ascii="Verdana" w:hAnsi="Verdana"/>
          <w:sz w:val="22"/>
          <w:szCs w:val="22"/>
        </w:rPr>
        <w:t xml:space="preserve">the </w:t>
      </w:r>
      <w:r w:rsidR="001B6902">
        <w:rPr>
          <w:rFonts w:ascii="Verdana" w:hAnsi="Verdana"/>
          <w:sz w:val="22"/>
          <w:szCs w:val="22"/>
        </w:rPr>
        <w:t>uncertainties in the estimate of the overall RAB, as calculated by the full model, will be greater tha</w:t>
      </w:r>
      <w:r w:rsidR="00B631E1">
        <w:rPr>
          <w:rFonts w:ascii="Verdana" w:hAnsi="Verdana"/>
          <w:sz w:val="22"/>
          <w:szCs w:val="22"/>
        </w:rPr>
        <w:t>n</w:t>
      </w:r>
      <w:r w:rsidR="001B6902">
        <w:rPr>
          <w:rFonts w:ascii="Verdana" w:hAnsi="Verdana"/>
          <w:sz w:val="22"/>
          <w:szCs w:val="22"/>
        </w:rPr>
        <w:t xml:space="preserve"> the uncertainties found </w:t>
      </w:r>
      <w:r w:rsidR="001B6902" w:rsidRPr="0005291E">
        <w:rPr>
          <w:rFonts w:ascii="Verdana" w:hAnsi="Verdana"/>
          <w:sz w:val="22"/>
          <w:szCs w:val="22"/>
        </w:rPr>
        <w:t>for the simplified model.</w:t>
      </w:r>
    </w:p>
    <w:p w:rsidR="0005291E" w:rsidRPr="009B54B8" w:rsidRDefault="00124B2C" w:rsidP="0005291E">
      <w:pPr>
        <w:pStyle w:val="ListParagraph"/>
        <w:spacing w:after="240"/>
        <w:ind w:left="0"/>
        <w:rPr>
          <w:rFonts w:ascii="Verdana" w:hAnsi="Verdana"/>
          <w:b/>
          <w:sz w:val="24"/>
          <w:szCs w:val="24"/>
        </w:rPr>
      </w:pPr>
      <w:r>
        <w:rPr>
          <w:rFonts w:ascii="Verdana" w:hAnsi="Verdana"/>
          <w:b/>
          <w:sz w:val="24"/>
          <w:szCs w:val="24"/>
        </w:rPr>
        <w:t xml:space="preserve">Former students’ </w:t>
      </w:r>
      <w:r w:rsidR="0005291E" w:rsidRPr="009B54B8">
        <w:rPr>
          <w:rFonts w:ascii="Verdana" w:hAnsi="Verdana"/>
          <w:b/>
          <w:sz w:val="24"/>
          <w:szCs w:val="24"/>
        </w:rPr>
        <w:t xml:space="preserve">earnings in 2016 </w:t>
      </w:r>
    </w:p>
    <w:p w:rsidR="0005291E" w:rsidRPr="009B54B8" w:rsidRDefault="0005291E" w:rsidP="009B54B8">
      <w:pPr>
        <w:pStyle w:val="ListParagraph"/>
        <w:numPr>
          <w:ilvl w:val="0"/>
          <w:numId w:val="1"/>
        </w:numPr>
        <w:spacing w:after="240"/>
        <w:rPr>
          <w:rFonts w:ascii="Verdana" w:hAnsi="Verdana"/>
          <w:sz w:val="24"/>
          <w:szCs w:val="24"/>
        </w:rPr>
      </w:pPr>
      <w:r>
        <w:rPr>
          <w:rFonts w:ascii="Verdana" w:hAnsi="Verdana"/>
          <w:sz w:val="22"/>
          <w:szCs w:val="22"/>
        </w:rPr>
        <w:t xml:space="preserve">When the repayment conditions were announced in 2010, the repayment and high interest earning thresholds were set at £21,000 and £41,000 in 2016 prices, the first year for repayments of the new arrangements.  After that these thresholds are to be updated annually in line with average earnings. This means that the cost of the loans over the long term is sensitive to graduate earnings in 2016. </w:t>
      </w:r>
      <w:r w:rsidR="00292ECC">
        <w:rPr>
          <w:rFonts w:ascii="Verdana" w:hAnsi="Verdana"/>
          <w:sz w:val="22"/>
          <w:szCs w:val="22"/>
        </w:rPr>
        <w:t xml:space="preserve">We first consider the forecasts </w:t>
      </w:r>
      <w:r w:rsidR="00B631E1">
        <w:rPr>
          <w:rFonts w:ascii="Verdana" w:hAnsi="Verdana"/>
          <w:sz w:val="22"/>
          <w:szCs w:val="22"/>
        </w:rPr>
        <w:t xml:space="preserve">for </w:t>
      </w:r>
      <w:r w:rsidR="00292ECC">
        <w:rPr>
          <w:rFonts w:ascii="Verdana" w:hAnsi="Verdana"/>
          <w:sz w:val="22"/>
          <w:szCs w:val="22"/>
        </w:rPr>
        <w:t>inflation</w:t>
      </w:r>
      <w:r w:rsidR="009F7ABF">
        <w:rPr>
          <w:rFonts w:ascii="Verdana" w:hAnsi="Verdana"/>
          <w:sz w:val="22"/>
          <w:szCs w:val="22"/>
        </w:rPr>
        <w:t xml:space="preserve"> </w:t>
      </w:r>
      <w:r w:rsidR="00292ECC">
        <w:rPr>
          <w:rFonts w:ascii="Verdana" w:hAnsi="Verdana"/>
          <w:sz w:val="22"/>
          <w:szCs w:val="22"/>
        </w:rPr>
        <w:t xml:space="preserve">from 2012, and </w:t>
      </w:r>
      <w:r w:rsidR="00222F0A">
        <w:rPr>
          <w:rFonts w:ascii="Verdana" w:hAnsi="Verdana"/>
          <w:sz w:val="22"/>
          <w:szCs w:val="22"/>
        </w:rPr>
        <w:t>then look at how earnings of recent graduates have changed since 2009.</w:t>
      </w:r>
      <w:r w:rsidR="009B54B8">
        <w:rPr>
          <w:rFonts w:ascii="Verdana" w:hAnsi="Verdana"/>
          <w:sz w:val="22"/>
          <w:szCs w:val="22"/>
        </w:rPr>
        <w:t xml:space="preserve"> </w:t>
      </w:r>
      <w:r w:rsidRPr="0005291E">
        <w:rPr>
          <w:rFonts w:ascii="Verdana" w:hAnsi="Verdana"/>
          <w:sz w:val="24"/>
          <w:szCs w:val="24"/>
        </w:rPr>
        <w:t xml:space="preserve"> </w:t>
      </w:r>
    </w:p>
    <w:p w:rsidR="00652759" w:rsidRDefault="00652759" w:rsidP="00651F5C">
      <w:pPr>
        <w:spacing w:after="240"/>
        <w:rPr>
          <w:rFonts w:ascii="Verdana" w:hAnsi="Verdana"/>
          <w:sz w:val="22"/>
          <w:szCs w:val="22"/>
          <w:u w:val="single"/>
        </w:rPr>
      </w:pPr>
    </w:p>
    <w:p w:rsidR="00805EED" w:rsidRPr="00805EED" w:rsidRDefault="00805EED" w:rsidP="00651F5C">
      <w:pPr>
        <w:spacing w:after="240"/>
        <w:rPr>
          <w:rFonts w:ascii="Verdana" w:hAnsi="Verdana"/>
          <w:sz w:val="22"/>
          <w:szCs w:val="22"/>
          <w:u w:val="single"/>
        </w:rPr>
      </w:pPr>
      <w:r w:rsidRPr="00805EED">
        <w:rPr>
          <w:rFonts w:ascii="Verdana" w:hAnsi="Verdana"/>
          <w:sz w:val="22"/>
          <w:szCs w:val="22"/>
          <w:u w:val="single"/>
        </w:rPr>
        <w:lastRenderedPageBreak/>
        <w:t>Impact of inflation</w:t>
      </w:r>
    </w:p>
    <w:p w:rsidR="00222F0A" w:rsidRPr="00222F0A" w:rsidRDefault="00222F0A" w:rsidP="00222F0A">
      <w:pPr>
        <w:spacing w:after="240"/>
        <w:rPr>
          <w:rFonts w:ascii="Verdana" w:hAnsi="Verdana"/>
          <w:sz w:val="22"/>
          <w:szCs w:val="22"/>
          <w:u w:val="single"/>
        </w:rPr>
      </w:pPr>
      <w:r w:rsidRPr="00222F0A">
        <w:rPr>
          <w:rFonts w:ascii="Verdana" w:hAnsi="Verdana"/>
          <w:sz w:val="22"/>
          <w:szCs w:val="22"/>
          <w:u w:val="single"/>
        </w:rPr>
        <w:t>Table 1: Changes in inflation assumptions to 2016</w:t>
      </w:r>
    </w:p>
    <w:tbl>
      <w:tblPr>
        <w:tblStyle w:val="TableGrid"/>
        <w:tblW w:w="0" w:type="auto"/>
        <w:tblLook w:val="04A0" w:firstRow="1" w:lastRow="0" w:firstColumn="1" w:lastColumn="0" w:noHBand="0" w:noVBand="1"/>
      </w:tblPr>
      <w:tblGrid>
        <w:gridCol w:w="6629"/>
        <w:gridCol w:w="1893"/>
      </w:tblGrid>
      <w:tr w:rsidR="00887F8D" w:rsidTr="00887F8D">
        <w:tc>
          <w:tcPr>
            <w:tcW w:w="6629" w:type="dxa"/>
          </w:tcPr>
          <w:p w:rsidR="00887F8D" w:rsidRDefault="00887F8D" w:rsidP="00805EED">
            <w:pPr>
              <w:spacing w:after="240"/>
              <w:jc w:val="center"/>
              <w:rPr>
                <w:rFonts w:ascii="Verdana" w:hAnsi="Verdana"/>
                <w:sz w:val="22"/>
                <w:szCs w:val="22"/>
              </w:rPr>
            </w:pPr>
            <w:r>
              <w:rPr>
                <w:rFonts w:ascii="Verdana" w:hAnsi="Verdana"/>
                <w:sz w:val="22"/>
                <w:szCs w:val="22"/>
              </w:rPr>
              <w:t>Percentage point increase (decrease) in RPI for each year 2012-2016 compared to values used in BIS model.</w:t>
            </w:r>
          </w:p>
        </w:tc>
        <w:tc>
          <w:tcPr>
            <w:tcW w:w="1893" w:type="dxa"/>
          </w:tcPr>
          <w:p w:rsidR="00887F8D" w:rsidRDefault="00887F8D" w:rsidP="00805EED">
            <w:pPr>
              <w:spacing w:after="240"/>
              <w:jc w:val="center"/>
              <w:rPr>
                <w:rFonts w:ascii="Verdana" w:hAnsi="Verdana"/>
                <w:sz w:val="22"/>
                <w:szCs w:val="22"/>
              </w:rPr>
            </w:pPr>
            <w:r>
              <w:rPr>
                <w:rFonts w:ascii="Verdana" w:hAnsi="Verdana"/>
                <w:sz w:val="22"/>
                <w:szCs w:val="22"/>
              </w:rPr>
              <w:t>RAB</w:t>
            </w:r>
          </w:p>
        </w:tc>
      </w:tr>
      <w:tr w:rsidR="00887F8D" w:rsidTr="00993151">
        <w:trPr>
          <w:trHeight w:val="227"/>
        </w:trPr>
        <w:tc>
          <w:tcPr>
            <w:tcW w:w="6629" w:type="dxa"/>
          </w:tcPr>
          <w:p w:rsidR="00887F8D" w:rsidRDefault="00805EED" w:rsidP="00805EED">
            <w:pPr>
              <w:spacing w:after="240"/>
              <w:jc w:val="center"/>
              <w:rPr>
                <w:rFonts w:ascii="Verdana" w:hAnsi="Verdana"/>
                <w:sz w:val="22"/>
                <w:szCs w:val="22"/>
              </w:rPr>
            </w:pPr>
            <w:r>
              <w:rPr>
                <w:rFonts w:ascii="Verdana" w:hAnsi="Verdana"/>
                <w:sz w:val="22"/>
                <w:szCs w:val="22"/>
              </w:rPr>
              <w:t>(2.0%)</w:t>
            </w:r>
          </w:p>
        </w:tc>
        <w:tc>
          <w:tcPr>
            <w:tcW w:w="1893" w:type="dxa"/>
          </w:tcPr>
          <w:p w:rsidR="00887F8D" w:rsidRDefault="00610C4A" w:rsidP="00610C4A">
            <w:pPr>
              <w:spacing w:after="240"/>
              <w:jc w:val="center"/>
              <w:rPr>
                <w:rFonts w:ascii="Verdana" w:hAnsi="Verdana"/>
                <w:sz w:val="22"/>
                <w:szCs w:val="22"/>
              </w:rPr>
            </w:pPr>
            <w:r>
              <w:rPr>
                <w:rFonts w:ascii="Verdana" w:hAnsi="Verdana"/>
                <w:sz w:val="22"/>
                <w:szCs w:val="22"/>
              </w:rPr>
              <w:t>34.0</w:t>
            </w:r>
            <w:r w:rsidR="00805EED">
              <w:rPr>
                <w:rFonts w:ascii="Verdana" w:hAnsi="Verdana"/>
                <w:sz w:val="22"/>
                <w:szCs w:val="22"/>
              </w:rPr>
              <w:t>%</w:t>
            </w:r>
          </w:p>
        </w:tc>
      </w:tr>
      <w:tr w:rsidR="00887F8D" w:rsidTr="00993151">
        <w:trPr>
          <w:trHeight w:val="227"/>
        </w:trPr>
        <w:tc>
          <w:tcPr>
            <w:tcW w:w="6629" w:type="dxa"/>
          </w:tcPr>
          <w:p w:rsidR="00887F8D" w:rsidRDefault="00805EED" w:rsidP="00805EED">
            <w:pPr>
              <w:spacing w:after="240"/>
              <w:jc w:val="center"/>
              <w:rPr>
                <w:rFonts w:ascii="Verdana" w:hAnsi="Verdana"/>
                <w:sz w:val="22"/>
                <w:szCs w:val="22"/>
              </w:rPr>
            </w:pPr>
            <w:r>
              <w:rPr>
                <w:rFonts w:ascii="Verdana" w:hAnsi="Verdana"/>
                <w:sz w:val="22"/>
                <w:szCs w:val="22"/>
              </w:rPr>
              <w:t>(1.0%)</w:t>
            </w:r>
          </w:p>
        </w:tc>
        <w:tc>
          <w:tcPr>
            <w:tcW w:w="1893" w:type="dxa"/>
          </w:tcPr>
          <w:p w:rsidR="00887F8D" w:rsidRDefault="00805EED" w:rsidP="00610C4A">
            <w:pPr>
              <w:spacing w:after="240"/>
              <w:jc w:val="center"/>
              <w:rPr>
                <w:rFonts w:ascii="Verdana" w:hAnsi="Verdana"/>
                <w:sz w:val="22"/>
                <w:szCs w:val="22"/>
              </w:rPr>
            </w:pPr>
            <w:r>
              <w:rPr>
                <w:rFonts w:ascii="Verdana" w:hAnsi="Verdana"/>
                <w:sz w:val="22"/>
                <w:szCs w:val="22"/>
              </w:rPr>
              <w:t>3</w:t>
            </w:r>
            <w:r w:rsidR="00610C4A">
              <w:rPr>
                <w:rFonts w:ascii="Verdana" w:hAnsi="Verdana"/>
                <w:sz w:val="22"/>
                <w:szCs w:val="22"/>
              </w:rPr>
              <w:t>2.0</w:t>
            </w:r>
            <w:r>
              <w:rPr>
                <w:rFonts w:ascii="Verdana" w:hAnsi="Verdana"/>
                <w:sz w:val="22"/>
                <w:szCs w:val="22"/>
              </w:rPr>
              <w:t>%</w:t>
            </w:r>
          </w:p>
        </w:tc>
      </w:tr>
      <w:tr w:rsidR="00887F8D" w:rsidTr="00993151">
        <w:trPr>
          <w:trHeight w:val="227"/>
        </w:trPr>
        <w:tc>
          <w:tcPr>
            <w:tcW w:w="6629" w:type="dxa"/>
          </w:tcPr>
          <w:p w:rsidR="00887F8D" w:rsidRDefault="00805EED" w:rsidP="00805EED">
            <w:pPr>
              <w:spacing w:after="240"/>
              <w:jc w:val="center"/>
              <w:rPr>
                <w:rFonts w:ascii="Verdana" w:hAnsi="Verdana"/>
                <w:sz w:val="22"/>
                <w:szCs w:val="22"/>
              </w:rPr>
            </w:pPr>
            <w:r>
              <w:rPr>
                <w:rFonts w:ascii="Verdana" w:hAnsi="Verdana"/>
                <w:sz w:val="22"/>
                <w:szCs w:val="22"/>
              </w:rPr>
              <w:t>0.0%</w:t>
            </w:r>
          </w:p>
        </w:tc>
        <w:tc>
          <w:tcPr>
            <w:tcW w:w="1893" w:type="dxa"/>
          </w:tcPr>
          <w:p w:rsidR="00887F8D" w:rsidRDefault="00610C4A" w:rsidP="00610C4A">
            <w:pPr>
              <w:spacing w:after="240"/>
              <w:jc w:val="center"/>
              <w:rPr>
                <w:rFonts w:ascii="Verdana" w:hAnsi="Verdana"/>
                <w:sz w:val="22"/>
                <w:szCs w:val="22"/>
              </w:rPr>
            </w:pPr>
            <w:r>
              <w:rPr>
                <w:rFonts w:ascii="Verdana" w:hAnsi="Verdana"/>
                <w:sz w:val="22"/>
                <w:szCs w:val="22"/>
              </w:rPr>
              <w:t>30.1</w:t>
            </w:r>
            <w:r w:rsidR="00805EED">
              <w:rPr>
                <w:rFonts w:ascii="Verdana" w:hAnsi="Verdana"/>
                <w:sz w:val="22"/>
                <w:szCs w:val="22"/>
              </w:rPr>
              <w:t>%</w:t>
            </w:r>
          </w:p>
        </w:tc>
      </w:tr>
      <w:tr w:rsidR="00887F8D" w:rsidTr="00993151">
        <w:trPr>
          <w:trHeight w:val="227"/>
        </w:trPr>
        <w:tc>
          <w:tcPr>
            <w:tcW w:w="6629" w:type="dxa"/>
          </w:tcPr>
          <w:p w:rsidR="00887F8D" w:rsidRDefault="00805EED" w:rsidP="00805EED">
            <w:pPr>
              <w:spacing w:after="240"/>
              <w:jc w:val="center"/>
              <w:rPr>
                <w:rFonts w:ascii="Verdana" w:hAnsi="Verdana"/>
                <w:sz w:val="22"/>
                <w:szCs w:val="22"/>
              </w:rPr>
            </w:pPr>
            <w:r>
              <w:rPr>
                <w:rFonts w:ascii="Verdana" w:hAnsi="Verdana"/>
                <w:sz w:val="22"/>
                <w:szCs w:val="22"/>
              </w:rPr>
              <w:t>1.0%</w:t>
            </w:r>
          </w:p>
        </w:tc>
        <w:tc>
          <w:tcPr>
            <w:tcW w:w="1893" w:type="dxa"/>
          </w:tcPr>
          <w:p w:rsidR="00887F8D" w:rsidRDefault="00805EED" w:rsidP="00610C4A">
            <w:pPr>
              <w:spacing w:after="240"/>
              <w:jc w:val="center"/>
              <w:rPr>
                <w:rFonts w:ascii="Verdana" w:hAnsi="Verdana"/>
                <w:sz w:val="22"/>
                <w:szCs w:val="22"/>
              </w:rPr>
            </w:pPr>
            <w:r>
              <w:rPr>
                <w:rFonts w:ascii="Verdana" w:hAnsi="Verdana"/>
                <w:sz w:val="22"/>
                <w:szCs w:val="22"/>
              </w:rPr>
              <w:t>2</w:t>
            </w:r>
            <w:r w:rsidR="00610C4A">
              <w:rPr>
                <w:rFonts w:ascii="Verdana" w:hAnsi="Verdana"/>
                <w:sz w:val="22"/>
                <w:szCs w:val="22"/>
              </w:rPr>
              <w:t>8.2</w:t>
            </w:r>
            <w:r>
              <w:rPr>
                <w:rFonts w:ascii="Verdana" w:hAnsi="Verdana"/>
                <w:sz w:val="22"/>
                <w:szCs w:val="22"/>
              </w:rPr>
              <w:t>%</w:t>
            </w:r>
          </w:p>
        </w:tc>
      </w:tr>
      <w:tr w:rsidR="00B640FE" w:rsidTr="00993151">
        <w:trPr>
          <w:trHeight w:val="227"/>
        </w:trPr>
        <w:tc>
          <w:tcPr>
            <w:tcW w:w="6629" w:type="dxa"/>
          </w:tcPr>
          <w:p w:rsidR="00B640FE" w:rsidRDefault="00805EED" w:rsidP="00805EED">
            <w:pPr>
              <w:spacing w:after="240"/>
              <w:jc w:val="center"/>
              <w:rPr>
                <w:rFonts w:ascii="Verdana" w:hAnsi="Verdana"/>
                <w:sz w:val="22"/>
                <w:szCs w:val="22"/>
              </w:rPr>
            </w:pPr>
            <w:r>
              <w:rPr>
                <w:rFonts w:ascii="Verdana" w:hAnsi="Verdana"/>
                <w:sz w:val="22"/>
                <w:szCs w:val="22"/>
              </w:rPr>
              <w:t>2.0%</w:t>
            </w:r>
          </w:p>
        </w:tc>
        <w:tc>
          <w:tcPr>
            <w:tcW w:w="1893" w:type="dxa"/>
          </w:tcPr>
          <w:p w:rsidR="00B640FE" w:rsidRDefault="00805EED" w:rsidP="00610C4A">
            <w:pPr>
              <w:spacing w:after="240"/>
              <w:jc w:val="center"/>
              <w:rPr>
                <w:rFonts w:ascii="Verdana" w:hAnsi="Verdana"/>
                <w:sz w:val="22"/>
                <w:szCs w:val="22"/>
              </w:rPr>
            </w:pPr>
            <w:r>
              <w:rPr>
                <w:rFonts w:ascii="Verdana" w:hAnsi="Verdana"/>
                <w:sz w:val="22"/>
                <w:szCs w:val="22"/>
              </w:rPr>
              <w:t>2</w:t>
            </w:r>
            <w:r w:rsidR="00610C4A">
              <w:rPr>
                <w:rFonts w:ascii="Verdana" w:hAnsi="Verdana"/>
                <w:sz w:val="22"/>
                <w:szCs w:val="22"/>
              </w:rPr>
              <w:t>6</w:t>
            </w:r>
            <w:r>
              <w:rPr>
                <w:rFonts w:ascii="Verdana" w:hAnsi="Verdana"/>
                <w:sz w:val="22"/>
                <w:szCs w:val="22"/>
              </w:rPr>
              <w:t>.</w:t>
            </w:r>
            <w:r w:rsidR="00610C4A">
              <w:rPr>
                <w:rFonts w:ascii="Verdana" w:hAnsi="Verdana"/>
                <w:sz w:val="22"/>
                <w:szCs w:val="22"/>
              </w:rPr>
              <w:t>4</w:t>
            </w:r>
            <w:r>
              <w:rPr>
                <w:rFonts w:ascii="Verdana" w:hAnsi="Verdana"/>
                <w:sz w:val="22"/>
                <w:szCs w:val="22"/>
              </w:rPr>
              <w:t>%</w:t>
            </w:r>
          </w:p>
        </w:tc>
      </w:tr>
    </w:tbl>
    <w:p w:rsidR="00887F8D" w:rsidRDefault="00887F8D" w:rsidP="00887F8D">
      <w:pPr>
        <w:spacing w:after="240"/>
        <w:rPr>
          <w:rFonts w:ascii="Verdana" w:hAnsi="Verdana"/>
          <w:sz w:val="18"/>
          <w:szCs w:val="18"/>
        </w:rPr>
      </w:pPr>
      <w:r w:rsidRPr="00B640FE">
        <w:rPr>
          <w:rFonts w:ascii="Verdana" w:hAnsi="Verdana"/>
          <w:sz w:val="18"/>
          <w:szCs w:val="18"/>
        </w:rPr>
        <w:t>Earnings assumed to follow changes in inflation</w:t>
      </w:r>
      <w:r w:rsidR="00B640FE">
        <w:rPr>
          <w:rFonts w:ascii="Verdana" w:hAnsi="Verdana"/>
          <w:sz w:val="18"/>
          <w:szCs w:val="18"/>
        </w:rPr>
        <w:t>.</w:t>
      </w:r>
      <w:r w:rsidR="00B640FE" w:rsidRPr="00B640FE">
        <w:rPr>
          <w:rFonts w:ascii="Verdana" w:hAnsi="Verdana"/>
          <w:sz w:val="18"/>
          <w:szCs w:val="18"/>
        </w:rPr>
        <w:t xml:space="preserve"> </w:t>
      </w:r>
      <w:r w:rsidRPr="00B640FE">
        <w:rPr>
          <w:rFonts w:ascii="Verdana" w:hAnsi="Verdana"/>
          <w:sz w:val="18"/>
          <w:szCs w:val="18"/>
        </w:rPr>
        <w:t>E’ = (1+E)*(1+RPI’)</w:t>
      </w:r>
      <w:proofErr w:type="gramStart"/>
      <w:r w:rsidRPr="00B640FE">
        <w:rPr>
          <w:rFonts w:ascii="Verdana" w:hAnsi="Verdana"/>
          <w:sz w:val="18"/>
          <w:szCs w:val="18"/>
        </w:rPr>
        <w:t>/(</w:t>
      </w:r>
      <w:proofErr w:type="gramEnd"/>
      <w:r w:rsidRPr="00B640FE">
        <w:rPr>
          <w:rFonts w:ascii="Verdana" w:hAnsi="Verdana"/>
          <w:sz w:val="18"/>
          <w:szCs w:val="18"/>
        </w:rPr>
        <w:t>1+ RPI)-1</w:t>
      </w:r>
      <w:r w:rsidR="00B640FE" w:rsidRPr="00B640FE">
        <w:rPr>
          <w:rFonts w:ascii="Verdana" w:hAnsi="Verdana"/>
          <w:sz w:val="18"/>
          <w:szCs w:val="18"/>
        </w:rPr>
        <w:t xml:space="preserve"> , where E, RPI are original earnings change and inflation, and E’, RPI’ are the altered vales.</w:t>
      </w:r>
      <w:r w:rsidR="00805EED">
        <w:rPr>
          <w:rFonts w:ascii="Verdana" w:hAnsi="Verdana"/>
          <w:sz w:val="18"/>
          <w:szCs w:val="18"/>
        </w:rPr>
        <w:t xml:space="preserve"> RAB values calculated using simplified model with all other parameters unchanged.</w:t>
      </w:r>
    </w:p>
    <w:p w:rsidR="00993151" w:rsidRDefault="00993151" w:rsidP="00993151">
      <w:pPr>
        <w:numPr>
          <w:ilvl w:val="0"/>
          <w:numId w:val="1"/>
        </w:numPr>
        <w:spacing w:after="240"/>
        <w:rPr>
          <w:rFonts w:ascii="Verdana" w:hAnsi="Verdana"/>
          <w:sz w:val="22"/>
          <w:szCs w:val="22"/>
        </w:rPr>
      </w:pPr>
      <w:r>
        <w:rPr>
          <w:rFonts w:ascii="Verdana" w:hAnsi="Verdana"/>
          <w:sz w:val="22"/>
          <w:szCs w:val="22"/>
        </w:rPr>
        <w:t>Announcing the threshold levels in 2016 prices had the advantage of showing a large difference with the then current threshold for repayment of £15,795, but it meant that the real value of the thresholds would depend on the rate of inflation up to 2016. Table 1 shows the impact of changes in the inflation rate assumptions for 2012 to 2016.</w:t>
      </w:r>
    </w:p>
    <w:p w:rsidR="001060EA" w:rsidRPr="001060EA" w:rsidRDefault="00B640FE" w:rsidP="009B54B8">
      <w:pPr>
        <w:numPr>
          <w:ilvl w:val="0"/>
          <w:numId w:val="1"/>
        </w:numPr>
        <w:spacing w:after="240"/>
        <w:rPr>
          <w:rFonts w:ascii="Verdana" w:hAnsi="Verdana"/>
          <w:sz w:val="22"/>
          <w:szCs w:val="22"/>
          <w:u w:val="single"/>
        </w:rPr>
      </w:pPr>
      <w:r w:rsidRPr="001060EA">
        <w:rPr>
          <w:rFonts w:ascii="Verdana" w:hAnsi="Verdana"/>
          <w:sz w:val="22"/>
          <w:szCs w:val="22"/>
        </w:rPr>
        <w:t>In recent years it has proved difficult to forecast inflation over the short term, so</w:t>
      </w:r>
      <w:r w:rsidR="004074BC" w:rsidRPr="001060EA">
        <w:rPr>
          <w:rFonts w:ascii="Verdana" w:hAnsi="Verdana"/>
          <w:sz w:val="22"/>
          <w:szCs w:val="22"/>
        </w:rPr>
        <w:t>,</w:t>
      </w:r>
      <w:r w:rsidRPr="001060EA">
        <w:rPr>
          <w:rFonts w:ascii="Verdana" w:hAnsi="Verdana"/>
          <w:sz w:val="22"/>
          <w:szCs w:val="22"/>
        </w:rPr>
        <w:t xml:space="preserve"> as we can see from t</w:t>
      </w:r>
      <w:r w:rsidR="00805EED" w:rsidRPr="001060EA">
        <w:rPr>
          <w:rFonts w:ascii="Verdana" w:hAnsi="Verdana"/>
          <w:sz w:val="22"/>
          <w:szCs w:val="22"/>
        </w:rPr>
        <w:t>he</w:t>
      </w:r>
      <w:r w:rsidRPr="001060EA">
        <w:rPr>
          <w:rFonts w:ascii="Verdana" w:hAnsi="Verdana"/>
          <w:sz w:val="22"/>
          <w:szCs w:val="22"/>
        </w:rPr>
        <w:t xml:space="preserve"> ran</w:t>
      </w:r>
      <w:r w:rsidR="00805EED" w:rsidRPr="001060EA">
        <w:rPr>
          <w:rFonts w:ascii="Verdana" w:hAnsi="Verdana"/>
          <w:sz w:val="22"/>
          <w:szCs w:val="22"/>
        </w:rPr>
        <w:t>g</w:t>
      </w:r>
      <w:r w:rsidRPr="001060EA">
        <w:rPr>
          <w:rFonts w:ascii="Verdana" w:hAnsi="Verdana"/>
          <w:sz w:val="22"/>
          <w:szCs w:val="22"/>
        </w:rPr>
        <w:t>e o</w:t>
      </w:r>
      <w:r w:rsidR="00805EED" w:rsidRPr="001060EA">
        <w:rPr>
          <w:rFonts w:ascii="Verdana" w:hAnsi="Verdana"/>
          <w:sz w:val="22"/>
          <w:szCs w:val="22"/>
        </w:rPr>
        <w:t>f</w:t>
      </w:r>
      <w:r w:rsidRPr="001060EA">
        <w:rPr>
          <w:rFonts w:ascii="Verdana" w:hAnsi="Verdana"/>
          <w:sz w:val="22"/>
          <w:szCs w:val="22"/>
        </w:rPr>
        <w:t xml:space="preserve"> RAB values in table 1, this introduces some uncertainty in the long term cost of student loans. </w:t>
      </w:r>
      <w:r w:rsidR="00805EED" w:rsidRPr="001060EA">
        <w:rPr>
          <w:rFonts w:ascii="Verdana" w:hAnsi="Verdana"/>
          <w:sz w:val="22"/>
          <w:szCs w:val="22"/>
        </w:rPr>
        <w:t>After 2016 the RAB is insensitive to the inflation rate</w:t>
      </w:r>
      <w:r w:rsidR="009B54B8" w:rsidRPr="001060EA">
        <w:rPr>
          <w:rFonts w:ascii="Verdana" w:hAnsi="Verdana"/>
          <w:sz w:val="22"/>
          <w:szCs w:val="22"/>
        </w:rPr>
        <w:t>,</w:t>
      </w:r>
      <w:r w:rsidR="00805EED" w:rsidRPr="001060EA">
        <w:rPr>
          <w:rFonts w:ascii="Verdana" w:hAnsi="Verdana"/>
          <w:sz w:val="22"/>
          <w:szCs w:val="22"/>
        </w:rPr>
        <w:t xml:space="preserve"> so </w:t>
      </w:r>
      <w:r w:rsidRPr="001060EA">
        <w:rPr>
          <w:rFonts w:ascii="Verdana" w:hAnsi="Verdana"/>
          <w:sz w:val="22"/>
          <w:szCs w:val="22"/>
        </w:rPr>
        <w:t xml:space="preserve">we </w:t>
      </w:r>
      <w:r w:rsidR="00805EED" w:rsidRPr="001060EA">
        <w:rPr>
          <w:rFonts w:ascii="Verdana" w:hAnsi="Verdana"/>
          <w:sz w:val="22"/>
          <w:szCs w:val="22"/>
        </w:rPr>
        <w:t>will not</w:t>
      </w:r>
      <w:r w:rsidR="009B54B8" w:rsidRPr="001060EA">
        <w:rPr>
          <w:rFonts w:ascii="Verdana" w:hAnsi="Verdana"/>
          <w:sz w:val="22"/>
          <w:szCs w:val="22"/>
        </w:rPr>
        <w:t xml:space="preserve"> have to wait long to find out how these uncertainties will be resolved. </w:t>
      </w:r>
    </w:p>
    <w:p w:rsidR="0038071D" w:rsidRPr="001060EA" w:rsidRDefault="00805EED" w:rsidP="001060EA">
      <w:pPr>
        <w:spacing w:after="240"/>
        <w:rPr>
          <w:rFonts w:ascii="Verdana" w:hAnsi="Verdana"/>
          <w:sz w:val="22"/>
          <w:szCs w:val="22"/>
          <w:u w:val="single"/>
        </w:rPr>
      </w:pPr>
      <w:r w:rsidRPr="001060EA">
        <w:rPr>
          <w:rFonts w:ascii="Verdana" w:hAnsi="Verdana"/>
          <w:sz w:val="22"/>
          <w:szCs w:val="22"/>
          <w:u w:val="single"/>
        </w:rPr>
        <w:t xml:space="preserve">Estimates of graduate earnings in </w:t>
      </w:r>
      <w:r w:rsidR="0005291E" w:rsidRPr="001060EA">
        <w:rPr>
          <w:rFonts w:ascii="Verdana" w:hAnsi="Verdana"/>
          <w:sz w:val="22"/>
          <w:szCs w:val="22"/>
          <w:u w:val="single"/>
        </w:rPr>
        <w:t>2016</w:t>
      </w:r>
    </w:p>
    <w:p w:rsidR="00031129" w:rsidRPr="00CF6C41" w:rsidRDefault="00B77A22" w:rsidP="00191BA7">
      <w:pPr>
        <w:numPr>
          <w:ilvl w:val="0"/>
          <w:numId w:val="1"/>
        </w:numPr>
        <w:spacing w:after="240"/>
        <w:rPr>
          <w:rFonts w:ascii="Verdana" w:hAnsi="Verdana"/>
          <w:sz w:val="22"/>
          <w:szCs w:val="22"/>
        </w:rPr>
      </w:pPr>
      <w:r>
        <w:rPr>
          <w:rFonts w:ascii="Verdana" w:hAnsi="Verdana"/>
          <w:sz w:val="22"/>
          <w:szCs w:val="22"/>
        </w:rPr>
        <w:t xml:space="preserve">The earnings data </w:t>
      </w:r>
      <w:r w:rsidR="00B631E1">
        <w:rPr>
          <w:rFonts w:ascii="Verdana" w:hAnsi="Verdana"/>
          <w:sz w:val="22"/>
          <w:szCs w:val="22"/>
        </w:rPr>
        <w:t xml:space="preserve">are </w:t>
      </w:r>
      <w:r>
        <w:rPr>
          <w:rFonts w:ascii="Verdana" w:hAnsi="Verdana"/>
          <w:sz w:val="22"/>
          <w:szCs w:val="22"/>
        </w:rPr>
        <w:t xml:space="preserve">derived from LFS surveys </w:t>
      </w:r>
      <w:r w:rsidR="00222F0A">
        <w:rPr>
          <w:rFonts w:ascii="Verdana" w:hAnsi="Verdana"/>
          <w:sz w:val="22"/>
          <w:szCs w:val="22"/>
        </w:rPr>
        <w:t xml:space="preserve">and SLC data </w:t>
      </w:r>
      <w:r>
        <w:rPr>
          <w:rFonts w:ascii="Verdana" w:hAnsi="Verdana"/>
          <w:sz w:val="22"/>
          <w:szCs w:val="22"/>
        </w:rPr>
        <w:t xml:space="preserve">from 2001 to 2009, with values for years 2001 to 2008 indexed by average earnings to 2009. From 2009 to 2016 </w:t>
      </w:r>
      <w:r w:rsidR="00373903">
        <w:rPr>
          <w:rFonts w:ascii="Verdana" w:hAnsi="Verdana"/>
          <w:sz w:val="22"/>
          <w:szCs w:val="22"/>
        </w:rPr>
        <w:t xml:space="preserve">these earnings are again </w:t>
      </w:r>
      <w:r w:rsidR="00222F0A">
        <w:rPr>
          <w:rFonts w:ascii="Verdana" w:hAnsi="Verdana"/>
          <w:sz w:val="22"/>
          <w:szCs w:val="22"/>
        </w:rPr>
        <w:t xml:space="preserve">increased </w:t>
      </w:r>
      <w:r w:rsidR="00373903">
        <w:rPr>
          <w:rFonts w:ascii="Verdana" w:hAnsi="Verdana"/>
          <w:sz w:val="22"/>
          <w:szCs w:val="22"/>
        </w:rPr>
        <w:t xml:space="preserve">in line with average </w:t>
      </w:r>
      <w:r w:rsidR="00373903" w:rsidRPr="00CF6C41">
        <w:rPr>
          <w:rFonts w:ascii="Verdana" w:hAnsi="Verdana"/>
          <w:sz w:val="22"/>
          <w:szCs w:val="22"/>
        </w:rPr>
        <w:t>earnings.</w:t>
      </w:r>
    </w:p>
    <w:p w:rsidR="00482F8E" w:rsidRDefault="00CF6C41" w:rsidP="0005291E">
      <w:pPr>
        <w:numPr>
          <w:ilvl w:val="0"/>
          <w:numId w:val="1"/>
        </w:numPr>
        <w:spacing w:after="240"/>
        <w:rPr>
          <w:rFonts w:ascii="Verdana" w:hAnsi="Verdana"/>
          <w:sz w:val="22"/>
          <w:szCs w:val="22"/>
        </w:rPr>
      </w:pPr>
      <w:r>
        <w:rPr>
          <w:rFonts w:ascii="Verdana" w:hAnsi="Verdana"/>
          <w:sz w:val="22"/>
          <w:szCs w:val="22"/>
        </w:rPr>
        <w:t xml:space="preserve">The HESA </w:t>
      </w:r>
      <w:r w:rsidR="00243100">
        <w:rPr>
          <w:rFonts w:ascii="Verdana" w:hAnsi="Verdana"/>
          <w:sz w:val="22"/>
          <w:szCs w:val="22"/>
        </w:rPr>
        <w:t>Destination of Leavers from Higher Education (DLHE</w:t>
      </w:r>
      <w:proofErr w:type="gramStart"/>
      <w:r w:rsidR="00243100">
        <w:rPr>
          <w:rFonts w:ascii="Verdana" w:hAnsi="Verdana"/>
          <w:sz w:val="22"/>
          <w:szCs w:val="22"/>
        </w:rPr>
        <w:t xml:space="preserve">) </w:t>
      </w:r>
      <w:r w:rsidR="00482F8E">
        <w:rPr>
          <w:rFonts w:ascii="Verdana" w:hAnsi="Verdana"/>
          <w:sz w:val="22"/>
          <w:szCs w:val="22"/>
        </w:rPr>
        <w:t xml:space="preserve"> Survey</w:t>
      </w:r>
      <w:proofErr w:type="gramEnd"/>
      <w:r w:rsidR="00482F8E">
        <w:rPr>
          <w:rFonts w:ascii="Verdana" w:hAnsi="Verdana"/>
          <w:sz w:val="22"/>
          <w:szCs w:val="22"/>
        </w:rPr>
        <w:t xml:space="preserve"> provides information on qualifiers about six months after graduation. The most recent information relates to those who typically qualified in the summer of 20</w:t>
      </w:r>
      <w:r w:rsidR="00243100">
        <w:rPr>
          <w:rFonts w:ascii="Verdana" w:hAnsi="Verdana"/>
          <w:sz w:val="22"/>
          <w:szCs w:val="22"/>
        </w:rPr>
        <w:t>11</w:t>
      </w:r>
      <w:r w:rsidR="00482F8E">
        <w:rPr>
          <w:rFonts w:ascii="Verdana" w:hAnsi="Verdana"/>
          <w:sz w:val="22"/>
          <w:szCs w:val="22"/>
        </w:rPr>
        <w:t>, and reported earnings for as of January 201</w:t>
      </w:r>
      <w:r w:rsidR="00243100">
        <w:rPr>
          <w:rFonts w:ascii="Verdana" w:hAnsi="Verdana"/>
          <w:sz w:val="22"/>
          <w:szCs w:val="22"/>
        </w:rPr>
        <w:t>2</w:t>
      </w:r>
      <w:r w:rsidR="00482F8E">
        <w:rPr>
          <w:rFonts w:ascii="Verdana" w:hAnsi="Verdana"/>
          <w:sz w:val="22"/>
          <w:szCs w:val="22"/>
        </w:rPr>
        <w:t xml:space="preserve">. These data show that for this group of qualifiers the earnings growth is </w:t>
      </w:r>
      <w:r w:rsidR="00222F0A">
        <w:rPr>
          <w:rFonts w:ascii="Verdana" w:hAnsi="Verdana"/>
          <w:sz w:val="22"/>
          <w:szCs w:val="22"/>
        </w:rPr>
        <w:t>low</w:t>
      </w:r>
      <w:r w:rsidR="00482F8E">
        <w:rPr>
          <w:rFonts w:ascii="Verdana" w:hAnsi="Verdana"/>
          <w:sz w:val="22"/>
          <w:szCs w:val="22"/>
        </w:rPr>
        <w:t xml:space="preserve">. </w:t>
      </w:r>
    </w:p>
    <w:p w:rsidR="00610C4A" w:rsidRDefault="00610C4A" w:rsidP="00243100">
      <w:pPr>
        <w:spacing w:after="240"/>
        <w:rPr>
          <w:rFonts w:ascii="Verdana" w:hAnsi="Verdana"/>
          <w:sz w:val="22"/>
          <w:szCs w:val="22"/>
          <w:u w:val="single"/>
        </w:rPr>
      </w:pPr>
    </w:p>
    <w:p w:rsidR="00482F8E" w:rsidRPr="00222F0A" w:rsidRDefault="00482F8E" w:rsidP="00243100">
      <w:pPr>
        <w:spacing w:after="240"/>
        <w:rPr>
          <w:rFonts w:ascii="Verdana" w:hAnsi="Verdana"/>
          <w:sz w:val="22"/>
          <w:szCs w:val="22"/>
          <w:u w:val="single"/>
        </w:rPr>
      </w:pPr>
      <w:r w:rsidRPr="00222F0A">
        <w:rPr>
          <w:rFonts w:ascii="Verdana" w:hAnsi="Verdana"/>
          <w:sz w:val="22"/>
          <w:szCs w:val="22"/>
          <w:u w:val="single"/>
        </w:rPr>
        <w:lastRenderedPageBreak/>
        <w:t xml:space="preserve">Table </w:t>
      </w:r>
      <w:r w:rsidR="00222F0A" w:rsidRPr="00222F0A">
        <w:rPr>
          <w:rFonts w:ascii="Verdana" w:hAnsi="Verdana"/>
          <w:sz w:val="22"/>
          <w:szCs w:val="22"/>
          <w:u w:val="single"/>
        </w:rPr>
        <w:t>2</w:t>
      </w:r>
      <w:r w:rsidRPr="00222F0A">
        <w:rPr>
          <w:rFonts w:ascii="Verdana" w:hAnsi="Verdana"/>
          <w:sz w:val="22"/>
          <w:szCs w:val="22"/>
          <w:u w:val="single"/>
        </w:rPr>
        <w:t xml:space="preserve">: </w:t>
      </w:r>
      <w:r w:rsidR="00243100" w:rsidRPr="00222F0A">
        <w:rPr>
          <w:rFonts w:ascii="Verdana" w:hAnsi="Verdana"/>
          <w:sz w:val="22"/>
          <w:szCs w:val="22"/>
          <w:u w:val="single"/>
        </w:rPr>
        <w:t xml:space="preserve">Changes in average </w:t>
      </w:r>
      <w:r w:rsidR="00CF0C05">
        <w:rPr>
          <w:rFonts w:ascii="Verdana" w:hAnsi="Verdana"/>
          <w:sz w:val="22"/>
          <w:szCs w:val="22"/>
          <w:u w:val="single"/>
        </w:rPr>
        <w:t>(cash</w:t>
      </w:r>
      <w:r w:rsidR="00CD35B7">
        <w:rPr>
          <w:rFonts w:ascii="Verdana" w:hAnsi="Verdana"/>
          <w:sz w:val="22"/>
          <w:szCs w:val="22"/>
          <w:u w:val="single"/>
        </w:rPr>
        <w:t xml:space="preserve">) </w:t>
      </w:r>
      <w:r w:rsidR="00243100" w:rsidRPr="00222F0A">
        <w:rPr>
          <w:rFonts w:ascii="Verdana" w:hAnsi="Verdana"/>
          <w:sz w:val="22"/>
          <w:szCs w:val="22"/>
          <w:u w:val="single"/>
        </w:rPr>
        <w:t xml:space="preserve">earnings from DLHE </w:t>
      </w:r>
      <w:r w:rsidR="00246E9D" w:rsidRPr="00222F0A">
        <w:rPr>
          <w:rFonts w:ascii="Verdana" w:hAnsi="Verdana"/>
          <w:sz w:val="22"/>
          <w:szCs w:val="22"/>
          <w:u w:val="single"/>
        </w:rPr>
        <w:t xml:space="preserve">survey </w:t>
      </w:r>
      <w:r w:rsidR="00243100" w:rsidRPr="00222F0A">
        <w:rPr>
          <w:rFonts w:ascii="Verdana" w:hAnsi="Verdana"/>
          <w:sz w:val="22"/>
          <w:szCs w:val="22"/>
          <w:u w:val="single"/>
        </w:rPr>
        <w:t>and BIS model</w:t>
      </w:r>
    </w:p>
    <w:tbl>
      <w:tblPr>
        <w:tblStyle w:val="TableGrid"/>
        <w:tblW w:w="8533" w:type="dxa"/>
        <w:tblLayout w:type="fixed"/>
        <w:tblLook w:val="04A0" w:firstRow="1" w:lastRow="0" w:firstColumn="1" w:lastColumn="0" w:noHBand="0" w:noVBand="1"/>
      </w:tblPr>
      <w:tblGrid>
        <w:gridCol w:w="3045"/>
        <w:gridCol w:w="1372"/>
        <w:gridCol w:w="1372"/>
        <w:gridCol w:w="1372"/>
        <w:gridCol w:w="1372"/>
      </w:tblGrid>
      <w:tr w:rsidR="006B441B" w:rsidTr="00DD6246">
        <w:tc>
          <w:tcPr>
            <w:tcW w:w="3045" w:type="dxa"/>
          </w:tcPr>
          <w:p w:rsidR="006B441B" w:rsidRPr="00AC2924" w:rsidRDefault="006B441B" w:rsidP="00243100">
            <w:pPr>
              <w:spacing w:after="240"/>
              <w:rPr>
                <w:rFonts w:ascii="Verdana" w:hAnsi="Verdana"/>
                <w:sz w:val="22"/>
                <w:szCs w:val="22"/>
              </w:rPr>
            </w:pPr>
          </w:p>
        </w:tc>
        <w:tc>
          <w:tcPr>
            <w:tcW w:w="1372" w:type="dxa"/>
          </w:tcPr>
          <w:p w:rsidR="006B441B" w:rsidRPr="00AC2924" w:rsidRDefault="006B441B" w:rsidP="006B441B">
            <w:pPr>
              <w:spacing w:after="240"/>
              <w:jc w:val="center"/>
              <w:rPr>
                <w:rFonts w:ascii="Verdana" w:hAnsi="Verdana"/>
                <w:sz w:val="22"/>
                <w:szCs w:val="22"/>
              </w:rPr>
            </w:pPr>
            <w:r w:rsidRPr="00AC2924">
              <w:rPr>
                <w:rFonts w:ascii="Verdana" w:hAnsi="Verdana"/>
                <w:sz w:val="22"/>
                <w:szCs w:val="22"/>
              </w:rPr>
              <w:t>2009</w:t>
            </w:r>
          </w:p>
        </w:tc>
        <w:tc>
          <w:tcPr>
            <w:tcW w:w="1372" w:type="dxa"/>
          </w:tcPr>
          <w:p w:rsidR="006B441B" w:rsidRPr="00AC2924" w:rsidRDefault="006B441B" w:rsidP="006B441B">
            <w:pPr>
              <w:spacing w:after="240"/>
              <w:jc w:val="center"/>
              <w:rPr>
                <w:rFonts w:ascii="Verdana" w:hAnsi="Verdana"/>
                <w:sz w:val="22"/>
                <w:szCs w:val="22"/>
              </w:rPr>
            </w:pPr>
            <w:r w:rsidRPr="00AC2924">
              <w:rPr>
                <w:rFonts w:ascii="Verdana" w:hAnsi="Verdana"/>
                <w:sz w:val="22"/>
                <w:szCs w:val="22"/>
              </w:rPr>
              <w:t>2010</w:t>
            </w:r>
          </w:p>
        </w:tc>
        <w:tc>
          <w:tcPr>
            <w:tcW w:w="1372" w:type="dxa"/>
          </w:tcPr>
          <w:p w:rsidR="006B441B" w:rsidRPr="00AC2924" w:rsidRDefault="006B441B" w:rsidP="006B441B">
            <w:pPr>
              <w:spacing w:after="240"/>
              <w:jc w:val="center"/>
              <w:rPr>
                <w:rFonts w:ascii="Verdana" w:hAnsi="Verdana"/>
                <w:sz w:val="22"/>
                <w:szCs w:val="22"/>
              </w:rPr>
            </w:pPr>
            <w:r w:rsidRPr="00AC2924">
              <w:rPr>
                <w:rFonts w:ascii="Verdana" w:hAnsi="Verdana"/>
                <w:sz w:val="22"/>
                <w:szCs w:val="22"/>
              </w:rPr>
              <w:t>2011</w:t>
            </w:r>
          </w:p>
        </w:tc>
        <w:tc>
          <w:tcPr>
            <w:tcW w:w="1372" w:type="dxa"/>
          </w:tcPr>
          <w:p w:rsidR="006B441B" w:rsidRPr="00AC2924" w:rsidRDefault="006B441B" w:rsidP="006B441B">
            <w:pPr>
              <w:spacing w:after="240"/>
              <w:jc w:val="center"/>
              <w:rPr>
                <w:rFonts w:ascii="Verdana" w:hAnsi="Verdana"/>
                <w:sz w:val="22"/>
                <w:szCs w:val="22"/>
              </w:rPr>
            </w:pPr>
            <w:r w:rsidRPr="00AC2924">
              <w:rPr>
                <w:rFonts w:ascii="Verdana" w:hAnsi="Verdana"/>
                <w:sz w:val="22"/>
                <w:szCs w:val="22"/>
              </w:rPr>
              <w:t>2012</w:t>
            </w:r>
          </w:p>
        </w:tc>
      </w:tr>
      <w:tr w:rsidR="006B441B" w:rsidTr="00DD6246">
        <w:trPr>
          <w:trHeight w:val="567"/>
        </w:trPr>
        <w:tc>
          <w:tcPr>
            <w:tcW w:w="3045" w:type="dxa"/>
            <w:vAlign w:val="bottom"/>
          </w:tcPr>
          <w:p w:rsidR="006B441B" w:rsidRPr="00AC2924" w:rsidRDefault="00C00A0B" w:rsidP="00DD6246">
            <w:pPr>
              <w:jc w:val="center"/>
              <w:rPr>
                <w:rFonts w:ascii="Verdana" w:hAnsi="Verdana" w:cs="Arial"/>
                <w:sz w:val="22"/>
                <w:szCs w:val="22"/>
              </w:rPr>
            </w:pPr>
            <w:r w:rsidRPr="00AC2924">
              <w:rPr>
                <w:rFonts w:ascii="Verdana" w:hAnsi="Verdana" w:cs="Arial"/>
                <w:sz w:val="22"/>
                <w:szCs w:val="22"/>
              </w:rPr>
              <w:t>BIS model</w:t>
            </w:r>
          </w:p>
        </w:tc>
        <w:tc>
          <w:tcPr>
            <w:tcW w:w="1372" w:type="dxa"/>
            <w:vAlign w:val="bottom"/>
          </w:tcPr>
          <w:p w:rsidR="006B441B" w:rsidRPr="00AC2924" w:rsidRDefault="006B441B">
            <w:pPr>
              <w:jc w:val="right"/>
              <w:rPr>
                <w:rFonts w:ascii="Verdana" w:hAnsi="Verdana" w:cs="Arial"/>
                <w:sz w:val="22"/>
                <w:szCs w:val="22"/>
              </w:rPr>
            </w:pPr>
            <w:r w:rsidRPr="00AC2924">
              <w:rPr>
                <w:rFonts w:ascii="Verdana" w:hAnsi="Verdana" w:cs="Arial"/>
                <w:sz w:val="22"/>
                <w:szCs w:val="22"/>
              </w:rPr>
              <w:t>2.25%</w:t>
            </w:r>
          </w:p>
        </w:tc>
        <w:tc>
          <w:tcPr>
            <w:tcW w:w="1372" w:type="dxa"/>
            <w:vAlign w:val="bottom"/>
          </w:tcPr>
          <w:p w:rsidR="006B441B" w:rsidRPr="00AC2924" w:rsidRDefault="006B441B">
            <w:pPr>
              <w:jc w:val="right"/>
              <w:rPr>
                <w:rFonts w:ascii="Verdana" w:hAnsi="Verdana" w:cs="Arial"/>
                <w:sz w:val="22"/>
                <w:szCs w:val="22"/>
              </w:rPr>
            </w:pPr>
            <w:r w:rsidRPr="00AC2924">
              <w:rPr>
                <w:rFonts w:ascii="Verdana" w:hAnsi="Verdana" w:cs="Arial"/>
                <w:sz w:val="22"/>
                <w:szCs w:val="22"/>
              </w:rPr>
              <w:t>1.76%</w:t>
            </w:r>
          </w:p>
        </w:tc>
        <w:tc>
          <w:tcPr>
            <w:tcW w:w="1372" w:type="dxa"/>
            <w:vAlign w:val="bottom"/>
          </w:tcPr>
          <w:p w:rsidR="006B441B" w:rsidRPr="00AC2924" w:rsidRDefault="006B441B">
            <w:pPr>
              <w:jc w:val="right"/>
              <w:rPr>
                <w:rFonts w:ascii="Verdana" w:hAnsi="Verdana" w:cs="Arial"/>
                <w:sz w:val="22"/>
                <w:szCs w:val="22"/>
              </w:rPr>
            </w:pPr>
            <w:r w:rsidRPr="00AC2924">
              <w:rPr>
                <w:rFonts w:ascii="Verdana" w:hAnsi="Verdana" w:cs="Arial"/>
                <w:sz w:val="22"/>
                <w:szCs w:val="22"/>
              </w:rPr>
              <w:t>1.90%</w:t>
            </w:r>
          </w:p>
        </w:tc>
        <w:tc>
          <w:tcPr>
            <w:tcW w:w="1372" w:type="dxa"/>
            <w:vAlign w:val="bottom"/>
          </w:tcPr>
          <w:p w:rsidR="006B441B" w:rsidRPr="00AC2924" w:rsidRDefault="006B441B">
            <w:pPr>
              <w:jc w:val="right"/>
              <w:rPr>
                <w:rFonts w:ascii="Verdana" w:hAnsi="Verdana" w:cs="Arial"/>
                <w:sz w:val="22"/>
                <w:szCs w:val="22"/>
              </w:rPr>
            </w:pPr>
            <w:r w:rsidRPr="00AC2924">
              <w:rPr>
                <w:rFonts w:ascii="Verdana" w:hAnsi="Verdana" w:cs="Arial"/>
                <w:sz w:val="22"/>
                <w:szCs w:val="22"/>
              </w:rPr>
              <w:t>3.27%</w:t>
            </w:r>
          </w:p>
        </w:tc>
      </w:tr>
      <w:tr w:rsidR="00E24D28" w:rsidTr="00DD6246">
        <w:trPr>
          <w:trHeight w:val="567"/>
        </w:trPr>
        <w:tc>
          <w:tcPr>
            <w:tcW w:w="3045" w:type="dxa"/>
            <w:vAlign w:val="bottom"/>
          </w:tcPr>
          <w:p w:rsidR="00E24D28" w:rsidRPr="00AC2924" w:rsidRDefault="00E24D28" w:rsidP="00DD6246">
            <w:pPr>
              <w:jc w:val="center"/>
              <w:rPr>
                <w:rFonts w:ascii="Verdana" w:hAnsi="Verdana" w:cs="Arial"/>
                <w:sz w:val="22"/>
                <w:szCs w:val="22"/>
              </w:rPr>
            </w:pPr>
            <w:r w:rsidRPr="00AC2924">
              <w:rPr>
                <w:rFonts w:ascii="Verdana" w:hAnsi="Verdana" w:cs="Arial"/>
                <w:sz w:val="22"/>
                <w:szCs w:val="22"/>
              </w:rPr>
              <w:t>DLHE</w:t>
            </w:r>
          </w:p>
        </w:tc>
        <w:tc>
          <w:tcPr>
            <w:tcW w:w="1372" w:type="dxa"/>
            <w:vAlign w:val="bottom"/>
          </w:tcPr>
          <w:p w:rsidR="00E24D28" w:rsidRPr="00E24D28" w:rsidRDefault="00E24D28">
            <w:pPr>
              <w:jc w:val="right"/>
              <w:rPr>
                <w:rFonts w:ascii="Verdana" w:hAnsi="Verdana" w:cs="Arial"/>
                <w:sz w:val="24"/>
                <w:szCs w:val="22"/>
              </w:rPr>
            </w:pPr>
            <w:r w:rsidRPr="00E24D28">
              <w:rPr>
                <w:rFonts w:ascii="Verdana" w:hAnsi="Verdana" w:cs="Arial"/>
                <w:sz w:val="24"/>
                <w:szCs w:val="22"/>
              </w:rPr>
              <w:t>2.22%</w:t>
            </w:r>
          </w:p>
        </w:tc>
        <w:tc>
          <w:tcPr>
            <w:tcW w:w="1372" w:type="dxa"/>
            <w:vAlign w:val="bottom"/>
          </w:tcPr>
          <w:p w:rsidR="00E24D28" w:rsidRPr="00E24D28" w:rsidRDefault="00E24D28">
            <w:pPr>
              <w:jc w:val="right"/>
              <w:rPr>
                <w:rFonts w:ascii="Verdana" w:hAnsi="Verdana" w:cs="Arial"/>
                <w:sz w:val="24"/>
                <w:szCs w:val="22"/>
              </w:rPr>
            </w:pPr>
            <w:r w:rsidRPr="00E24D28">
              <w:rPr>
                <w:rFonts w:ascii="Verdana" w:hAnsi="Verdana" w:cs="Arial"/>
                <w:sz w:val="24"/>
                <w:szCs w:val="22"/>
              </w:rPr>
              <w:t>0.93%</w:t>
            </w:r>
          </w:p>
        </w:tc>
        <w:tc>
          <w:tcPr>
            <w:tcW w:w="1372" w:type="dxa"/>
            <w:vAlign w:val="bottom"/>
          </w:tcPr>
          <w:p w:rsidR="00E24D28" w:rsidRPr="00E24D28" w:rsidRDefault="00E24D28">
            <w:pPr>
              <w:jc w:val="right"/>
              <w:rPr>
                <w:rFonts w:ascii="Verdana" w:hAnsi="Verdana" w:cs="Arial"/>
                <w:sz w:val="24"/>
                <w:szCs w:val="22"/>
              </w:rPr>
            </w:pPr>
            <w:r w:rsidRPr="00E24D28">
              <w:rPr>
                <w:rFonts w:ascii="Verdana" w:hAnsi="Verdana" w:cs="Arial"/>
                <w:sz w:val="24"/>
                <w:szCs w:val="22"/>
              </w:rPr>
              <w:t>0.23%</w:t>
            </w:r>
          </w:p>
        </w:tc>
        <w:tc>
          <w:tcPr>
            <w:tcW w:w="1372" w:type="dxa"/>
            <w:vAlign w:val="bottom"/>
          </w:tcPr>
          <w:p w:rsidR="00E24D28" w:rsidRPr="00E24D28" w:rsidRDefault="00E24D28">
            <w:pPr>
              <w:jc w:val="right"/>
              <w:rPr>
                <w:rFonts w:ascii="Verdana" w:hAnsi="Verdana" w:cs="Arial"/>
                <w:sz w:val="24"/>
                <w:szCs w:val="22"/>
              </w:rPr>
            </w:pPr>
            <w:r w:rsidRPr="00E24D28">
              <w:rPr>
                <w:rFonts w:ascii="Verdana" w:hAnsi="Verdana" w:cs="Arial"/>
                <w:sz w:val="24"/>
                <w:szCs w:val="22"/>
              </w:rPr>
              <w:t>0.20%</w:t>
            </w:r>
          </w:p>
        </w:tc>
      </w:tr>
    </w:tbl>
    <w:p w:rsidR="006B441B" w:rsidRPr="00E9517A" w:rsidRDefault="00C00A0B" w:rsidP="00E24D28">
      <w:pPr>
        <w:rPr>
          <w:rFonts w:ascii="Verdana" w:hAnsi="Verdana"/>
          <w:sz w:val="18"/>
          <w:szCs w:val="18"/>
        </w:rPr>
      </w:pPr>
      <w:r w:rsidRPr="00E9517A">
        <w:rPr>
          <w:rFonts w:ascii="Verdana" w:hAnsi="Verdana"/>
          <w:sz w:val="18"/>
          <w:szCs w:val="18"/>
        </w:rPr>
        <w:t>DLHE values show growth in average earnings</w:t>
      </w:r>
      <w:r w:rsidR="00E24D28" w:rsidRPr="00E9517A">
        <w:rPr>
          <w:rFonts w:ascii="Verdana" w:hAnsi="Verdana"/>
          <w:sz w:val="18"/>
          <w:szCs w:val="18"/>
        </w:rPr>
        <w:t xml:space="preserve"> (mostly </w:t>
      </w:r>
      <w:r w:rsidR="00EE0C73">
        <w:rPr>
          <w:rFonts w:ascii="Verdana" w:hAnsi="Verdana"/>
          <w:sz w:val="18"/>
          <w:szCs w:val="18"/>
        </w:rPr>
        <w:t>for mid</w:t>
      </w:r>
      <w:r w:rsidR="00E24D28" w:rsidRPr="00E9517A">
        <w:rPr>
          <w:rFonts w:ascii="Verdana" w:hAnsi="Verdana"/>
          <w:sz w:val="18"/>
          <w:szCs w:val="18"/>
        </w:rPr>
        <w:t xml:space="preserve"> January) </w:t>
      </w:r>
      <w:r w:rsidRPr="00E9517A">
        <w:rPr>
          <w:rFonts w:ascii="Verdana" w:hAnsi="Verdana"/>
          <w:sz w:val="18"/>
          <w:szCs w:val="18"/>
        </w:rPr>
        <w:t>from the previous year</w:t>
      </w:r>
      <w:r w:rsidR="00E24D28" w:rsidRPr="00E9517A">
        <w:rPr>
          <w:rFonts w:ascii="Verdana" w:hAnsi="Verdana"/>
          <w:sz w:val="18"/>
          <w:szCs w:val="18"/>
        </w:rPr>
        <w:t xml:space="preserve">. </w:t>
      </w:r>
      <w:r w:rsidRPr="00E9517A">
        <w:rPr>
          <w:rFonts w:ascii="Verdana" w:hAnsi="Verdana"/>
          <w:sz w:val="18"/>
          <w:szCs w:val="18"/>
        </w:rPr>
        <w:t xml:space="preserve"> </w:t>
      </w:r>
      <w:r w:rsidR="00E24D28" w:rsidRPr="00E9517A">
        <w:rPr>
          <w:rFonts w:ascii="Verdana" w:hAnsi="Verdana"/>
          <w:sz w:val="18"/>
          <w:szCs w:val="18"/>
        </w:rPr>
        <w:t xml:space="preserve">Population: </w:t>
      </w:r>
      <w:r w:rsidRPr="00E9517A">
        <w:rPr>
          <w:rFonts w:ascii="Verdana" w:hAnsi="Verdana"/>
          <w:sz w:val="18"/>
          <w:szCs w:val="18"/>
        </w:rPr>
        <w:t xml:space="preserve"> English domiciled undergraduate qualifiers</w:t>
      </w:r>
      <w:r w:rsidR="00E24D28" w:rsidRPr="00E9517A">
        <w:rPr>
          <w:rFonts w:ascii="Verdana" w:hAnsi="Verdana" w:cs="Arial"/>
          <w:sz w:val="18"/>
          <w:szCs w:val="18"/>
        </w:rPr>
        <w:t xml:space="preserve"> from full-time undergraduate programmes of study registered at a UK HEIs, who provided a full response to the DLHE survey, including their salary, and reported that they were employed full-time in paid work in the UK. From unpublished work carried out by HEFCE.</w:t>
      </w:r>
      <w:r w:rsidRPr="00E9517A">
        <w:rPr>
          <w:rFonts w:ascii="Verdana" w:hAnsi="Verdana"/>
          <w:sz w:val="18"/>
          <w:szCs w:val="18"/>
        </w:rPr>
        <w:t xml:space="preserve"> </w:t>
      </w:r>
      <w:r w:rsidR="00DD6246" w:rsidRPr="00E9517A">
        <w:rPr>
          <w:rFonts w:ascii="Verdana" w:hAnsi="Verdana"/>
          <w:sz w:val="18"/>
          <w:szCs w:val="18"/>
        </w:rPr>
        <w:t xml:space="preserve">BIS values are </w:t>
      </w:r>
      <w:r w:rsidR="00CF0C05">
        <w:rPr>
          <w:rFonts w:ascii="Verdana" w:hAnsi="Verdana"/>
          <w:sz w:val="18"/>
          <w:szCs w:val="18"/>
        </w:rPr>
        <w:t>September earnings</w:t>
      </w:r>
      <w:r w:rsidR="00CD35B7">
        <w:rPr>
          <w:rFonts w:ascii="Verdana" w:hAnsi="Verdana"/>
          <w:sz w:val="18"/>
          <w:szCs w:val="18"/>
        </w:rPr>
        <w:t xml:space="preserve"> used in their loan repayment models</w:t>
      </w:r>
      <w:r w:rsidR="00E9517A">
        <w:rPr>
          <w:rFonts w:ascii="Verdana" w:hAnsi="Verdana"/>
          <w:sz w:val="18"/>
          <w:szCs w:val="18"/>
        </w:rPr>
        <w:t>.</w:t>
      </w:r>
    </w:p>
    <w:p w:rsidR="000667B1" w:rsidRPr="000667B1" w:rsidRDefault="00C00A0B" w:rsidP="00517D6A">
      <w:pPr>
        <w:numPr>
          <w:ilvl w:val="0"/>
          <w:numId w:val="1"/>
        </w:numPr>
        <w:spacing w:before="120" w:after="240"/>
        <w:rPr>
          <w:rFonts w:ascii="Verdana" w:hAnsi="Verdana"/>
          <w:sz w:val="24"/>
          <w:szCs w:val="24"/>
        </w:rPr>
      </w:pPr>
      <w:r w:rsidRPr="00246E9D">
        <w:rPr>
          <w:rFonts w:ascii="Verdana" w:hAnsi="Verdana"/>
          <w:sz w:val="22"/>
          <w:szCs w:val="22"/>
        </w:rPr>
        <w:t xml:space="preserve">The </w:t>
      </w:r>
      <w:r w:rsidR="00AC2924">
        <w:rPr>
          <w:rFonts w:ascii="Verdana" w:hAnsi="Verdana"/>
          <w:sz w:val="22"/>
          <w:szCs w:val="22"/>
        </w:rPr>
        <w:t xml:space="preserve">BIS and DLHE </w:t>
      </w:r>
      <w:r w:rsidRPr="00246E9D">
        <w:rPr>
          <w:rFonts w:ascii="Verdana" w:hAnsi="Verdana"/>
          <w:sz w:val="22"/>
          <w:szCs w:val="22"/>
        </w:rPr>
        <w:t xml:space="preserve">values in table </w:t>
      </w:r>
      <w:r w:rsidR="00222F0A">
        <w:rPr>
          <w:rFonts w:ascii="Verdana" w:hAnsi="Verdana"/>
          <w:sz w:val="22"/>
          <w:szCs w:val="22"/>
        </w:rPr>
        <w:t>2</w:t>
      </w:r>
      <w:r w:rsidRPr="00246E9D">
        <w:rPr>
          <w:rFonts w:ascii="Verdana" w:hAnsi="Verdana"/>
          <w:sz w:val="22"/>
          <w:szCs w:val="22"/>
        </w:rPr>
        <w:t xml:space="preserve"> are not exactly comparable, both with respect to the populations and the exact time periods the changes refer to, but the DLHE figures are consistently lower, which suggests that earnings in 2016 may be lower than expected. </w:t>
      </w:r>
      <w:r w:rsidR="00610C4A">
        <w:rPr>
          <w:rFonts w:ascii="Verdana" w:hAnsi="Verdana"/>
          <w:sz w:val="22"/>
          <w:szCs w:val="22"/>
        </w:rPr>
        <w:t>The BIS model assumes that graduate earnings will continue to grow</w:t>
      </w:r>
      <w:r w:rsidR="00FF5336">
        <w:rPr>
          <w:rFonts w:ascii="Verdana" w:hAnsi="Verdana"/>
          <w:sz w:val="22"/>
          <w:szCs w:val="22"/>
        </w:rPr>
        <w:t xml:space="preserve"> through to 2016 with an average growth rates in cash earnings of </w:t>
      </w:r>
      <w:r w:rsidR="000667B1">
        <w:rPr>
          <w:rFonts w:ascii="Verdana" w:hAnsi="Verdana"/>
          <w:sz w:val="22"/>
          <w:szCs w:val="22"/>
        </w:rPr>
        <w:t>4.3 per cent pa</w:t>
      </w:r>
      <w:r w:rsidR="00610C4A">
        <w:rPr>
          <w:rFonts w:ascii="Verdana" w:hAnsi="Verdana"/>
          <w:sz w:val="22"/>
          <w:szCs w:val="22"/>
        </w:rPr>
        <w:t>.</w:t>
      </w:r>
      <w:r w:rsidR="000667B1">
        <w:rPr>
          <w:rFonts w:ascii="Verdana" w:hAnsi="Verdana"/>
          <w:sz w:val="22"/>
          <w:szCs w:val="22"/>
        </w:rPr>
        <w:t xml:space="preserve"> This seems very optimistic in the current financial climate.</w:t>
      </w:r>
    </w:p>
    <w:p w:rsidR="00373903" w:rsidRPr="00246E9D" w:rsidRDefault="00610C4A" w:rsidP="00517D6A">
      <w:pPr>
        <w:numPr>
          <w:ilvl w:val="0"/>
          <w:numId w:val="1"/>
        </w:numPr>
        <w:spacing w:before="120" w:after="240"/>
        <w:rPr>
          <w:rFonts w:ascii="Verdana" w:hAnsi="Verdana"/>
          <w:sz w:val="24"/>
          <w:szCs w:val="24"/>
        </w:rPr>
      </w:pPr>
      <w:r>
        <w:rPr>
          <w:rFonts w:ascii="Verdana" w:hAnsi="Verdana"/>
          <w:sz w:val="22"/>
          <w:szCs w:val="22"/>
        </w:rPr>
        <w:t xml:space="preserve"> </w:t>
      </w:r>
      <w:r w:rsidR="00AC2924">
        <w:rPr>
          <w:rFonts w:ascii="Verdana" w:hAnsi="Verdana"/>
          <w:sz w:val="22"/>
          <w:szCs w:val="22"/>
        </w:rPr>
        <w:t xml:space="preserve">It </w:t>
      </w:r>
      <w:r>
        <w:rPr>
          <w:rFonts w:ascii="Verdana" w:hAnsi="Verdana"/>
          <w:sz w:val="22"/>
          <w:szCs w:val="22"/>
        </w:rPr>
        <w:t xml:space="preserve">is possible that </w:t>
      </w:r>
      <w:r w:rsidR="00FF5336">
        <w:rPr>
          <w:rFonts w:ascii="Verdana" w:hAnsi="Verdana"/>
          <w:sz w:val="22"/>
          <w:szCs w:val="22"/>
        </w:rPr>
        <w:t>tho</w:t>
      </w:r>
      <w:r>
        <w:rPr>
          <w:rFonts w:ascii="Verdana" w:hAnsi="Verdana"/>
          <w:sz w:val="22"/>
          <w:szCs w:val="22"/>
        </w:rPr>
        <w:t>se who graduate in 2015</w:t>
      </w:r>
      <w:r w:rsidR="00C00A0B" w:rsidRPr="00246E9D">
        <w:rPr>
          <w:rFonts w:ascii="Verdana" w:hAnsi="Verdana"/>
          <w:sz w:val="22"/>
          <w:szCs w:val="22"/>
        </w:rPr>
        <w:t xml:space="preserve"> </w:t>
      </w:r>
      <w:r>
        <w:rPr>
          <w:rFonts w:ascii="Verdana" w:hAnsi="Verdana"/>
          <w:sz w:val="22"/>
          <w:szCs w:val="22"/>
        </w:rPr>
        <w:t>will catch up when the economy starts to grow, but it is also possible that, on average, their long term career prospects are affected by a difficult start. R</w:t>
      </w:r>
      <w:r w:rsidRPr="00246E9D">
        <w:rPr>
          <w:rFonts w:ascii="Verdana" w:hAnsi="Verdana"/>
          <w:sz w:val="22"/>
          <w:szCs w:val="22"/>
        </w:rPr>
        <w:t xml:space="preserve">epayments in the early years of the new loans scheme will </w:t>
      </w:r>
      <w:r>
        <w:rPr>
          <w:rFonts w:ascii="Verdana" w:hAnsi="Verdana"/>
          <w:sz w:val="22"/>
          <w:szCs w:val="22"/>
        </w:rPr>
        <w:t xml:space="preserve">probably be </w:t>
      </w:r>
      <w:r w:rsidRPr="00246E9D">
        <w:rPr>
          <w:rFonts w:ascii="Verdana" w:hAnsi="Verdana"/>
          <w:sz w:val="22"/>
          <w:szCs w:val="22"/>
        </w:rPr>
        <w:t>lower than expected</w:t>
      </w:r>
      <w:r>
        <w:rPr>
          <w:rFonts w:ascii="Verdana" w:hAnsi="Verdana"/>
          <w:sz w:val="22"/>
          <w:szCs w:val="22"/>
        </w:rPr>
        <w:t>, wh</w:t>
      </w:r>
      <w:r w:rsidR="000667B1">
        <w:rPr>
          <w:rFonts w:ascii="Verdana" w:hAnsi="Verdana"/>
          <w:sz w:val="22"/>
          <w:szCs w:val="22"/>
        </w:rPr>
        <w:t>e</w:t>
      </w:r>
      <w:r>
        <w:rPr>
          <w:rFonts w:ascii="Verdana" w:hAnsi="Verdana"/>
          <w:sz w:val="22"/>
          <w:szCs w:val="22"/>
        </w:rPr>
        <w:t xml:space="preserve">ther there </w:t>
      </w:r>
      <w:r w:rsidR="000667B1">
        <w:rPr>
          <w:rFonts w:ascii="Verdana" w:hAnsi="Verdana"/>
          <w:sz w:val="22"/>
          <w:szCs w:val="22"/>
        </w:rPr>
        <w:t>will be</w:t>
      </w:r>
      <w:r>
        <w:rPr>
          <w:rFonts w:ascii="Verdana" w:hAnsi="Verdana"/>
          <w:sz w:val="22"/>
          <w:szCs w:val="22"/>
        </w:rPr>
        <w:t xml:space="preserve"> long term effects is unclear. </w:t>
      </w:r>
    </w:p>
    <w:p w:rsidR="00EB6920" w:rsidRPr="00AC2924" w:rsidRDefault="00EB6920" w:rsidP="00517D6A">
      <w:pPr>
        <w:spacing w:before="120" w:after="240"/>
        <w:rPr>
          <w:rFonts w:ascii="Verdana" w:hAnsi="Verdana"/>
          <w:b/>
          <w:sz w:val="24"/>
          <w:szCs w:val="24"/>
        </w:rPr>
      </w:pPr>
      <w:r w:rsidRPr="00AC2924">
        <w:rPr>
          <w:rFonts w:ascii="Verdana" w:hAnsi="Verdana"/>
          <w:b/>
          <w:sz w:val="24"/>
          <w:szCs w:val="24"/>
        </w:rPr>
        <w:t xml:space="preserve">Long term average earnings assumptions </w:t>
      </w:r>
    </w:p>
    <w:p w:rsidR="00651F5C" w:rsidRDefault="00EB6920" w:rsidP="00517D6A">
      <w:pPr>
        <w:numPr>
          <w:ilvl w:val="0"/>
          <w:numId w:val="1"/>
        </w:numPr>
        <w:spacing w:after="240"/>
        <w:rPr>
          <w:rFonts w:ascii="Verdana" w:hAnsi="Verdana"/>
          <w:sz w:val="22"/>
          <w:szCs w:val="22"/>
        </w:rPr>
      </w:pPr>
      <w:r w:rsidRPr="00651F5C">
        <w:rPr>
          <w:rFonts w:ascii="Verdana" w:hAnsi="Verdana"/>
          <w:sz w:val="22"/>
          <w:szCs w:val="22"/>
        </w:rPr>
        <w:t xml:space="preserve">The Ready Reckoner model used the Treasury assumption that </w:t>
      </w:r>
      <w:r w:rsidR="00C05307" w:rsidRPr="00651F5C">
        <w:rPr>
          <w:rFonts w:ascii="Verdana" w:hAnsi="Verdana"/>
          <w:sz w:val="22"/>
          <w:szCs w:val="22"/>
        </w:rPr>
        <w:t xml:space="preserve">the </w:t>
      </w:r>
      <w:r w:rsidR="00B631E1">
        <w:rPr>
          <w:rFonts w:ascii="Verdana" w:hAnsi="Verdana"/>
          <w:sz w:val="22"/>
          <w:szCs w:val="22"/>
        </w:rPr>
        <w:t xml:space="preserve">mean </w:t>
      </w:r>
      <w:r w:rsidR="00C05307" w:rsidRPr="00651F5C">
        <w:rPr>
          <w:rFonts w:ascii="Verdana" w:hAnsi="Verdana"/>
          <w:sz w:val="22"/>
          <w:szCs w:val="22"/>
        </w:rPr>
        <w:t>long run growth in real incomes would be 2 per cent per annum</w:t>
      </w:r>
      <w:r w:rsidR="00316B92">
        <w:rPr>
          <w:rStyle w:val="FootnoteReference"/>
          <w:rFonts w:ascii="Verdana" w:hAnsi="Verdana"/>
          <w:sz w:val="22"/>
          <w:szCs w:val="22"/>
        </w:rPr>
        <w:footnoteReference w:id="2"/>
      </w:r>
      <w:r w:rsidR="00C05307" w:rsidRPr="00651F5C">
        <w:rPr>
          <w:rFonts w:ascii="Verdana" w:hAnsi="Verdana"/>
          <w:sz w:val="22"/>
          <w:szCs w:val="22"/>
        </w:rPr>
        <w:t xml:space="preserve">. The current forecasts use the </w:t>
      </w:r>
      <w:r w:rsidR="00D01406" w:rsidRPr="00651F5C">
        <w:rPr>
          <w:rFonts w:ascii="Verdana" w:hAnsi="Verdana"/>
          <w:sz w:val="22"/>
          <w:szCs w:val="22"/>
        </w:rPr>
        <w:t xml:space="preserve">Office for </w:t>
      </w:r>
      <w:r w:rsidR="002F7A0C" w:rsidRPr="00651F5C">
        <w:rPr>
          <w:rFonts w:ascii="Verdana" w:hAnsi="Verdana"/>
          <w:sz w:val="22"/>
          <w:szCs w:val="22"/>
        </w:rPr>
        <w:t>Budget Responsibility (OBR) as</w:t>
      </w:r>
      <w:r w:rsidR="004C3789" w:rsidRPr="00651F5C">
        <w:rPr>
          <w:rFonts w:ascii="Verdana" w:hAnsi="Verdana"/>
          <w:sz w:val="22"/>
          <w:szCs w:val="22"/>
        </w:rPr>
        <w:t xml:space="preserve">sumptions of </w:t>
      </w:r>
      <w:r w:rsidR="00C96D92" w:rsidRPr="00651F5C">
        <w:rPr>
          <w:rFonts w:ascii="Verdana" w:hAnsi="Verdana"/>
          <w:sz w:val="22"/>
          <w:szCs w:val="22"/>
        </w:rPr>
        <w:t>1.31</w:t>
      </w:r>
      <w:r w:rsidR="004C3789" w:rsidRPr="00651F5C">
        <w:rPr>
          <w:rFonts w:ascii="Verdana" w:hAnsi="Verdana"/>
          <w:sz w:val="22"/>
          <w:szCs w:val="22"/>
        </w:rPr>
        <w:t xml:space="preserve"> </w:t>
      </w:r>
      <w:r w:rsidR="00845BC6" w:rsidRPr="00651F5C">
        <w:rPr>
          <w:rFonts w:ascii="Verdana" w:hAnsi="Verdana"/>
          <w:sz w:val="22"/>
          <w:szCs w:val="22"/>
        </w:rPr>
        <w:t xml:space="preserve">per cent </w:t>
      </w:r>
      <w:r w:rsidR="004C3789" w:rsidRPr="00651F5C">
        <w:rPr>
          <w:rFonts w:ascii="Verdana" w:hAnsi="Verdana"/>
          <w:sz w:val="22"/>
          <w:szCs w:val="22"/>
        </w:rPr>
        <w:t xml:space="preserve">pa </w:t>
      </w:r>
      <w:r w:rsidR="00B631E1">
        <w:rPr>
          <w:rFonts w:ascii="Verdana" w:hAnsi="Verdana"/>
          <w:sz w:val="22"/>
          <w:szCs w:val="22"/>
        </w:rPr>
        <w:t xml:space="preserve">mean growth </w:t>
      </w:r>
      <w:r w:rsidR="004C3789" w:rsidRPr="00651F5C">
        <w:rPr>
          <w:rFonts w:ascii="Verdana" w:hAnsi="Verdana"/>
          <w:sz w:val="22"/>
          <w:szCs w:val="22"/>
        </w:rPr>
        <w:t>f</w:t>
      </w:r>
      <w:r w:rsidR="00C23111" w:rsidRPr="00651F5C">
        <w:rPr>
          <w:rFonts w:ascii="Verdana" w:hAnsi="Verdana"/>
          <w:sz w:val="22"/>
          <w:szCs w:val="22"/>
        </w:rPr>
        <w:t>rom</w:t>
      </w:r>
      <w:r w:rsidR="004C3789" w:rsidRPr="00651F5C">
        <w:rPr>
          <w:rFonts w:ascii="Verdana" w:hAnsi="Verdana"/>
          <w:sz w:val="22"/>
          <w:szCs w:val="22"/>
        </w:rPr>
        <w:t xml:space="preserve"> 2021.</w:t>
      </w:r>
      <w:r w:rsidR="009C631F">
        <w:rPr>
          <w:rStyle w:val="FootnoteReference"/>
          <w:rFonts w:ascii="Verdana" w:hAnsi="Verdana"/>
          <w:sz w:val="22"/>
          <w:szCs w:val="22"/>
        </w:rPr>
        <w:footnoteReference w:id="3"/>
      </w:r>
      <w:r w:rsidR="002F7A0C" w:rsidRPr="00651F5C">
        <w:rPr>
          <w:rFonts w:ascii="Verdana" w:hAnsi="Verdana"/>
          <w:sz w:val="22"/>
          <w:szCs w:val="22"/>
        </w:rPr>
        <w:t>. Up to 2017 OBR projections are used</w:t>
      </w:r>
      <w:r w:rsidR="00AF7014">
        <w:rPr>
          <w:rStyle w:val="FootnoteReference"/>
          <w:rFonts w:ascii="Verdana" w:hAnsi="Verdana"/>
          <w:sz w:val="22"/>
          <w:szCs w:val="22"/>
        </w:rPr>
        <w:footnoteReference w:id="4"/>
      </w:r>
      <w:r w:rsidR="002F7A0C" w:rsidRPr="00651F5C">
        <w:rPr>
          <w:rFonts w:ascii="Verdana" w:hAnsi="Verdana"/>
          <w:sz w:val="22"/>
          <w:szCs w:val="22"/>
        </w:rPr>
        <w:t xml:space="preserve"> and </w:t>
      </w:r>
      <w:r w:rsidR="00D01406" w:rsidRPr="00651F5C">
        <w:rPr>
          <w:rFonts w:ascii="Verdana" w:hAnsi="Verdana"/>
          <w:sz w:val="22"/>
          <w:szCs w:val="22"/>
        </w:rPr>
        <w:t xml:space="preserve">between 2017 and 2021 the values are simple interpolations between short-term </w:t>
      </w:r>
      <w:r w:rsidR="009C631F" w:rsidRPr="00651F5C">
        <w:rPr>
          <w:rFonts w:ascii="Verdana" w:hAnsi="Verdana"/>
          <w:sz w:val="22"/>
          <w:szCs w:val="22"/>
        </w:rPr>
        <w:t>and lo</w:t>
      </w:r>
      <w:r w:rsidR="004C3789" w:rsidRPr="00651F5C">
        <w:rPr>
          <w:rFonts w:ascii="Verdana" w:hAnsi="Verdana"/>
          <w:sz w:val="22"/>
          <w:szCs w:val="22"/>
        </w:rPr>
        <w:t>n</w:t>
      </w:r>
      <w:r w:rsidR="009C631F" w:rsidRPr="00651F5C">
        <w:rPr>
          <w:rFonts w:ascii="Verdana" w:hAnsi="Verdana"/>
          <w:sz w:val="22"/>
          <w:szCs w:val="22"/>
        </w:rPr>
        <w:t>g term figures.</w:t>
      </w:r>
      <w:r w:rsidR="00D01406" w:rsidRPr="00651F5C">
        <w:rPr>
          <w:rFonts w:ascii="Verdana" w:hAnsi="Verdana"/>
          <w:sz w:val="22"/>
          <w:szCs w:val="22"/>
        </w:rPr>
        <w:t xml:space="preserve"> </w:t>
      </w:r>
    </w:p>
    <w:p w:rsidR="00EB6920" w:rsidRPr="00651F5C" w:rsidRDefault="009C631F" w:rsidP="00517D6A">
      <w:pPr>
        <w:numPr>
          <w:ilvl w:val="0"/>
          <w:numId w:val="1"/>
        </w:numPr>
        <w:spacing w:after="240"/>
        <w:rPr>
          <w:rFonts w:ascii="Verdana" w:hAnsi="Verdana"/>
          <w:sz w:val="22"/>
          <w:szCs w:val="22"/>
        </w:rPr>
      </w:pPr>
      <w:r w:rsidRPr="00651F5C">
        <w:rPr>
          <w:rFonts w:ascii="Verdana" w:hAnsi="Verdana"/>
          <w:sz w:val="22"/>
          <w:szCs w:val="22"/>
        </w:rPr>
        <w:lastRenderedPageBreak/>
        <w:t xml:space="preserve">These much less optimistic assumptions significantly reduce the estimated graduate incomes at the end of the repayment period. </w:t>
      </w:r>
      <w:r w:rsidR="004C3789" w:rsidRPr="00651F5C">
        <w:rPr>
          <w:rFonts w:ascii="Verdana" w:hAnsi="Verdana"/>
          <w:sz w:val="22"/>
          <w:szCs w:val="22"/>
        </w:rPr>
        <w:t xml:space="preserve">In our previous analysis we highlight the headline figure of £99,500 </w:t>
      </w:r>
      <w:r w:rsidR="008B3A65" w:rsidRPr="00651F5C">
        <w:rPr>
          <w:rFonts w:ascii="Verdana" w:hAnsi="Verdana"/>
          <w:sz w:val="22"/>
          <w:szCs w:val="22"/>
        </w:rPr>
        <w:t xml:space="preserve">pa </w:t>
      </w:r>
      <w:r w:rsidR="004C3789" w:rsidRPr="00651F5C">
        <w:rPr>
          <w:rFonts w:ascii="Verdana" w:hAnsi="Verdana"/>
          <w:sz w:val="22"/>
          <w:szCs w:val="22"/>
        </w:rPr>
        <w:t xml:space="preserve">for </w:t>
      </w:r>
      <w:r w:rsidR="008B3A65" w:rsidRPr="00651F5C">
        <w:rPr>
          <w:rFonts w:ascii="Verdana" w:hAnsi="Verdana"/>
          <w:sz w:val="22"/>
          <w:szCs w:val="22"/>
        </w:rPr>
        <w:t>mean</w:t>
      </w:r>
      <w:r w:rsidR="004C3789" w:rsidRPr="00651F5C">
        <w:rPr>
          <w:rFonts w:ascii="Verdana" w:hAnsi="Verdana"/>
          <w:sz w:val="22"/>
          <w:szCs w:val="22"/>
        </w:rPr>
        <w:t xml:space="preserve"> non-zero earnings for male graduates </w:t>
      </w:r>
      <w:r w:rsidR="008B3A65" w:rsidRPr="00651F5C">
        <w:rPr>
          <w:rFonts w:ascii="Verdana" w:hAnsi="Verdana"/>
          <w:sz w:val="22"/>
          <w:szCs w:val="22"/>
        </w:rPr>
        <w:t xml:space="preserve">in the final year of the repayment period. Table </w:t>
      </w:r>
      <w:r w:rsidR="00AC2924">
        <w:rPr>
          <w:rFonts w:ascii="Verdana" w:hAnsi="Verdana"/>
          <w:sz w:val="22"/>
          <w:szCs w:val="22"/>
        </w:rPr>
        <w:t>3</w:t>
      </w:r>
      <w:r w:rsidR="008B3A65" w:rsidRPr="00651F5C">
        <w:rPr>
          <w:rFonts w:ascii="Verdana" w:hAnsi="Verdana"/>
          <w:sz w:val="22"/>
          <w:szCs w:val="22"/>
        </w:rPr>
        <w:t xml:space="preserve"> shows the comparable figures for the new model </w:t>
      </w:r>
      <w:r w:rsidR="00C23111" w:rsidRPr="00651F5C">
        <w:rPr>
          <w:rFonts w:ascii="Verdana" w:hAnsi="Verdana"/>
          <w:sz w:val="22"/>
          <w:szCs w:val="22"/>
        </w:rPr>
        <w:t xml:space="preserve">with the new and old average earnings </w:t>
      </w:r>
      <w:r w:rsidR="008B3A65" w:rsidRPr="00651F5C">
        <w:rPr>
          <w:rFonts w:ascii="Verdana" w:hAnsi="Verdana"/>
          <w:sz w:val="22"/>
          <w:szCs w:val="22"/>
        </w:rPr>
        <w:t xml:space="preserve">assumptions. </w:t>
      </w:r>
    </w:p>
    <w:p w:rsidR="008B3A65" w:rsidRPr="00D541EC" w:rsidRDefault="00C23111" w:rsidP="008B3A65">
      <w:pPr>
        <w:spacing w:after="240"/>
        <w:rPr>
          <w:rFonts w:ascii="Verdana" w:hAnsi="Verdana"/>
          <w:sz w:val="22"/>
          <w:szCs w:val="22"/>
          <w:u w:val="single"/>
        </w:rPr>
      </w:pPr>
      <w:r w:rsidRPr="00D541EC">
        <w:rPr>
          <w:rFonts w:ascii="Verdana" w:hAnsi="Verdana"/>
          <w:sz w:val="22"/>
          <w:szCs w:val="22"/>
          <w:u w:val="single"/>
        </w:rPr>
        <w:t xml:space="preserve">Table </w:t>
      </w:r>
      <w:r w:rsidR="00AC2924">
        <w:rPr>
          <w:rFonts w:ascii="Verdana" w:hAnsi="Verdana"/>
          <w:sz w:val="22"/>
          <w:szCs w:val="22"/>
          <w:u w:val="single"/>
        </w:rPr>
        <w:t>3</w:t>
      </w:r>
      <w:r w:rsidRPr="00D541EC">
        <w:rPr>
          <w:rFonts w:ascii="Verdana" w:hAnsi="Verdana"/>
          <w:sz w:val="22"/>
          <w:szCs w:val="22"/>
          <w:u w:val="single"/>
        </w:rPr>
        <w:t xml:space="preserve">: Mean </w:t>
      </w:r>
      <w:r w:rsidR="003A5887" w:rsidRPr="00D541EC">
        <w:rPr>
          <w:rFonts w:ascii="Verdana" w:hAnsi="Verdana"/>
          <w:sz w:val="22"/>
          <w:szCs w:val="22"/>
          <w:u w:val="single"/>
        </w:rPr>
        <w:t>male earnings 20</w:t>
      </w:r>
      <w:r w:rsidR="0088538C">
        <w:rPr>
          <w:rFonts w:ascii="Verdana" w:hAnsi="Verdana"/>
          <w:sz w:val="22"/>
          <w:szCs w:val="22"/>
          <w:u w:val="single"/>
        </w:rPr>
        <w:t>45</w:t>
      </w:r>
      <w:r w:rsidR="00D541EC" w:rsidRPr="00D541EC">
        <w:rPr>
          <w:rFonts w:ascii="Verdana" w:hAnsi="Verdana"/>
          <w:sz w:val="22"/>
          <w:szCs w:val="22"/>
          <w:u w:val="single"/>
        </w:rPr>
        <w:t xml:space="preserve"> </w:t>
      </w:r>
      <w:r w:rsidR="003A5887" w:rsidRPr="00D541EC">
        <w:rPr>
          <w:rFonts w:ascii="Verdana" w:hAnsi="Verdana"/>
          <w:sz w:val="22"/>
          <w:szCs w:val="22"/>
          <w:u w:val="single"/>
        </w:rPr>
        <w:t>(2016 prices</w:t>
      </w:r>
      <w:r w:rsidR="007B28B4">
        <w:rPr>
          <w:rFonts w:ascii="Verdana" w:hAnsi="Verdana"/>
          <w:sz w:val="22"/>
          <w:szCs w:val="22"/>
          <w:u w:val="single"/>
        </w:rPr>
        <w:t>)</w:t>
      </w:r>
    </w:p>
    <w:tbl>
      <w:tblPr>
        <w:tblStyle w:val="TableGrid"/>
        <w:tblW w:w="0" w:type="auto"/>
        <w:tblLook w:val="04A0" w:firstRow="1" w:lastRow="0" w:firstColumn="1" w:lastColumn="0" w:noHBand="0" w:noVBand="1"/>
      </w:tblPr>
      <w:tblGrid>
        <w:gridCol w:w="5070"/>
        <w:gridCol w:w="1984"/>
      </w:tblGrid>
      <w:tr w:rsidR="00C23111" w:rsidTr="00D541EC">
        <w:tc>
          <w:tcPr>
            <w:tcW w:w="5070" w:type="dxa"/>
          </w:tcPr>
          <w:p w:rsidR="00C23111" w:rsidRDefault="00C23111" w:rsidP="003A5887">
            <w:pPr>
              <w:spacing w:after="240"/>
              <w:rPr>
                <w:rFonts w:ascii="Verdana" w:hAnsi="Verdana"/>
                <w:sz w:val="22"/>
                <w:szCs w:val="22"/>
              </w:rPr>
            </w:pPr>
            <w:r>
              <w:rPr>
                <w:rFonts w:ascii="Verdana" w:hAnsi="Verdana"/>
                <w:sz w:val="22"/>
                <w:szCs w:val="22"/>
              </w:rPr>
              <w:t>Ready Reckoner (</w:t>
            </w:r>
            <w:r w:rsidR="003A5887">
              <w:rPr>
                <w:rFonts w:ascii="Verdana" w:hAnsi="Verdana"/>
                <w:sz w:val="22"/>
                <w:szCs w:val="22"/>
              </w:rPr>
              <w:t xml:space="preserve">graduates and other </w:t>
            </w:r>
            <w:r>
              <w:rPr>
                <w:rFonts w:ascii="Verdana" w:hAnsi="Verdana"/>
                <w:sz w:val="22"/>
                <w:szCs w:val="22"/>
              </w:rPr>
              <w:t>former students</w:t>
            </w:r>
            <w:r w:rsidR="003A5887">
              <w:rPr>
                <w:rFonts w:ascii="Verdana" w:hAnsi="Verdana"/>
                <w:sz w:val="22"/>
                <w:szCs w:val="22"/>
              </w:rPr>
              <w:t>)</w:t>
            </w:r>
          </w:p>
        </w:tc>
        <w:tc>
          <w:tcPr>
            <w:tcW w:w="1984" w:type="dxa"/>
          </w:tcPr>
          <w:p w:rsidR="00C23111" w:rsidRDefault="00D541EC" w:rsidP="00D541EC">
            <w:pPr>
              <w:spacing w:after="240"/>
              <w:jc w:val="right"/>
              <w:rPr>
                <w:rFonts w:ascii="Verdana" w:hAnsi="Verdana"/>
                <w:sz w:val="22"/>
                <w:szCs w:val="22"/>
              </w:rPr>
            </w:pPr>
            <w:r>
              <w:rPr>
                <w:rFonts w:ascii="Verdana" w:hAnsi="Verdana"/>
                <w:sz w:val="22"/>
                <w:szCs w:val="22"/>
              </w:rPr>
              <w:t>£99,500 pa</w:t>
            </w:r>
          </w:p>
        </w:tc>
      </w:tr>
      <w:tr w:rsidR="00C23111" w:rsidTr="00D541EC">
        <w:tc>
          <w:tcPr>
            <w:tcW w:w="5070" w:type="dxa"/>
          </w:tcPr>
          <w:p w:rsidR="00C23111" w:rsidRDefault="00C23111" w:rsidP="00C23111">
            <w:pPr>
              <w:spacing w:after="240"/>
              <w:rPr>
                <w:rFonts w:ascii="Verdana" w:hAnsi="Verdana"/>
                <w:sz w:val="22"/>
                <w:szCs w:val="22"/>
              </w:rPr>
            </w:pPr>
            <w:r>
              <w:rPr>
                <w:rFonts w:ascii="Verdana" w:hAnsi="Verdana"/>
                <w:sz w:val="22"/>
                <w:szCs w:val="22"/>
              </w:rPr>
              <w:t>Simplified model, OBR average earning assumptions</w:t>
            </w:r>
            <w:r w:rsidR="008E46A9" w:rsidRPr="008E46A9">
              <w:rPr>
                <w:rFonts w:ascii="Verdana" w:hAnsi="Verdana"/>
                <w:sz w:val="22"/>
                <w:szCs w:val="22"/>
                <w:vertAlign w:val="superscript"/>
              </w:rPr>
              <w:t>1</w:t>
            </w:r>
          </w:p>
        </w:tc>
        <w:tc>
          <w:tcPr>
            <w:tcW w:w="1984" w:type="dxa"/>
          </w:tcPr>
          <w:p w:rsidR="00C23111" w:rsidRDefault="0088538C" w:rsidP="00D541EC">
            <w:pPr>
              <w:spacing w:after="240"/>
              <w:jc w:val="right"/>
              <w:rPr>
                <w:rFonts w:ascii="Verdana" w:hAnsi="Verdana"/>
                <w:sz w:val="22"/>
                <w:szCs w:val="22"/>
              </w:rPr>
            </w:pPr>
            <w:r>
              <w:rPr>
                <w:rFonts w:ascii="Verdana" w:hAnsi="Verdana"/>
                <w:sz w:val="22"/>
                <w:szCs w:val="22"/>
              </w:rPr>
              <w:t>£76,500 pa</w:t>
            </w:r>
          </w:p>
        </w:tc>
      </w:tr>
      <w:tr w:rsidR="00C23111" w:rsidTr="00D541EC">
        <w:tc>
          <w:tcPr>
            <w:tcW w:w="5070" w:type="dxa"/>
          </w:tcPr>
          <w:p w:rsidR="00C23111" w:rsidRDefault="00C23111" w:rsidP="008E46A9">
            <w:pPr>
              <w:spacing w:after="240"/>
              <w:rPr>
                <w:rFonts w:ascii="Verdana" w:hAnsi="Verdana"/>
                <w:sz w:val="22"/>
                <w:szCs w:val="22"/>
              </w:rPr>
            </w:pPr>
            <w:r>
              <w:rPr>
                <w:rFonts w:ascii="Verdana" w:hAnsi="Verdana"/>
                <w:sz w:val="22"/>
                <w:szCs w:val="22"/>
              </w:rPr>
              <w:t>Simplified model, 2 per cent pa average earnings increase from 2021</w:t>
            </w:r>
            <w:r w:rsidR="008E46A9" w:rsidRPr="008E46A9">
              <w:rPr>
                <w:rFonts w:ascii="Verdana" w:hAnsi="Verdana"/>
                <w:sz w:val="22"/>
                <w:szCs w:val="22"/>
                <w:vertAlign w:val="superscript"/>
              </w:rPr>
              <w:t>2</w:t>
            </w:r>
          </w:p>
        </w:tc>
        <w:tc>
          <w:tcPr>
            <w:tcW w:w="1984" w:type="dxa"/>
          </w:tcPr>
          <w:p w:rsidR="00C23111" w:rsidRDefault="00AF4EE3" w:rsidP="00D541EC">
            <w:pPr>
              <w:spacing w:after="240"/>
              <w:jc w:val="right"/>
              <w:rPr>
                <w:rFonts w:ascii="Verdana" w:hAnsi="Verdana"/>
                <w:sz w:val="22"/>
                <w:szCs w:val="22"/>
              </w:rPr>
            </w:pPr>
            <w:r>
              <w:rPr>
                <w:rFonts w:ascii="Verdana" w:hAnsi="Verdana"/>
                <w:sz w:val="22"/>
                <w:szCs w:val="22"/>
              </w:rPr>
              <w:t>£90,100 pa</w:t>
            </w:r>
          </w:p>
        </w:tc>
      </w:tr>
    </w:tbl>
    <w:p w:rsidR="008E46A9" w:rsidRDefault="008E46A9" w:rsidP="00434E2B">
      <w:pPr>
        <w:spacing w:after="240"/>
        <w:rPr>
          <w:rFonts w:ascii="Verdana" w:hAnsi="Verdana"/>
          <w:sz w:val="18"/>
          <w:szCs w:val="18"/>
        </w:rPr>
      </w:pPr>
      <w:r w:rsidRPr="008E46A9">
        <w:rPr>
          <w:rFonts w:ascii="Verdana" w:hAnsi="Verdana"/>
          <w:sz w:val="18"/>
          <w:szCs w:val="18"/>
        </w:rPr>
        <w:t>(1) Taking the average of the non-zero percentiles from the age x percentile matrix for age 51 (sheet ID), inflating by the ‘Nominal wage index for 2009’ (sheet Global) and deflating by the RPI. NB the figure may include a small number of individuals from the lowest non-zero percentile (11 per cent.)</w:t>
      </w:r>
      <w:r w:rsidR="00845BC6">
        <w:rPr>
          <w:rFonts w:ascii="Verdana" w:hAnsi="Verdana"/>
          <w:sz w:val="18"/>
          <w:szCs w:val="18"/>
        </w:rPr>
        <w:t xml:space="preserve">                                                                                     </w:t>
      </w:r>
      <w:r>
        <w:rPr>
          <w:rFonts w:ascii="Verdana" w:hAnsi="Verdana"/>
          <w:sz w:val="18"/>
          <w:szCs w:val="18"/>
        </w:rPr>
        <w:t>(2) Earnings and inflation assumptions for 2009 to 2020 as in original simplified model</w:t>
      </w:r>
    </w:p>
    <w:p w:rsidR="00D541EC" w:rsidRDefault="003A5887" w:rsidP="003A5887">
      <w:pPr>
        <w:numPr>
          <w:ilvl w:val="0"/>
          <w:numId w:val="1"/>
        </w:numPr>
        <w:spacing w:after="240"/>
        <w:rPr>
          <w:rFonts w:ascii="Verdana" w:hAnsi="Verdana"/>
          <w:sz w:val="22"/>
          <w:szCs w:val="22"/>
        </w:rPr>
      </w:pPr>
      <w:r>
        <w:rPr>
          <w:rFonts w:ascii="Verdana" w:hAnsi="Verdana"/>
          <w:sz w:val="22"/>
          <w:szCs w:val="22"/>
        </w:rPr>
        <w:t xml:space="preserve">Table </w:t>
      </w:r>
      <w:r w:rsidR="00AC2924">
        <w:rPr>
          <w:rFonts w:ascii="Verdana" w:hAnsi="Verdana"/>
          <w:sz w:val="22"/>
          <w:szCs w:val="22"/>
        </w:rPr>
        <w:t>4</w:t>
      </w:r>
      <w:r>
        <w:rPr>
          <w:rFonts w:ascii="Verdana" w:hAnsi="Verdana"/>
          <w:sz w:val="22"/>
          <w:szCs w:val="22"/>
        </w:rPr>
        <w:t xml:space="preserve"> shows the RAB values for different long term average earning assumptions using the simplified model.</w:t>
      </w:r>
      <w:r w:rsidR="008F2AF7">
        <w:rPr>
          <w:rFonts w:ascii="Verdana" w:hAnsi="Verdana"/>
          <w:sz w:val="22"/>
          <w:szCs w:val="22"/>
        </w:rPr>
        <w:t xml:space="preserve"> We show the values for males and females as well as the overall figure, because the</w:t>
      </w:r>
      <w:r w:rsidR="00B10611">
        <w:rPr>
          <w:rFonts w:ascii="Verdana" w:hAnsi="Verdana"/>
          <w:sz w:val="22"/>
          <w:szCs w:val="22"/>
        </w:rPr>
        <w:t>ir earnings profiles are so different.</w:t>
      </w:r>
      <w:r w:rsidR="008F2AF7">
        <w:rPr>
          <w:rFonts w:ascii="Verdana" w:hAnsi="Verdana"/>
          <w:sz w:val="22"/>
          <w:szCs w:val="22"/>
        </w:rPr>
        <w:t xml:space="preserve"> </w:t>
      </w:r>
    </w:p>
    <w:p w:rsidR="00D541EC" w:rsidRPr="00D541EC" w:rsidRDefault="00D541EC" w:rsidP="00D541EC">
      <w:pPr>
        <w:spacing w:after="240"/>
        <w:rPr>
          <w:rFonts w:ascii="Verdana" w:hAnsi="Verdana"/>
          <w:sz w:val="22"/>
          <w:szCs w:val="22"/>
          <w:u w:val="single"/>
        </w:rPr>
      </w:pPr>
      <w:r w:rsidRPr="00D541EC">
        <w:rPr>
          <w:rFonts w:ascii="Verdana" w:hAnsi="Verdana"/>
          <w:sz w:val="22"/>
          <w:szCs w:val="22"/>
          <w:u w:val="single"/>
        </w:rPr>
        <w:t xml:space="preserve">Table </w:t>
      </w:r>
      <w:r w:rsidR="00AC2924">
        <w:rPr>
          <w:rFonts w:ascii="Verdana" w:hAnsi="Verdana"/>
          <w:sz w:val="22"/>
          <w:szCs w:val="22"/>
          <w:u w:val="single"/>
        </w:rPr>
        <w:t>4</w:t>
      </w:r>
      <w:r w:rsidRPr="00D541EC">
        <w:rPr>
          <w:rFonts w:ascii="Verdana" w:hAnsi="Verdana"/>
          <w:sz w:val="22"/>
          <w:szCs w:val="22"/>
          <w:u w:val="single"/>
        </w:rPr>
        <w:t xml:space="preserve">: RAB values with different long term earnings assumptions       </w:t>
      </w:r>
    </w:p>
    <w:tbl>
      <w:tblPr>
        <w:tblStyle w:val="TableGrid"/>
        <w:tblW w:w="0" w:type="auto"/>
        <w:tblInd w:w="108" w:type="dxa"/>
        <w:tblLook w:val="04A0" w:firstRow="1" w:lastRow="0" w:firstColumn="1" w:lastColumn="0" w:noHBand="0" w:noVBand="1"/>
      </w:tblPr>
      <w:tblGrid>
        <w:gridCol w:w="4962"/>
        <w:gridCol w:w="992"/>
        <w:gridCol w:w="1134"/>
        <w:gridCol w:w="953"/>
      </w:tblGrid>
      <w:tr w:rsidR="008F2AF7" w:rsidTr="00CF1619">
        <w:tc>
          <w:tcPr>
            <w:tcW w:w="4962" w:type="dxa"/>
            <w:vMerge w:val="restart"/>
          </w:tcPr>
          <w:p w:rsidR="008F2AF7" w:rsidRPr="00D541EC" w:rsidRDefault="008F2AF7" w:rsidP="00D541EC">
            <w:pPr>
              <w:spacing w:after="240"/>
              <w:jc w:val="center"/>
              <w:rPr>
                <w:rFonts w:ascii="Verdana" w:hAnsi="Verdana"/>
                <w:sz w:val="22"/>
                <w:szCs w:val="22"/>
              </w:rPr>
            </w:pPr>
            <w:r w:rsidRPr="00D541EC">
              <w:rPr>
                <w:rFonts w:ascii="Verdana" w:hAnsi="Verdana"/>
                <w:sz w:val="22"/>
                <w:szCs w:val="22"/>
              </w:rPr>
              <w:t>Annual increase in real average earnings from 2021</w:t>
            </w:r>
          </w:p>
        </w:tc>
        <w:tc>
          <w:tcPr>
            <w:tcW w:w="2996" w:type="dxa"/>
            <w:gridSpan w:val="3"/>
          </w:tcPr>
          <w:p w:rsidR="008F2AF7" w:rsidRPr="00D541EC" w:rsidRDefault="008F2AF7" w:rsidP="00D541EC">
            <w:pPr>
              <w:spacing w:after="240"/>
              <w:jc w:val="center"/>
              <w:rPr>
                <w:rFonts w:ascii="Verdana" w:hAnsi="Verdana"/>
                <w:sz w:val="22"/>
                <w:szCs w:val="22"/>
              </w:rPr>
            </w:pPr>
            <w:r w:rsidRPr="00D541EC">
              <w:rPr>
                <w:rFonts w:ascii="Verdana" w:hAnsi="Verdana"/>
                <w:sz w:val="22"/>
                <w:szCs w:val="22"/>
              </w:rPr>
              <w:t>RAB</w:t>
            </w:r>
          </w:p>
        </w:tc>
      </w:tr>
      <w:tr w:rsidR="008F2AF7" w:rsidTr="00CF1619">
        <w:tc>
          <w:tcPr>
            <w:tcW w:w="4962" w:type="dxa"/>
            <w:vMerge/>
          </w:tcPr>
          <w:p w:rsidR="008F2AF7" w:rsidRPr="00D541EC" w:rsidRDefault="008F2AF7" w:rsidP="00D541EC">
            <w:pPr>
              <w:spacing w:after="240"/>
              <w:jc w:val="center"/>
              <w:rPr>
                <w:rFonts w:ascii="Verdana" w:hAnsi="Verdana"/>
                <w:sz w:val="22"/>
                <w:szCs w:val="22"/>
              </w:rPr>
            </w:pPr>
          </w:p>
        </w:tc>
        <w:tc>
          <w:tcPr>
            <w:tcW w:w="992" w:type="dxa"/>
          </w:tcPr>
          <w:p w:rsidR="008F2AF7" w:rsidRPr="00D541EC" w:rsidRDefault="008F2AF7" w:rsidP="00D541EC">
            <w:pPr>
              <w:spacing w:after="240"/>
              <w:jc w:val="center"/>
              <w:rPr>
                <w:rFonts w:ascii="Verdana" w:hAnsi="Verdana"/>
                <w:sz w:val="22"/>
                <w:szCs w:val="22"/>
              </w:rPr>
            </w:pPr>
            <w:r>
              <w:rPr>
                <w:rFonts w:ascii="Verdana" w:hAnsi="Verdana"/>
                <w:sz w:val="22"/>
                <w:szCs w:val="22"/>
              </w:rPr>
              <w:t xml:space="preserve">Male </w:t>
            </w:r>
          </w:p>
        </w:tc>
        <w:tc>
          <w:tcPr>
            <w:tcW w:w="1134" w:type="dxa"/>
          </w:tcPr>
          <w:p w:rsidR="008F2AF7" w:rsidRPr="00D541EC" w:rsidRDefault="008F2AF7" w:rsidP="00D541EC">
            <w:pPr>
              <w:spacing w:after="240"/>
              <w:jc w:val="center"/>
              <w:rPr>
                <w:rFonts w:ascii="Verdana" w:hAnsi="Verdana"/>
                <w:sz w:val="22"/>
                <w:szCs w:val="22"/>
              </w:rPr>
            </w:pPr>
            <w:r>
              <w:rPr>
                <w:rFonts w:ascii="Verdana" w:hAnsi="Verdana"/>
                <w:sz w:val="22"/>
                <w:szCs w:val="22"/>
              </w:rPr>
              <w:t>Female</w:t>
            </w:r>
          </w:p>
        </w:tc>
        <w:tc>
          <w:tcPr>
            <w:tcW w:w="870" w:type="dxa"/>
          </w:tcPr>
          <w:p w:rsidR="008F2AF7" w:rsidRPr="00D541EC" w:rsidRDefault="008F2AF7" w:rsidP="00D541EC">
            <w:pPr>
              <w:spacing w:after="240"/>
              <w:jc w:val="center"/>
              <w:rPr>
                <w:rFonts w:ascii="Verdana" w:hAnsi="Verdana"/>
                <w:sz w:val="22"/>
                <w:szCs w:val="22"/>
              </w:rPr>
            </w:pPr>
            <w:r>
              <w:rPr>
                <w:rFonts w:ascii="Verdana" w:hAnsi="Verdana"/>
                <w:sz w:val="22"/>
                <w:szCs w:val="22"/>
              </w:rPr>
              <w:t>All</w:t>
            </w:r>
          </w:p>
        </w:tc>
      </w:tr>
      <w:tr w:rsidR="005E4618" w:rsidTr="00CF1619">
        <w:tc>
          <w:tcPr>
            <w:tcW w:w="4962" w:type="dxa"/>
          </w:tcPr>
          <w:p w:rsidR="005E4618" w:rsidRDefault="005E4618" w:rsidP="00434E2B">
            <w:pPr>
              <w:spacing w:after="240"/>
              <w:rPr>
                <w:rFonts w:ascii="Verdana" w:hAnsi="Verdana"/>
                <w:sz w:val="22"/>
                <w:szCs w:val="22"/>
              </w:rPr>
            </w:pPr>
            <w:r>
              <w:rPr>
                <w:rFonts w:ascii="Verdana" w:hAnsi="Verdana"/>
                <w:sz w:val="22"/>
                <w:szCs w:val="22"/>
              </w:rPr>
              <w:t>0.00 % pa</w:t>
            </w:r>
          </w:p>
        </w:tc>
        <w:tc>
          <w:tcPr>
            <w:tcW w:w="992" w:type="dxa"/>
          </w:tcPr>
          <w:p w:rsidR="005E4618" w:rsidRDefault="005E4618" w:rsidP="007274A9">
            <w:pPr>
              <w:spacing w:after="240"/>
              <w:rPr>
                <w:rFonts w:ascii="Verdana" w:hAnsi="Verdana"/>
                <w:sz w:val="22"/>
                <w:szCs w:val="22"/>
              </w:rPr>
            </w:pPr>
            <w:r>
              <w:rPr>
                <w:rFonts w:ascii="Verdana" w:hAnsi="Verdana"/>
                <w:sz w:val="22"/>
                <w:szCs w:val="22"/>
              </w:rPr>
              <w:t>1</w:t>
            </w:r>
            <w:r w:rsidR="007274A9">
              <w:rPr>
                <w:rFonts w:ascii="Verdana" w:hAnsi="Verdana"/>
                <w:sz w:val="22"/>
                <w:szCs w:val="22"/>
              </w:rPr>
              <w:t>7.2</w:t>
            </w:r>
            <w:r>
              <w:rPr>
                <w:rFonts w:ascii="Verdana" w:hAnsi="Verdana"/>
                <w:sz w:val="22"/>
                <w:szCs w:val="22"/>
              </w:rPr>
              <w:t>%</w:t>
            </w:r>
          </w:p>
        </w:tc>
        <w:tc>
          <w:tcPr>
            <w:tcW w:w="1134" w:type="dxa"/>
          </w:tcPr>
          <w:p w:rsidR="005E4618" w:rsidRDefault="005E4618" w:rsidP="007274A9">
            <w:pPr>
              <w:spacing w:after="240"/>
              <w:rPr>
                <w:rFonts w:ascii="Verdana" w:hAnsi="Verdana"/>
                <w:sz w:val="22"/>
                <w:szCs w:val="22"/>
              </w:rPr>
            </w:pPr>
            <w:r>
              <w:rPr>
                <w:rFonts w:ascii="Verdana" w:hAnsi="Verdana"/>
                <w:sz w:val="22"/>
                <w:szCs w:val="22"/>
              </w:rPr>
              <w:t>4</w:t>
            </w:r>
            <w:r w:rsidR="007274A9">
              <w:rPr>
                <w:rFonts w:ascii="Verdana" w:hAnsi="Verdana"/>
                <w:sz w:val="22"/>
                <w:szCs w:val="22"/>
              </w:rPr>
              <w:t>7</w:t>
            </w:r>
            <w:r>
              <w:rPr>
                <w:rFonts w:ascii="Verdana" w:hAnsi="Verdana"/>
                <w:sz w:val="22"/>
                <w:szCs w:val="22"/>
              </w:rPr>
              <w:t>.</w:t>
            </w:r>
            <w:r w:rsidR="007274A9">
              <w:rPr>
                <w:rFonts w:ascii="Verdana" w:hAnsi="Verdana"/>
                <w:sz w:val="22"/>
                <w:szCs w:val="22"/>
              </w:rPr>
              <w:t>3</w:t>
            </w:r>
            <w:r>
              <w:rPr>
                <w:rFonts w:ascii="Verdana" w:hAnsi="Verdana"/>
                <w:sz w:val="22"/>
                <w:szCs w:val="22"/>
              </w:rPr>
              <w:t>%</w:t>
            </w:r>
          </w:p>
        </w:tc>
        <w:tc>
          <w:tcPr>
            <w:tcW w:w="870" w:type="dxa"/>
          </w:tcPr>
          <w:p w:rsidR="005E4618" w:rsidRDefault="007274A9" w:rsidP="007274A9">
            <w:pPr>
              <w:spacing w:after="240"/>
              <w:rPr>
                <w:rFonts w:ascii="Verdana" w:hAnsi="Verdana"/>
                <w:sz w:val="22"/>
                <w:szCs w:val="22"/>
              </w:rPr>
            </w:pPr>
            <w:r>
              <w:rPr>
                <w:rFonts w:ascii="Verdana" w:hAnsi="Verdana"/>
                <w:sz w:val="22"/>
                <w:szCs w:val="22"/>
              </w:rPr>
              <w:t>33.8</w:t>
            </w:r>
            <w:r w:rsidR="005E4618">
              <w:rPr>
                <w:rFonts w:ascii="Verdana" w:hAnsi="Verdana"/>
                <w:sz w:val="22"/>
                <w:szCs w:val="22"/>
              </w:rPr>
              <w:t>%</w:t>
            </w:r>
          </w:p>
        </w:tc>
      </w:tr>
      <w:tr w:rsidR="008F2AF7" w:rsidTr="00CF1619">
        <w:tc>
          <w:tcPr>
            <w:tcW w:w="4962" w:type="dxa"/>
          </w:tcPr>
          <w:p w:rsidR="008F2AF7" w:rsidRDefault="008F2AF7" w:rsidP="00434E2B">
            <w:pPr>
              <w:spacing w:after="240"/>
              <w:rPr>
                <w:rFonts w:ascii="Verdana" w:hAnsi="Verdana"/>
                <w:sz w:val="22"/>
                <w:szCs w:val="22"/>
              </w:rPr>
            </w:pPr>
            <w:r>
              <w:rPr>
                <w:rFonts w:ascii="Verdana" w:hAnsi="Verdana"/>
                <w:sz w:val="22"/>
                <w:szCs w:val="22"/>
              </w:rPr>
              <w:t>1.</w:t>
            </w:r>
            <w:r w:rsidR="00434E2B">
              <w:rPr>
                <w:rFonts w:ascii="Verdana" w:hAnsi="Verdana"/>
                <w:sz w:val="22"/>
                <w:szCs w:val="22"/>
              </w:rPr>
              <w:t>31</w:t>
            </w:r>
            <w:r>
              <w:rPr>
                <w:rFonts w:ascii="Verdana" w:hAnsi="Verdana"/>
                <w:sz w:val="22"/>
                <w:szCs w:val="22"/>
              </w:rPr>
              <w:t xml:space="preserve"> % pa (</w:t>
            </w:r>
            <w:r w:rsidR="00434E2B">
              <w:rPr>
                <w:rFonts w:ascii="Verdana" w:hAnsi="Verdana"/>
                <w:sz w:val="22"/>
                <w:szCs w:val="22"/>
              </w:rPr>
              <w:t xml:space="preserve">2012 </w:t>
            </w:r>
            <w:r>
              <w:rPr>
                <w:rFonts w:ascii="Verdana" w:hAnsi="Verdana"/>
                <w:sz w:val="22"/>
                <w:szCs w:val="22"/>
              </w:rPr>
              <w:t>OBR assumption)</w:t>
            </w:r>
          </w:p>
        </w:tc>
        <w:tc>
          <w:tcPr>
            <w:tcW w:w="992" w:type="dxa"/>
          </w:tcPr>
          <w:p w:rsidR="008F2AF7" w:rsidRDefault="00700F92" w:rsidP="007274A9">
            <w:pPr>
              <w:spacing w:after="240"/>
              <w:rPr>
                <w:rFonts w:ascii="Verdana" w:hAnsi="Verdana"/>
                <w:sz w:val="22"/>
                <w:szCs w:val="22"/>
              </w:rPr>
            </w:pPr>
            <w:r>
              <w:rPr>
                <w:rFonts w:ascii="Verdana" w:hAnsi="Verdana"/>
                <w:sz w:val="22"/>
                <w:szCs w:val="22"/>
              </w:rPr>
              <w:t>1</w:t>
            </w:r>
            <w:r w:rsidR="007274A9">
              <w:rPr>
                <w:rFonts w:ascii="Verdana" w:hAnsi="Verdana"/>
                <w:sz w:val="22"/>
                <w:szCs w:val="22"/>
              </w:rPr>
              <w:t>4</w:t>
            </w:r>
            <w:r>
              <w:rPr>
                <w:rFonts w:ascii="Verdana" w:hAnsi="Verdana"/>
                <w:sz w:val="22"/>
                <w:szCs w:val="22"/>
              </w:rPr>
              <w:t>.</w:t>
            </w:r>
            <w:r w:rsidR="007274A9">
              <w:rPr>
                <w:rFonts w:ascii="Verdana" w:hAnsi="Verdana"/>
                <w:sz w:val="22"/>
                <w:szCs w:val="22"/>
              </w:rPr>
              <w:t>5</w:t>
            </w:r>
            <w:r>
              <w:rPr>
                <w:rFonts w:ascii="Verdana" w:hAnsi="Verdana"/>
                <w:sz w:val="22"/>
                <w:szCs w:val="22"/>
              </w:rPr>
              <w:t>%</w:t>
            </w:r>
          </w:p>
        </w:tc>
        <w:tc>
          <w:tcPr>
            <w:tcW w:w="1134" w:type="dxa"/>
          </w:tcPr>
          <w:p w:rsidR="008F2AF7" w:rsidRDefault="00CF1619" w:rsidP="007274A9">
            <w:pPr>
              <w:spacing w:after="240"/>
              <w:rPr>
                <w:rFonts w:ascii="Verdana" w:hAnsi="Verdana"/>
                <w:sz w:val="22"/>
                <w:szCs w:val="22"/>
              </w:rPr>
            </w:pPr>
            <w:r>
              <w:rPr>
                <w:rFonts w:ascii="Verdana" w:hAnsi="Verdana"/>
                <w:sz w:val="22"/>
                <w:szCs w:val="22"/>
              </w:rPr>
              <w:t>4</w:t>
            </w:r>
            <w:r w:rsidR="007274A9">
              <w:rPr>
                <w:rFonts w:ascii="Verdana" w:hAnsi="Verdana"/>
                <w:sz w:val="22"/>
                <w:szCs w:val="22"/>
              </w:rPr>
              <w:t>2</w:t>
            </w:r>
            <w:r>
              <w:rPr>
                <w:rFonts w:ascii="Verdana" w:hAnsi="Verdana"/>
                <w:sz w:val="22"/>
                <w:szCs w:val="22"/>
              </w:rPr>
              <w:t>.8%</w:t>
            </w:r>
          </w:p>
        </w:tc>
        <w:tc>
          <w:tcPr>
            <w:tcW w:w="870" w:type="dxa"/>
          </w:tcPr>
          <w:p w:rsidR="008F2AF7" w:rsidRDefault="007274A9" w:rsidP="007274A9">
            <w:pPr>
              <w:spacing w:after="240"/>
              <w:rPr>
                <w:rFonts w:ascii="Verdana" w:hAnsi="Verdana"/>
                <w:sz w:val="22"/>
                <w:szCs w:val="22"/>
              </w:rPr>
            </w:pPr>
            <w:r>
              <w:rPr>
                <w:rFonts w:ascii="Verdana" w:hAnsi="Verdana"/>
                <w:sz w:val="22"/>
                <w:szCs w:val="22"/>
              </w:rPr>
              <w:t>30.1</w:t>
            </w:r>
            <w:r w:rsidR="00266E44">
              <w:rPr>
                <w:rFonts w:ascii="Verdana" w:hAnsi="Verdana"/>
                <w:sz w:val="22"/>
                <w:szCs w:val="22"/>
              </w:rPr>
              <w:t>%</w:t>
            </w:r>
          </w:p>
        </w:tc>
      </w:tr>
      <w:tr w:rsidR="008F2AF7" w:rsidTr="00CF1619">
        <w:tc>
          <w:tcPr>
            <w:tcW w:w="4962" w:type="dxa"/>
          </w:tcPr>
          <w:p w:rsidR="008F2AF7" w:rsidRDefault="008F2AF7" w:rsidP="00434E2B">
            <w:pPr>
              <w:spacing w:after="240"/>
              <w:rPr>
                <w:rFonts w:ascii="Verdana" w:hAnsi="Verdana"/>
                <w:sz w:val="22"/>
                <w:szCs w:val="22"/>
              </w:rPr>
            </w:pPr>
            <w:r>
              <w:rPr>
                <w:rFonts w:ascii="Verdana" w:hAnsi="Verdana"/>
                <w:sz w:val="22"/>
                <w:szCs w:val="22"/>
              </w:rPr>
              <w:t>2.0</w:t>
            </w:r>
            <w:r w:rsidR="00434E2B">
              <w:rPr>
                <w:rFonts w:ascii="Verdana" w:hAnsi="Verdana"/>
                <w:sz w:val="22"/>
                <w:szCs w:val="22"/>
              </w:rPr>
              <w:t>0</w:t>
            </w:r>
            <w:r>
              <w:rPr>
                <w:rFonts w:ascii="Verdana" w:hAnsi="Verdana"/>
                <w:sz w:val="22"/>
                <w:szCs w:val="22"/>
              </w:rPr>
              <w:t xml:space="preserve"> % pa (</w:t>
            </w:r>
            <w:r w:rsidR="00434E2B">
              <w:rPr>
                <w:rFonts w:ascii="Verdana" w:hAnsi="Verdana"/>
                <w:sz w:val="22"/>
                <w:szCs w:val="22"/>
              </w:rPr>
              <w:t xml:space="preserve">earlier </w:t>
            </w:r>
            <w:r>
              <w:rPr>
                <w:rFonts w:ascii="Verdana" w:hAnsi="Verdana"/>
                <w:sz w:val="22"/>
                <w:szCs w:val="22"/>
              </w:rPr>
              <w:t>Treasury assumption)</w:t>
            </w:r>
          </w:p>
        </w:tc>
        <w:tc>
          <w:tcPr>
            <w:tcW w:w="992" w:type="dxa"/>
          </w:tcPr>
          <w:p w:rsidR="008F2AF7" w:rsidRDefault="00CF1619" w:rsidP="007274A9">
            <w:pPr>
              <w:spacing w:after="240"/>
              <w:rPr>
                <w:rFonts w:ascii="Verdana" w:hAnsi="Verdana"/>
                <w:sz w:val="22"/>
                <w:szCs w:val="22"/>
              </w:rPr>
            </w:pPr>
            <w:r>
              <w:rPr>
                <w:rFonts w:ascii="Verdana" w:hAnsi="Verdana"/>
                <w:sz w:val="22"/>
                <w:szCs w:val="22"/>
              </w:rPr>
              <w:t>1</w:t>
            </w:r>
            <w:r w:rsidR="007274A9">
              <w:rPr>
                <w:rFonts w:ascii="Verdana" w:hAnsi="Verdana"/>
                <w:sz w:val="22"/>
                <w:szCs w:val="22"/>
              </w:rPr>
              <w:t>3</w:t>
            </w:r>
            <w:r>
              <w:rPr>
                <w:rFonts w:ascii="Verdana" w:hAnsi="Verdana"/>
                <w:sz w:val="22"/>
                <w:szCs w:val="22"/>
              </w:rPr>
              <w:t>.</w:t>
            </w:r>
            <w:r w:rsidR="007274A9">
              <w:rPr>
                <w:rFonts w:ascii="Verdana" w:hAnsi="Verdana"/>
                <w:sz w:val="22"/>
                <w:szCs w:val="22"/>
              </w:rPr>
              <w:t>4</w:t>
            </w:r>
            <w:r>
              <w:rPr>
                <w:rFonts w:ascii="Verdana" w:hAnsi="Verdana"/>
                <w:sz w:val="22"/>
                <w:szCs w:val="22"/>
              </w:rPr>
              <w:t>%</w:t>
            </w:r>
          </w:p>
        </w:tc>
        <w:tc>
          <w:tcPr>
            <w:tcW w:w="1134" w:type="dxa"/>
          </w:tcPr>
          <w:p w:rsidR="008F2AF7" w:rsidRDefault="007274A9" w:rsidP="007274A9">
            <w:pPr>
              <w:spacing w:after="240"/>
              <w:rPr>
                <w:rFonts w:ascii="Verdana" w:hAnsi="Verdana"/>
                <w:sz w:val="22"/>
                <w:szCs w:val="22"/>
              </w:rPr>
            </w:pPr>
            <w:r>
              <w:rPr>
                <w:rFonts w:ascii="Verdana" w:hAnsi="Verdana"/>
                <w:sz w:val="22"/>
                <w:szCs w:val="22"/>
              </w:rPr>
              <w:t>40.6</w:t>
            </w:r>
            <w:r w:rsidR="00CF1619">
              <w:rPr>
                <w:rFonts w:ascii="Verdana" w:hAnsi="Verdana"/>
                <w:sz w:val="22"/>
                <w:szCs w:val="22"/>
              </w:rPr>
              <w:t>%</w:t>
            </w:r>
          </w:p>
        </w:tc>
        <w:tc>
          <w:tcPr>
            <w:tcW w:w="870" w:type="dxa"/>
          </w:tcPr>
          <w:p w:rsidR="008F2AF7" w:rsidRDefault="00361FD4" w:rsidP="007274A9">
            <w:pPr>
              <w:spacing w:after="240"/>
              <w:rPr>
                <w:rFonts w:ascii="Verdana" w:hAnsi="Verdana"/>
                <w:sz w:val="22"/>
                <w:szCs w:val="22"/>
              </w:rPr>
            </w:pPr>
            <w:r>
              <w:rPr>
                <w:rFonts w:ascii="Verdana" w:hAnsi="Verdana"/>
                <w:sz w:val="22"/>
                <w:szCs w:val="22"/>
              </w:rPr>
              <w:t>2</w:t>
            </w:r>
            <w:r w:rsidR="007274A9">
              <w:rPr>
                <w:rFonts w:ascii="Verdana" w:hAnsi="Verdana"/>
                <w:sz w:val="22"/>
                <w:szCs w:val="22"/>
              </w:rPr>
              <w:t>8.4</w:t>
            </w:r>
            <w:r w:rsidR="00CF1619">
              <w:rPr>
                <w:rFonts w:ascii="Verdana" w:hAnsi="Verdana"/>
                <w:sz w:val="22"/>
                <w:szCs w:val="22"/>
              </w:rPr>
              <w:t>%</w:t>
            </w:r>
          </w:p>
        </w:tc>
      </w:tr>
    </w:tbl>
    <w:p w:rsidR="00845BC6" w:rsidRDefault="00845BC6" w:rsidP="00845BC6">
      <w:pPr>
        <w:spacing w:after="240"/>
        <w:rPr>
          <w:rFonts w:ascii="Verdana" w:hAnsi="Verdana"/>
          <w:sz w:val="22"/>
          <w:szCs w:val="22"/>
        </w:rPr>
      </w:pPr>
    </w:p>
    <w:p w:rsidR="007274A9" w:rsidRDefault="007274A9" w:rsidP="007274A9">
      <w:pPr>
        <w:numPr>
          <w:ilvl w:val="0"/>
          <w:numId w:val="1"/>
        </w:numPr>
        <w:spacing w:after="240"/>
        <w:rPr>
          <w:rFonts w:ascii="Verdana" w:hAnsi="Verdana"/>
          <w:sz w:val="22"/>
          <w:szCs w:val="22"/>
        </w:rPr>
      </w:pPr>
      <w:r>
        <w:rPr>
          <w:rFonts w:ascii="Verdana" w:hAnsi="Verdana"/>
          <w:sz w:val="22"/>
          <w:szCs w:val="22"/>
        </w:rPr>
        <w:t xml:space="preserve">The 2012 OBR growth assumption is currently used by BIS and is the default value in the simplified model. This replaced the previous </w:t>
      </w:r>
      <w:r>
        <w:rPr>
          <w:rFonts w:ascii="Verdana" w:hAnsi="Verdana"/>
          <w:sz w:val="22"/>
          <w:szCs w:val="22"/>
        </w:rPr>
        <w:lastRenderedPageBreak/>
        <w:t xml:space="preserve">assumption of 2 per cent growth and results in an increase in the RAB charge of 1.8 percentage points. </w:t>
      </w:r>
    </w:p>
    <w:p w:rsidR="007274A9" w:rsidRDefault="006F5725" w:rsidP="003A5887">
      <w:pPr>
        <w:numPr>
          <w:ilvl w:val="0"/>
          <w:numId w:val="1"/>
        </w:numPr>
        <w:spacing w:after="240"/>
        <w:rPr>
          <w:rFonts w:ascii="Verdana" w:hAnsi="Verdana"/>
          <w:sz w:val="22"/>
          <w:szCs w:val="22"/>
        </w:rPr>
      </w:pPr>
      <w:r w:rsidRPr="007274A9">
        <w:rPr>
          <w:rFonts w:ascii="Verdana" w:hAnsi="Verdana"/>
          <w:sz w:val="22"/>
          <w:szCs w:val="22"/>
        </w:rPr>
        <w:t xml:space="preserve">The </w:t>
      </w:r>
      <w:r w:rsidR="00292ECC" w:rsidRPr="007274A9">
        <w:rPr>
          <w:rFonts w:ascii="Verdana" w:hAnsi="Verdana"/>
          <w:sz w:val="22"/>
          <w:szCs w:val="22"/>
        </w:rPr>
        <w:t xml:space="preserve">impact on the RAB of the </w:t>
      </w:r>
      <w:r w:rsidRPr="007274A9">
        <w:rPr>
          <w:rFonts w:ascii="Verdana" w:hAnsi="Verdana"/>
          <w:sz w:val="22"/>
          <w:szCs w:val="22"/>
        </w:rPr>
        <w:t xml:space="preserve">changes in </w:t>
      </w:r>
      <w:r w:rsidR="00B9348A" w:rsidRPr="007274A9">
        <w:rPr>
          <w:rFonts w:ascii="Verdana" w:hAnsi="Verdana"/>
          <w:sz w:val="22"/>
          <w:szCs w:val="22"/>
        </w:rPr>
        <w:t xml:space="preserve">long term </w:t>
      </w:r>
      <w:r w:rsidRPr="007274A9">
        <w:rPr>
          <w:rFonts w:ascii="Verdana" w:hAnsi="Verdana"/>
          <w:sz w:val="22"/>
          <w:szCs w:val="22"/>
        </w:rPr>
        <w:t xml:space="preserve">earning assumptions </w:t>
      </w:r>
      <w:r w:rsidR="00AC2924" w:rsidRPr="007274A9">
        <w:rPr>
          <w:rFonts w:ascii="Verdana" w:hAnsi="Verdana"/>
          <w:sz w:val="22"/>
          <w:szCs w:val="22"/>
        </w:rPr>
        <w:t>is</w:t>
      </w:r>
      <w:r w:rsidR="00D165B0" w:rsidRPr="007274A9">
        <w:rPr>
          <w:rFonts w:ascii="Verdana" w:hAnsi="Verdana"/>
          <w:sz w:val="22"/>
          <w:szCs w:val="22"/>
        </w:rPr>
        <w:t xml:space="preserve"> dampened by the consequent changes to the</w:t>
      </w:r>
      <w:r w:rsidRPr="007274A9">
        <w:rPr>
          <w:rFonts w:ascii="Verdana" w:hAnsi="Verdana"/>
          <w:sz w:val="22"/>
          <w:szCs w:val="22"/>
        </w:rPr>
        <w:t xml:space="preserve"> </w:t>
      </w:r>
      <w:r w:rsidR="001B4042" w:rsidRPr="007274A9">
        <w:rPr>
          <w:rFonts w:ascii="Verdana" w:hAnsi="Verdana"/>
          <w:sz w:val="22"/>
          <w:szCs w:val="22"/>
        </w:rPr>
        <w:t>thresholds for repayment and for the higher interest payment</w:t>
      </w:r>
      <w:r w:rsidR="00D165B0" w:rsidRPr="007274A9">
        <w:rPr>
          <w:rFonts w:ascii="Verdana" w:hAnsi="Verdana"/>
          <w:sz w:val="22"/>
          <w:szCs w:val="22"/>
        </w:rPr>
        <w:t>.</w:t>
      </w:r>
      <w:r w:rsidR="001B4042" w:rsidRPr="007274A9">
        <w:rPr>
          <w:rFonts w:ascii="Verdana" w:hAnsi="Verdana"/>
          <w:sz w:val="22"/>
          <w:szCs w:val="22"/>
        </w:rPr>
        <w:t xml:space="preserve"> </w:t>
      </w:r>
      <w:r w:rsidR="005E4618" w:rsidRPr="007274A9">
        <w:rPr>
          <w:rFonts w:ascii="Verdana" w:hAnsi="Verdana"/>
          <w:sz w:val="22"/>
          <w:szCs w:val="22"/>
        </w:rPr>
        <w:t xml:space="preserve">We also show the extreme and </w:t>
      </w:r>
      <w:r w:rsidR="007274A9" w:rsidRPr="007274A9">
        <w:rPr>
          <w:rFonts w:ascii="Verdana" w:hAnsi="Verdana"/>
          <w:sz w:val="22"/>
          <w:szCs w:val="22"/>
        </w:rPr>
        <w:t xml:space="preserve">apparently </w:t>
      </w:r>
      <w:r w:rsidR="005E4618" w:rsidRPr="007274A9">
        <w:rPr>
          <w:rFonts w:ascii="Verdana" w:hAnsi="Verdana"/>
          <w:sz w:val="22"/>
          <w:szCs w:val="22"/>
        </w:rPr>
        <w:t xml:space="preserve">unrealistic assumption of zero </w:t>
      </w:r>
      <w:r w:rsidR="00361FD4" w:rsidRPr="007274A9">
        <w:rPr>
          <w:rFonts w:ascii="Verdana" w:hAnsi="Verdana"/>
          <w:sz w:val="22"/>
          <w:szCs w:val="22"/>
        </w:rPr>
        <w:t xml:space="preserve">growth </w:t>
      </w:r>
      <w:r w:rsidR="005E4618" w:rsidRPr="007274A9">
        <w:rPr>
          <w:rFonts w:ascii="Verdana" w:hAnsi="Verdana"/>
          <w:sz w:val="22"/>
          <w:szCs w:val="22"/>
        </w:rPr>
        <w:t>increase in real average earnings</w:t>
      </w:r>
      <w:r w:rsidR="00361FD4" w:rsidRPr="007274A9">
        <w:rPr>
          <w:rFonts w:ascii="Verdana" w:hAnsi="Verdana"/>
          <w:sz w:val="22"/>
          <w:szCs w:val="22"/>
        </w:rPr>
        <w:t xml:space="preserve"> from 2021. While such a scenario </w:t>
      </w:r>
      <w:r w:rsidR="007274A9" w:rsidRPr="007274A9">
        <w:rPr>
          <w:rFonts w:ascii="Verdana" w:hAnsi="Verdana"/>
          <w:sz w:val="22"/>
          <w:szCs w:val="22"/>
        </w:rPr>
        <w:t xml:space="preserve">may seem </w:t>
      </w:r>
      <w:r w:rsidR="00361FD4" w:rsidRPr="007274A9">
        <w:rPr>
          <w:rFonts w:ascii="Verdana" w:hAnsi="Verdana"/>
          <w:sz w:val="22"/>
          <w:szCs w:val="22"/>
        </w:rPr>
        <w:t xml:space="preserve">implausible, </w:t>
      </w:r>
      <w:r w:rsidR="007274A9" w:rsidRPr="007274A9">
        <w:rPr>
          <w:rFonts w:ascii="Verdana" w:hAnsi="Verdana"/>
          <w:sz w:val="22"/>
          <w:szCs w:val="22"/>
        </w:rPr>
        <w:t>we will see that it may not be unrealistic when we consider the future career growth in earnings for graduates. However, w</w:t>
      </w:r>
      <w:r w:rsidR="007274A9">
        <w:rPr>
          <w:rFonts w:ascii="Verdana" w:hAnsi="Verdana"/>
          <w:sz w:val="22"/>
          <w:szCs w:val="22"/>
        </w:rPr>
        <w:t>hat</w:t>
      </w:r>
      <w:r w:rsidR="007274A9" w:rsidRPr="007274A9">
        <w:rPr>
          <w:rFonts w:ascii="Verdana" w:hAnsi="Verdana"/>
          <w:sz w:val="22"/>
          <w:szCs w:val="22"/>
        </w:rPr>
        <w:t xml:space="preserve"> we see here is that even with zero long term growth in average earnings, the effect on the RAB is modest. </w:t>
      </w:r>
      <w:r w:rsidR="007274A9">
        <w:rPr>
          <w:rFonts w:ascii="Verdana" w:hAnsi="Verdana"/>
          <w:sz w:val="22"/>
          <w:szCs w:val="22"/>
        </w:rPr>
        <w:t>Again this is because the thresholds would be lower.</w:t>
      </w:r>
    </w:p>
    <w:p w:rsidR="002B2F43" w:rsidRPr="007274A9" w:rsidRDefault="00A64FB9" w:rsidP="003A5887">
      <w:pPr>
        <w:numPr>
          <w:ilvl w:val="0"/>
          <w:numId w:val="1"/>
        </w:numPr>
        <w:spacing w:after="240"/>
        <w:rPr>
          <w:rFonts w:ascii="Verdana" w:hAnsi="Verdana"/>
          <w:sz w:val="22"/>
          <w:szCs w:val="22"/>
        </w:rPr>
      </w:pPr>
      <w:r>
        <w:rPr>
          <w:rFonts w:ascii="Verdana" w:hAnsi="Verdana"/>
          <w:sz w:val="22"/>
          <w:szCs w:val="22"/>
        </w:rPr>
        <w:t xml:space="preserve">The simplified model, and, to our knowledge all the other RAB estimates for the new loan scheme, have assumed that the long term earnings growth has applied equally to all earnings levels. However, there is evidence of </w:t>
      </w:r>
      <w:r w:rsidR="00AF4869" w:rsidRPr="007274A9">
        <w:rPr>
          <w:rFonts w:ascii="Verdana" w:hAnsi="Verdana"/>
          <w:sz w:val="22"/>
          <w:szCs w:val="22"/>
        </w:rPr>
        <w:t>increasing dispersion in</w:t>
      </w:r>
      <w:r w:rsidR="0090534D" w:rsidRPr="007274A9">
        <w:rPr>
          <w:rFonts w:ascii="Verdana" w:hAnsi="Verdana"/>
          <w:sz w:val="22"/>
          <w:szCs w:val="22"/>
        </w:rPr>
        <w:t xml:space="preserve"> UK </w:t>
      </w:r>
      <w:r w:rsidR="00AF4869" w:rsidRPr="007274A9">
        <w:rPr>
          <w:rFonts w:ascii="Verdana" w:hAnsi="Verdana"/>
          <w:sz w:val="22"/>
          <w:szCs w:val="22"/>
        </w:rPr>
        <w:t>graduate earnings</w:t>
      </w:r>
      <w:r w:rsidR="00383486" w:rsidRPr="007274A9">
        <w:rPr>
          <w:rFonts w:ascii="Verdana" w:hAnsi="Verdana"/>
          <w:sz w:val="22"/>
          <w:szCs w:val="22"/>
        </w:rPr>
        <w:t xml:space="preserve"> </w:t>
      </w:r>
      <w:r w:rsidR="002E6E71" w:rsidRPr="007274A9">
        <w:rPr>
          <w:rFonts w:ascii="Verdana" w:hAnsi="Verdana"/>
          <w:sz w:val="22"/>
          <w:szCs w:val="22"/>
        </w:rPr>
        <w:t>(Green et al, 2010</w:t>
      </w:r>
      <w:r>
        <w:rPr>
          <w:rFonts w:ascii="Verdana" w:hAnsi="Verdana"/>
          <w:sz w:val="22"/>
          <w:szCs w:val="22"/>
        </w:rPr>
        <w:t xml:space="preserve">, </w:t>
      </w:r>
      <w:r w:rsidR="00753E6A">
        <w:rPr>
          <w:rFonts w:ascii="Verdana" w:hAnsi="Verdana"/>
          <w:sz w:val="22"/>
          <w:szCs w:val="22"/>
        </w:rPr>
        <w:t xml:space="preserve">and </w:t>
      </w:r>
      <w:r w:rsidR="00F36721">
        <w:rPr>
          <w:rFonts w:ascii="Verdana" w:hAnsi="Verdana"/>
          <w:sz w:val="22"/>
          <w:szCs w:val="22"/>
        </w:rPr>
        <w:t>O’Leary et al, 2011</w:t>
      </w:r>
      <w:r w:rsidR="002E6E71" w:rsidRPr="007274A9">
        <w:rPr>
          <w:rFonts w:ascii="Verdana" w:hAnsi="Verdana"/>
          <w:sz w:val="22"/>
          <w:szCs w:val="22"/>
        </w:rPr>
        <w:t>)</w:t>
      </w:r>
      <w:r w:rsidR="00AF4869" w:rsidRPr="007274A9">
        <w:rPr>
          <w:rFonts w:ascii="Verdana" w:hAnsi="Verdana"/>
          <w:sz w:val="22"/>
          <w:szCs w:val="22"/>
        </w:rPr>
        <w:t xml:space="preserve">. In the </w:t>
      </w:r>
      <w:r w:rsidR="00383486" w:rsidRPr="007274A9">
        <w:rPr>
          <w:rFonts w:ascii="Verdana" w:hAnsi="Verdana"/>
          <w:sz w:val="22"/>
          <w:szCs w:val="22"/>
        </w:rPr>
        <w:t>USA the top 10 per</w:t>
      </w:r>
      <w:r w:rsidR="004074BC" w:rsidRPr="007274A9">
        <w:rPr>
          <w:rFonts w:ascii="Verdana" w:hAnsi="Verdana"/>
          <w:sz w:val="22"/>
          <w:szCs w:val="22"/>
        </w:rPr>
        <w:t xml:space="preserve"> cent</w:t>
      </w:r>
      <w:r w:rsidR="00383486" w:rsidRPr="007274A9">
        <w:rPr>
          <w:rFonts w:ascii="Verdana" w:hAnsi="Verdana"/>
          <w:sz w:val="22"/>
          <w:szCs w:val="22"/>
        </w:rPr>
        <w:t xml:space="preserve"> of college earners have accounted for nearly all the growth in earnings over the last three decades </w:t>
      </w:r>
      <w:r w:rsidR="002E6E71" w:rsidRPr="007274A9">
        <w:rPr>
          <w:rFonts w:ascii="Verdana" w:hAnsi="Verdana"/>
          <w:sz w:val="22"/>
          <w:szCs w:val="22"/>
        </w:rPr>
        <w:t>(Brown et al, 2011)</w:t>
      </w:r>
      <w:r w:rsidR="00383486" w:rsidRPr="007274A9">
        <w:rPr>
          <w:rFonts w:ascii="Verdana" w:hAnsi="Verdana"/>
          <w:sz w:val="22"/>
          <w:szCs w:val="22"/>
        </w:rPr>
        <w:t xml:space="preserve">. </w:t>
      </w:r>
      <w:r w:rsidR="00C838EA" w:rsidRPr="007274A9">
        <w:rPr>
          <w:rFonts w:ascii="Verdana" w:hAnsi="Verdana"/>
          <w:sz w:val="22"/>
          <w:szCs w:val="22"/>
        </w:rPr>
        <w:t xml:space="preserve"> </w:t>
      </w:r>
      <w:r w:rsidR="0090534D" w:rsidRPr="007274A9">
        <w:rPr>
          <w:rFonts w:ascii="Verdana" w:hAnsi="Verdana"/>
          <w:sz w:val="22"/>
          <w:szCs w:val="22"/>
        </w:rPr>
        <w:t xml:space="preserve"> </w:t>
      </w:r>
    </w:p>
    <w:p w:rsidR="00C6610C" w:rsidRPr="002B2F43" w:rsidRDefault="002B2F43" w:rsidP="00832D3F">
      <w:pPr>
        <w:numPr>
          <w:ilvl w:val="0"/>
          <w:numId w:val="1"/>
        </w:numPr>
        <w:spacing w:after="240"/>
        <w:rPr>
          <w:rFonts w:ascii="Verdana" w:hAnsi="Verdana"/>
          <w:sz w:val="22"/>
          <w:szCs w:val="22"/>
        </w:rPr>
      </w:pPr>
      <w:r w:rsidRPr="007274A9">
        <w:rPr>
          <w:rFonts w:ascii="Verdana" w:hAnsi="Verdana"/>
          <w:sz w:val="22"/>
          <w:szCs w:val="22"/>
        </w:rPr>
        <w:t>T</w:t>
      </w:r>
      <w:r w:rsidRPr="002B2F43">
        <w:rPr>
          <w:rFonts w:ascii="Verdana" w:hAnsi="Verdana"/>
          <w:sz w:val="22"/>
          <w:szCs w:val="22"/>
        </w:rPr>
        <w:t xml:space="preserve">he RAB values in table 5 are all based on the same </w:t>
      </w:r>
      <w:r w:rsidR="00AF4869">
        <w:rPr>
          <w:rFonts w:ascii="Verdana" w:hAnsi="Verdana"/>
          <w:sz w:val="22"/>
          <w:szCs w:val="22"/>
        </w:rPr>
        <w:t xml:space="preserve">overall </w:t>
      </w:r>
      <w:r w:rsidRPr="002B2F43">
        <w:rPr>
          <w:rFonts w:ascii="Verdana" w:hAnsi="Verdana"/>
          <w:sz w:val="22"/>
          <w:szCs w:val="22"/>
        </w:rPr>
        <w:t xml:space="preserve">average earnings growths, for each age and sex, as used by BIS, but the lower percentiles have zero </w:t>
      </w:r>
      <w:r w:rsidR="00753E6A">
        <w:rPr>
          <w:rFonts w:ascii="Verdana" w:hAnsi="Verdana"/>
          <w:sz w:val="22"/>
          <w:szCs w:val="22"/>
        </w:rPr>
        <w:t xml:space="preserve">through to average </w:t>
      </w:r>
      <w:r w:rsidRPr="002B2F43">
        <w:rPr>
          <w:rFonts w:ascii="Verdana" w:hAnsi="Verdana"/>
          <w:sz w:val="22"/>
          <w:szCs w:val="22"/>
        </w:rPr>
        <w:t xml:space="preserve">growth. </w:t>
      </w:r>
      <w:r w:rsidR="00DD6246">
        <w:rPr>
          <w:rFonts w:ascii="Verdana" w:hAnsi="Verdana"/>
          <w:sz w:val="22"/>
          <w:szCs w:val="22"/>
        </w:rPr>
        <w:t>O</w:t>
      </w:r>
      <w:r w:rsidR="00FD2D1A" w:rsidRPr="002B2F43">
        <w:rPr>
          <w:rFonts w:ascii="Verdana" w:hAnsi="Verdana"/>
          <w:sz w:val="22"/>
          <w:szCs w:val="22"/>
        </w:rPr>
        <w:t xml:space="preserve">nly the </w:t>
      </w:r>
      <w:r w:rsidR="00DD6246">
        <w:rPr>
          <w:rFonts w:ascii="Verdana" w:hAnsi="Verdana"/>
          <w:sz w:val="22"/>
          <w:szCs w:val="22"/>
        </w:rPr>
        <w:t xml:space="preserve">distributions of the long term </w:t>
      </w:r>
      <w:r w:rsidR="00FD2D1A" w:rsidRPr="002B2F43">
        <w:rPr>
          <w:rFonts w:ascii="Verdana" w:hAnsi="Verdana"/>
          <w:sz w:val="22"/>
          <w:szCs w:val="22"/>
        </w:rPr>
        <w:t>general increase in average earnings</w:t>
      </w:r>
      <w:r w:rsidR="00DD6246">
        <w:rPr>
          <w:rFonts w:ascii="Verdana" w:hAnsi="Verdana"/>
          <w:sz w:val="22"/>
          <w:szCs w:val="22"/>
        </w:rPr>
        <w:t xml:space="preserve"> are</w:t>
      </w:r>
      <w:r w:rsidR="00FD2D1A" w:rsidRPr="002B2F43">
        <w:rPr>
          <w:rFonts w:ascii="Verdana" w:hAnsi="Verdana"/>
          <w:sz w:val="22"/>
          <w:szCs w:val="22"/>
        </w:rPr>
        <w:t xml:space="preserve"> changed. The ‘career’ growth</w:t>
      </w:r>
      <w:r w:rsidRPr="002B2F43">
        <w:rPr>
          <w:rFonts w:ascii="Verdana" w:hAnsi="Verdana"/>
          <w:sz w:val="22"/>
          <w:szCs w:val="22"/>
        </w:rPr>
        <w:t>s</w:t>
      </w:r>
      <w:r w:rsidR="00FD2D1A" w:rsidRPr="002B2F43">
        <w:rPr>
          <w:rFonts w:ascii="Verdana" w:hAnsi="Verdana"/>
          <w:sz w:val="22"/>
          <w:szCs w:val="22"/>
        </w:rPr>
        <w:t xml:space="preserve"> </w:t>
      </w:r>
      <w:r w:rsidR="006E3B05" w:rsidRPr="002B2F43">
        <w:rPr>
          <w:rFonts w:ascii="Verdana" w:hAnsi="Verdana"/>
          <w:sz w:val="22"/>
          <w:szCs w:val="22"/>
        </w:rPr>
        <w:t>following age and experience</w:t>
      </w:r>
      <w:r w:rsidR="00AF4869">
        <w:rPr>
          <w:rFonts w:ascii="Verdana" w:hAnsi="Verdana"/>
          <w:sz w:val="22"/>
          <w:szCs w:val="22"/>
        </w:rPr>
        <w:t xml:space="preserve"> remain</w:t>
      </w:r>
      <w:r w:rsidR="00FD2D1A" w:rsidRPr="002B2F43">
        <w:rPr>
          <w:rFonts w:ascii="Verdana" w:hAnsi="Verdana"/>
          <w:sz w:val="22"/>
          <w:szCs w:val="22"/>
        </w:rPr>
        <w:t xml:space="preserve"> the same</w:t>
      </w:r>
      <w:r w:rsidR="006E3B05" w:rsidRPr="002B2F43">
        <w:rPr>
          <w:rFonts w:ascii="Verdana" w:hAnsi="Verdana"/>
          <w:sz w:val="22"/>
          <w:szCs w:val="22"/>
        </w:rPr>
        <w:t>.</w:t>
      </w:r>
      <w:r w:rsidR="00FD2D1A" w:rsidRPr="002B2F43">
        <w:rPr>
          <w:rFonts w:ascii="Verdana" w:hAnsi="Verdana"/>
          <w:sz w:val="22"/>
          <w:szCs w:val="22"/>
        </w:rPr>
        <w:t xml:space="preserve"> </w:t>
      </w:r>
    </w:p>
    <w:p w:rsidR="00C6610C" w:rsidRDefault="00832D3F" w:rsidP="00C838EA">
      <w:pPr>
        <w:spacing w:after="240"/>
        <w:rPr>
          <w:rFonts w:ascii="Verdana" w:hAnsi="Verdana"/>
          <w:sz w:val="22"/>
          <w:szCs w:val="22"/>
          <w:u w:val="single"/>
        </w:rPr>
      </w:pPr>
      <w:r w:rsidRPr="00861594">
        <w:rPr>
          <w:rFonts w:ascii="Verdana" w:hAnsi="Verdana"/>
          <w:sz w:val="22"/>
          <w:szCs w:val="22"/>
          <w:u w:val="single"/>
        </w:rPr>
        <w:t xml:space="preserve">Table </w:t>
      </w:r>
      <w:r w:rsidR="00AC2924">
        <w:rPr>
          <w:rFonts w:ascii="Verdana" w:hAnsi="Verdana"/>
          <w:sz w:val="22"/>
          <w:szCs w:val="22"/>
          <w:u w:val="single"/>
        </w:rPr>
        <w:t>5</w:t>
      </w:r>
      <w:r w:rsidRPr="00861594">
        <w:rPr>
          <w:rFonts w:ascii="Verdana" w:hAnsi="Verdana"/>
          <w:sz w:val="22"/>
          <w:szCs w:val="22"/>
          <w:u w:val="single"/>
        </w:rPr>
        <w:t xml:space="preserve"> Effect </w:t>
      </w:r>
      <w:r>
        <w:rPr>
          <w:rFonts w:ascii="Verdana" w:hAnsi="Verdana"/>
          <w:sz w:val="22"/>
          <w:szCs w:val="22"/>
          <w:u w:val="single"/>
        </w:rPr>
        <w:t xml:space="preserve">on RAB </w:t>
      </w:r>
      <w:r w:rsidRPr="00861594">
        <w:rPr>
          <w:rFonts w:ascii="Verdana" w:hAnsi="Verdana"/>
          <w:sz w:val="22"/>
          <w:szCs w:val="22"/>
          <w:u w:val="single"/>
        </w:rPr>
        <w:t xml:space="preserve">of </w:t>
      </w:r>
      <w:r w:rsidR="00383486">
        <w:rPr>
          <w:rFonts w:ascii="Verdana" w:hAnsi="Verdana"/>
          <w:sz w:val="22"/>
          <w:szCs w:val="22"/>
          <w:u w:val="single"/>
        </w:rPr>
        <w:t xml:space="preserve">unequal distribution of </w:t>
      </w:r>
      <w:r w:rsidR="005F6EC0">
        <w:rPr>
          <w:rFonts w:ascii="Verdana" w:hAnsi="Verdana"/>
          <w:sz w:val="22"/>
          <w:szCs w:val="22"/>
          <w:u w:val="single"/>
        </w:rPr>
        <w:t xml:space="preserve">OBR </w:t>
      </w:r>
      <w:r w:rsidR="00FD2D1A">
        <w:rPr>
          <w:rFonts w:ascii="Verdana" w:hAnsi="Verdana"/>
          <w:sz w:val="22"/>
          <w:szCs w:val="22"/>
          <w:u w:val="single"/>
        </w:rPr>
        <w:t xml:space="preserve">average </w:t>
      </w:r>
      <w:r w:rsidRPr="00861594">
        <w:rPr>
          <w:rFonts w:ascii="Verdana" w:hAnsi="Verdana"/>
          <w:sz w:val="22"/>
          <w:szCs w:val="22"/>
          <w:u w:val="single"/>
        </w:rPr>
        <w:t xml:space="preserve">earnings growth </w:t>
      </w:r>
      <w:r w:rsidR="00FD2D1A">
        <w:rPr>
          <w:rFonts w:ascii="Verdana" w:hAnsi="Verdana"/>
          <w:sz w:val="22"/>
          <w:szCs w:val="22"/>
          <w:u w:val="single"/>
        </w:rPr>
        <w:t>from 2021</w:t>
      </w:r>
    </w:p>
    <w:tbl>
      <w:tblPr>
        <w:tblStyle w:val="TableGrid"/>
        <w:tblW w:w="0" w:type="auto"/>
        <w:tblLook w:val="04A0" w:firstRow="1" w:lastRow="0" w:firstColumn="1" w:lastColumn="0" w:noHBand="0" w:noVBand="1"/>
      </w:tblPr>
      <w:tblGrid>
        <w:gridCol w:w="3085"/>
        <w:gridCol w:w="2835"/>
        <w:gridCol w:w="2602"/>
      </w:tblGrid>
      <w:tr w:rsidR="00027C87" w:rsidTr="00DD6246">
        <w:tc>
          <w:tcPr>
            <w:tcW w:w="3085" w:type="dxa"/>
            <w:vMerge w:val="restart"/>
          </w:tcPr>
          <w:p w:rsidR="00027C87" w:rsidRDefault="00027C87" w:rsidP="00753E6A">
            <w:pPr>
              <w:spacing w:after="240"/>
              <w:jc w:val="center"/>
              <w:rPr>
                <w:rFonts w:ascii="Verdana" w:hAnsi="Verdana"/>
                <w:sz w:val="22"/>
                <w:szCs w:val="22"/>
              </w:rPr>
            </w:pPr>
          </w:p>
          <w:p w:rsidR="00027C87" w:rsidRPr="00027C87" w:rsidRDefault="00753E6A" w:rsidP="00753E6A">
            <w:pPr>
              <w:spacing w:after="240"/>
              <w:jc w:val="center"/>
              <w:rPr>
                <w:rFonts w:ascii="Verdana" w:hAnsi="Verdana"/>
                <w:sz w:val="22"/>
                <w:szCs w:val="22"/>
              </w:rPr>
            </w:pPr>
            <w:r>
              <w:rPr>
                <w:rFonts w:ascii="Verdana" w:hAnsi="Verdana"/>
                <w:sz w:val="22"/>
                <w:szCs w:val="22"/>
              </w:rPr>
              <w:t>Growth level for low growth group as percentage of average</w:t>
            </w:r>
          </w:p>
        </w:tc>
        <w:tc>
          <w:tcPr>
            <w:tcW w:w="5437" w:type="dxa"/>
            <w:gridSpan w:val="2"/>
          </w:tcPr>
          <w:p w:rsidR="00027C87" w:rsidRPr="00383486" w:rsidRDefault="00027C87" w:rsidP="00383486">
            <w:pPr>
              <w:spacing w:after="240"/>
              <w:jc w:val="center"/>
              <w:rPr>
                <w:rFonts w:ascii="Verdana" w:hAnsi="Verdana"/>
                <w:sz w:val="22"/>
                <w:szCs w:val="22"/>
              </w:rPr>
            </w:pPr>
            <w:r w:rsidRPr="00383486">
              <w:rPr>
                <w:rFonts w:ascii="Verdana" w:hAnsi="Verdana"/>
                <w:sz w:val="22"/>
                <w:szCs w:val="22"/>
              </w:rPr>
              <w:t>Low growth group</w:t>
            </w:r>
          </w:p>
        </w:tc>
      </w:tr>
      <w:tr w:rsidR="00027C87" w:rsidTr="00DD6246">
        <w:tc>
          <w:tcPr>
            <w:tcW w:w="3085" w:type="dxa"/>
            <w:vMerge/>
          </w:tcPr>
          <w:p w:rsidR="00027C87" w:rsidRDefault="00027C87" w:rsidP="00753E6A">
            <w:pPr>
              <w:spacing w:after="240"/>
              <w:jc w:val="center"/>
              <w:rPr>
                <w:rFonts w:ascii="Verdana" w:hAnsi="Verdana"/>
                <w:sz w:val="22"/>
                <w:szCs w:val="22"/>
                <w:u w:val="single"/>
              </w:rPr>
            </w:pPr>
          </w:p>
        </w:tc>
        <w:tc>
          <w:tcPr>
            <w:tcW w:w="2835" w:type="dxa"/>
          </w:tcPr>
          <w:p w:rsidR="00027C87" w:rsidRPr="00027C87" w:rsidRDefault="00027C87" w:rsidP="005F6EC0">
            <w:pPr>
              <w:spacing w:after="240"/>
              <w:rPr>
                <w:rFonts w:ascii="Verdana" w:hAnsi="Verdana"/>
                <w:sz w:val="22"/>
                <w:szCs w:val="22"/>
              </w:rPr>
            </w:pPr>
            <w:r w:rsidRPr="00027C87">
              <w:rPr>
                <w:rFonts w:ascii="Verdana" w:hAnsi="Verdana"/>
                <w:sz w:val="22"/>
                <w:szCs w:val="22"/>
              </w:rPr>
              <w:t>Up to 80th percentile</w:t>
            </w:r>
          </w:p>
        </w:tc>
        <w:tc>
          <w:tcPr>
            <w:tcW w:w="2602" w:type="dxa"/>
          </w:tcPr>
          <w:p w:rsidR="00027C87" w:rsidRPr="00027C87" w:rsidRDefault="00027C87" w:rsidP="00027C87">
            <w:pPr>
              <w:spacing w:after="240"/>
              <w:rPr>
                <w:rFonts w:ascii="Verdana" w:hAnsi="Verdana"/>
                <w:sz w:val="22"/>
                <w:szCs w:val="22"/>
              </w:rPr>
            </w:pPr>
            <w:r w:rsidRPr="00027C87">
              <w:rPr>
                <w:rFonts w:ascii="Verdana" w:hAnsi="Verdana"/>
                <w:sz w:val="22"/>
                <w:szCs w:val="22"/>
              </w:rPr>
              <w:t>Up to 90th percentile</w:t>
            </w:r>
          </w:p>
        </w:tc>
      </w:tr>
      <w:tr w:rsidR="00383486" w:rsidTr="00DD6246">
        <w:tc>
          <w:tcPr>
            <w:tcW w:w="3085" w:type="dxa"/>
          </w:tcPr>
          <w:p w:rsidR="00383486" w:rsidRPr="00027C87" w:rsidRDefault="00027C87" w:rsidP="00753E6A">
            <w:pPr>
              <w:spacing w:after="240"/>
              <w:jc w:val="center"/>
              <w:rPr>
                <w:rFonts w:ascii="Verdana" w:hAnsi="Verdana"/>
                <w:sz w:val="22"/>
                <w:szCs w:val="22"/>
              </w:rPr>
            </w:pPr>
            <w:r>
              <w:rPr>
                <w:rFonts w:ascii="Verdana" w:hAnsi="Verdana"/>
                <w:sz w:val="22"/>
                <w:szCs w:val="22"/>
              </w:rPr>
              <w:t>0%</w:t>
            </w:r>
          </w:p>
        </w:tc>
        <w:tc>
          <w:tcPr>
            <w:tcW w:w="2835" w:type="dxa"/>
          </w:tcPr>
          <w:p w:rsidR="00383486" w:rsidRPr="005B0241" w:rsidRDefault="00753E6A" w:rsidP="005B0241">
            <w:pPr>
              <w:spacing w:after="240"/>
              <w:jc w:val="center"/>
              <w:rPr>
                <w:rFonts w:ascii="Verdana" w:hAnsi="Verdana"/>
                <w:sz w:val="22"/>
                <w:szCs w:val="22"/>
              </w:rPr>
            </w:pPr>
            <w:r>
              <w:rPr>
                <w:rFonts w:ascii="Verdana" w:hAnsi="Verdana"/>
                <w:sz w:val="22"/>
                <w:szCs w:val="22"/>
              </w:rPr>
              <w:t>35.7</w:t>
            </w:r>
          </w:p>
        </w:tc>
        <w:tc>
          <w:tcPr>
            <w:tcW w:w="2602" w:type="dxa"/>
          </w:tcPr>
          <w:p w:rsidR="00383486" w:rsidRPr="005F6EC0" w:rsidRDefault="00753E6A" w:rsidP="005F6EC0">
            <w:pPr>
              <w:spacing w:after="240"/>
              <w:jc w:val="center"/>
              <w:rPr>
                <w:rFonts w:ascii="Verdana" w:hAnsi="Verdana"/>
                <w:sz w:val="22"/>
                <w:szCs w:val="22"/>
              </w:rPr>
            </w:pPr>
            <w:r>
              <w:rPr>
                <w:rFonts w:ascii="Verdana" w:hAnsi="Verdana"/>
                <w:sz w:val="22"/>
                <w:szCs w:val="22"/>
              </w:rPr>
              <w:t>37.2</w:t>
            </w:r>
          </w:p>
        </w:tc>
      </w:tr>
      <w:tr w:rsidR="00383486" w:rsidTr="00DD6246">
        <w:tc>
          <w:tcPr>
            <w:tcW w:w="3085" w:type="dxa"/>
          </w:tcPr>
          <w:p w:rsidR="00383486" w:rsidRPr="00027C87" w:rsidRDefault="00027C87" w:rsidP="00753E6A">
            <w:pPr>
              <w:spacing w:after="240"/>
              <w:jc w:val="center"/>
              <w:rPr>
                <w:rFonts w:ascii="Verdana" w:hAnsi="Verdana"/>
                <w:sz w:val="22"/>
                <w:szCs w:val="22"/>
              </w:rPr>
            </w:pPr>
            <w:r w:rsidRPr="00027C87">
              <w:rPr>
                <w:rFonts w:ascii="Verdana" w:hAnsi="Verdana"/>
                <w:sz w:val="22"/>
                <w:szCs w:val="22"/>
              </w:rPr>
              <w:t>25%</w:t>
            </w:r>
          </w:p>
        </w:tc>
        <w:tc>
          <w:tcPr>
            <w:tcW w:w="2835" w:type="dxa"/>
          </w:tcPr>
          <w:p w:rsidR="00383486" w:rsidRPr="005B0241" w:rsidRDefault="00753E6A" w:rsidP="005B0241">
            <w:pPr>
              <w:spacing w:after="240"/>
              <w:jc w:val="center"/>
              <w:rPr>
                <w:rFonts w:ascii="Verdana" w:hAnsi="Verdana"/>
                <w:sz w:val="22"/>
                <w:szCs w:val="22"/>
              </w:rPr>
            </w:pPr>
            <w:r>
              <w:rPr>
                <w:rFonts w:ascii="Verdana" w:hAnsi="Verdana"/>
                <w:sz w:val="22"/>
                <w:szCs w:val="22"/>
              </w:rPr>
              <w:t>34.3</w:t>
            </w:r>
          </w:p>
        </w:tc>
        <w:tc>
          <w:tcPr>
            <w:tcW w:w="2602" w:type="dxa"/>
          </w:tcPr>
          <w:p w:rsidR="00C236BB" w:rsidRPr="00C236BB" w:rsidRDefault="00753E6A" w:rsidP="00C236BB">
            <w:pPr>
              <w:spacing w:after="240"/>
              <w:jc w:val="center"/>
              <w:rPr>
                <w:rFonts w:ascii="Verdana" w:hAnsi="Verdana"/>
                <w:sz w:val="22"/>
                <w:szCs w:val="22"/>
              </w:rPr>
            </w:pPr>
            <w:r>
              <w:rPr>
                <w:rFonts w:ascii="Verdana" w:hAnsi="Verdana"/>
                <w:sz w:val="22"/>
                <w:szCs w:val="22"/>
              </w:rPr>
              <w:t>35.4</w:t>
            </w:r>
          </w:p>
        </w:tc>
      </w:tr>
      <w:tr w:rsidR="00383486" w:rsidTr="00DD6246">
        <w:tc>
          <w:tcPr>
            <w:tcW w:w="3085" w:type="dxa"/>
          </w:tcPr>
          <w:p w:rsidR="00383486" w:rsidRPr="00027C87" w:rsidRDefault="00753E6A" w:rsidP="00753E6A">
            <w:pPr>
              <w:spacing w:after="240"/>
              <w:jc w:val="center"/>
              <w:rPr>
                <w:rFonts w:ascii="Verdana" w:hAnsi="Verdana"/>
                <w:sz w:val="22"/>
                <w:szCs w:val="22"/>
              </w:rPr>
            </w:pPr>
            <w:r>
              <w:rPr>
                <w:rFonts w:ascii="Verdana" w:hAnsi="Verdana"/>
                <w:sz w:val="22"/>
                <w:szCs w:val="22"/>
              </w:rPr>
              <w:t>50</w:t>
            </w:r>
            <w:r w:rsidRPr="00027C87">
              <w:rPr>
                <w:rFonts w:ascii="Verdana" w:hAnsi="Verdana"/>
                <w:sz w:val="22"/>
                <w:szCs w:val="22"/>
              </w:rPr>
              <w:t>%</w:t>
            </w:r>
          </w:p>
        </w:tc>
        <w:tc>
          <w:tcPr>
            <w:tcW w:w="2835" w:type="dxa"/>
          </w:tcPr>
          <w:p w:rsidR="00383486" w:rsidRPr="00027C87" w:rsidRDefault="00753E6A" w:rsidP="00027C87">
            <w:pPr>
              <w:spacing w:after="240"/>
              <w:jc w:val="center"/>
              <w:rPr>
                <w:rFonts w:ascii="Verdana" w:hAnsi="Verdana"/>
                <w:sz w:val="22"/>
                <w:szCs w:val="22"/>
              </w:rPr>
            </w:pPr>
            <w:r>
              <w:rPr>
                <w:rFonts w:ascii="Verdana" w:hAnsi="Verdana"/>
                <w:sz w:val="22"/>
                <w:szCs w:val="22"/>
              </w:rPr>
              <w:t>32.8</w:t>
            </w:r>
          </w:p>
        </w:tc>
        <w:tc>
          <w:tcPr>
            <w:tcW w:w="2602" w:type="dxa"/>
          </w:tcPr>
          <w:p w:rsidR="00383486" w:rsidRPr="00027C87" w:rsidRDefault="00753E6A" w:rsidP="00027C87">
            <w:pPr>
              <w:spacing w:after="240"/>
              <w:jc w:val="center"/>
              <w:rPr>
                <w:rFonts w:ascii="Verdana" w:hAnsi="Verdana"/>
                <w:sz w:val="22"/>
                <w:szCs w:val="22"/>
              </w:rPr>
            </w:pPr>
            <w:r>
              <w:rPr>
                <w:rFonts w:ascii="Verdana" w:hAnsi="Verdana"/>
                <w:sz w:val="22"/>
                <w:szCs w:val="22"/>
              </w:rPr>
              <w:t>33.5</w:t>
            </w:r>
          </w:p>
        </w:tc>
      </w:tr>
      <w:tr w:rsidR="00A64FB9" w:rsidTr="00DD6246">
        <w:tc>
          <w:tcPr>
            <w:tcW w:w="3085" w:type="dxa"/>
          </w:tcPr>
          <w:p w:rsidR="00A64FB9" w:rsidRPr="00027C87" w:rsidRDefault="00753E6A" w:rsidP="00753E6A">
            <w:pPr>
              <w:spacing w:after="240"/>
              <w:jc w:val="center"/>
              <w:rPr>
                <w:rFonts w:ascii="Verdana" w:hAnsi="Verdana"/>
                <w:sz w:val="22"/>
                <w:szCs w:val="22"/>
              </w:rPr>
            </w:pPr>
            <w:r w:rsidRPr="00027C87">
              <w:rPr>
                <w:rFonts w:ascii="Verdana" w:hAnsi="Verdana"/>
                <w:sz w:val="22"/>
                <w:szCs w:val="22"/>
              </w:rPr>
              <w:t>25%</w:t>
            </w:r>
          </w:p>
        </w:tc>
        <w:tc>
          <w:tcPr>
            <w:tcW w:w="2835" w:type="dxa"/>
          </w:tcPr>
          <w:p w:rsidR="00A64FB9" w:rsidRPr="00027C87" w:rsidRDefault="00753E6A" w:rsidP="00027C87">
            <w:pPr>
              <w:spacing w:after="240"/>
              <w:jc w:val="center"/>
              <w:rPr>
                <w:rFonts w:ascii="Verdana" w:hAnsi="Verdana"/>
                <w:sz w:val="22"/>
                <w:szCs w:val="22"/>
              </w:rPr>
            </w:pPr>
            <w:r>
              <w:rPr>
                <w:rFonts w:ascii="Verdana" w:hAnsi="Verdana"/>
                <w:sz w:val="22"/>
                <w:szCs w:val="22"/>
              </w:rPr>
              <w:t>31.4</w:t>
            </w:r>
          </w:p>
        </w:tc>
        <w:tc>
          <w:tcPr>
            <w:tcW w:w="2602" w:type="dxa"/>
          </w:tcPr>
          <w:p w:rsidR="00A64FB9" w:rsidRPr="00027C87" w:rsidRDefault="00753E6A" w:rsidP="00027C87">
            <w:pPr>
              <w:spacing w:after="240"/>
              <w:jc w:val="center"/>
              <w:rPr>
                <w:rFonts w:ascii="Verdana" w:hAnsi="Verdana"/>
                <w:sz w:val="22"/>
                <w:szCs w:val="22"/>
              </w:rPr>
            </w:pPr>
            <w:r>
              <w:rPr>
                <w:rFonts w:ascii="Verdana" w:hAnsi="Verdana"/>
                <w:sz w:val="22"/>
                <w:szCs w:val="22"/>
              </w:rPr>
              <w:t>31.8</w:t>
            </w:r>
          </w:p>
        </w:tc>
      </w:tr>
      <w:tr w:rsidR="00A64FB9" w:rsidTr="00DD6246">
        <w:tc>
          <w:tcPr>
            <w:tcW w:w="3085" w:type="dxa"/>
          </w:tcPr>
          <w:p w:rsidR="00A64FB9" w:rsidRPr="00027C87" w:rsidRDefault="00753E6A" w:rsidP="00753E6A">
            <w:pPr>
              <w:spacing w:after="240"/>
              <w:jc w:val="center"/>
              <w:rPr>
                <w:rFonts w:ascii="Verdana" w:hAnsi="Verdana"/>
                <w:sz w:val="22"/>
                <w:szCs w:val="22"/>
              </w:rPr>
            </w:pPr>
            <w:r>
              <w:rPr>
                <w:rFonts w:ascii="Verdana" w:hAnsi="Verdana"/>
                <w:sz w:val="22"/>
                <w:szCs w:val="22"/>
              </w:rPr>
              <w:t>100%</w:t>
            </w:r>
          </w:p>
        </w:tc>
        <w:tc>
          <w:tcPr>
            <w:tcW w:w="2835" w:type="dxa"/>
          </w:tcPr>
          <w:p w:rsidR="00A64FB9" w:rsidRPr="00027C87" w:rsidRDefault="00753E6A" w:rsidP="00027C87">
            <w:pPr>
              <w:spacing w:after="240"/>
              <w:jc w:val="center"/>
              <w:rPr>
                <w:rFonts w:ascii="Verdana" w:hAnsi="Verdana"/>
                <w:sz w:val="22"/>
                <w:szCs w:val="22"/>
              </w:rPr>
            </w:pPr>
            <w:r>
              <w:rPr>
                <w:rFonts w:ascii="Verdana" w:hAnsi="Verdana"/>
                <w:sz w:val="22"/>
                <w:szCs w:val="22"/>
              </w:rPr>
              <w:t>30.1</w:t>
            </w:r>
          </w:p>
        </w:tc>
        <w:tc>
          <w:tcPr>
            <w:tcW w:w="2602" w:type="dxa"/>
          </w:tcPr>
          <w:p w:rsidR="00A64FB9" w:rsidRPr="00027C87" w:rsidRDefault="00753E6A" w:rsidP="00027C87">
            <w:pPr>
              <w:spacing w:after="240"/>
              <w:jc w:val="center"/>
              <w:rPr>
                <w:rFonts w:ascii="Verdana" w:hAnsi="Verdana"/>
                <w:sz w:val="22"/>
                <w:szCs w:val="22"/>
              </w:rPr>
            </w:pPr>
            <w:r>
              <w:rPr>
                <w:rFonts w:ascii="Verdana" w:hAnsi="Verdana"/>
                <w:sz w:val="22"/>
                <w:szCs w:val="22"/>
              </w:rPr>
              <w:t>30.1</w:t>
            </w:r>
          </w:p>
        </w:tc>
      </w:tr>
    </w:tbl>
    <w:p w:rsidR="00C838EA" w:rsidRDefault="00C838EA" w:rsidP="00C838EA">
      <w:pPr>
        <w:spacing w:after="240"/>
        <w:rPr>
          <w:rFonts w:ascii="Verdana" w:hAnsi="Verdana"/>
          <w:sz w:val="22"/>
          <w:szCs w:val="22"/>
          <w:u w:val="single"/>
        </w:rPr>
      </w:pPr>
    </w:p>
    <w:p w:rsidR="00F36721" w:rsidRDefault="00F36721" w:rsidP="002E6E71">
      <w:pPr>
        <w:numPr>
          <w:ilvl w:val="0"/>
          <w:numId w:val="1"/>
        </w:numPr>
        <w:spacing w:after="240"/>
        <w:rPr>
          <w:rFonts w:ascii="Verdana" w:hAnsi="Verdana"/>
          <w:sz w:val="22"/>
          <w:szCs w:val="22"/>
        </w:rPr>
      </w:pPr>
      <w:r>
        <w:rPr>
          <w:rFonts w:ascii="Verdana" w:hAnsi="Verdana"/>
          <w:sz w:val="22"/>
          <w:szCs w:val="22"/>
        </w:rPr>
        <w:lastRenderedPageBreak/>
        <w:t>The results in table 5 may at first seem counter intuitive. Zero per cent long term growth for 90 per cent of the former student population increases the RAB change by more than seven percentage points, while, we see from table 4 than zero grow for all the population only lifts the RAB by less than four percentage points. However, the redistribution of growth does no effect the average earnings and hence, the thresholds are not lowered. Hence the larger impact on the RAB.</w:t>
      </w:r>
    </w:p>
    <w:p w:rsidR="00F36721" w:rsidRPr="00F36721" w:rsidRDefault="00F36721" w:rsidP="00F36721">
      <w:pPr>
        <w:pStyle w:val="ListParagraph"/>
        <w:spacing w:before="120" w:after="240"/>
        <w:ind w:left="0"/>
        <w:rPr>
          <w:rFonts w:ascii="Verdana" w:hAnsi="Verdana"/>
          <w:b/>
          <w:sz w:val="24"/>
          <w:szCs w:val="24"/>
        </w:rPr>
      </w:pPr>
      <w:r w:rsidRPr="00F36721">
        <w:rPr>
          <w:rFonts w:ascii="Verdana" w:hAnsi="Verdana"/>
          <w:b/>
          <w:sz w:val="24"/>
          <w:szCs w:val="24"/>
        </w:rPr>
        <w:t>Career growth in earnings</w:t>
      </w:r>
    </w:p>
    <w:p w:rsidR="002E6E71" w:rsidRDefault="002E6E71" w:rsidP="002E6E71">
      <w:pPr>
        <w:numPr>
          <w:ilvl w:val="0"/>
          <w:numId w:val="1"/>
        </w:numPr>
        <w:spacing w:after="240"/>
        <w:rPr>
          <w:rFonts w:ascii="Verdana" w:hAnsi="Verdana"/>
          <w:sz w:val="22"/>
          <w:szCs w:val="22"/>
        </w:rPr>
      </w:pPr>
      <w:r>
        <w:rPr>
          <w:rFonts w:ascii="Verdana" w:hAnsi="Verdana"/>
          <w:sz w:val="22"/>
          <w:szCs w:val="22"/>
        </w:rPr>
        <w:t>Figures 1a and 1b show the lower quartile, median and upper quartile of the earnings of former students from aged 22, when they are liable to make their first repayments</w:t>
      </w:r>
      <w:r w:rsidR="00F8459B">
        <w:rPr>
          <w:rFonts w:ascii="Verdana" w:hAnsi="Verdana"/>
          <w:sz w:val="22"/>
          <w:szCs w:val="22"/>
        </w:rPr>
        <w:t>,</w:t>
      </w:r>
      <w:r>
        <w:rPr>
          <w:rFonts w:ascii="Verdana" w:hAnsi="Verdana"/>
          <w:sz w:val="22"/>
          <w:szCs w:val="22"/>
        </w:rPr>
        <w:t xml:space="preserve"> to aged 51, the last year for repayments before any outstanding balance will be written off. </w:t>
      </w:r>
    </w:p>
    <w:p w:rsidR="00F8459B" w:rsidRDefault="002E6E71" w:rsidP="002E6E71">
      <w:pPr>
        <w:numPr>
          <w:ilvl w:val="0"/>
          <w:numId w:val="1"/>
        </w:numPr>
        <w:spacing w:after="240"/>
        <w:rPr>
          <w:rFonts w:ascii="Verdana" w:hAnsi="Verdana"/>
          <w:sz w:val="22"/>
          <w:szCs w:val="22"/>
        </w:rPr>
      </w:pPr>
      <w:r>
        <w:rPr>
          <w:rFonts w:ascii="Verdana" w:hAnsi="Verdana"/>
          <w:sz w:val="22"/>
          <w:szCs w:val="22"/>
        </w:rPr>
        <w:t xml:space="preserve">These earnings do not correspond to the figures usually published. They include those individuals with no earnings, through unemployment or by not being in the labour market. No adjustments are made for part-time working. </w:t>
      </w:r>
      <w:r w:rsidR="00F8459B">
        <w:rPr>
          <w:rFonts w:ascii="Verdana" w:hAnsi="Verdana"/>
          <w:sz w:val="22"/>
          <w:szCs w:val="22"/>
        </w:rPr>
        <w:t>This needs to be understood when comparing the figures for men and women. For example, about a third of the women aged 38 have zero income, whereas for men the figure is 7 to 8 per cent. The resulting much lower average earnings for women leads to the much higher loan costs.</w:t>
      </w:r>
    </w:p>
    <w:p w:rsidR="00C6610C" w:rsidRPr="00836DFC" w:rsidRDefault="00126FFF" w:rsidP="00836DFC">
      <w:pPr>
        <w:numPr>
          <w:ilvl w:val="0"/>
          <w:numId w:val="1"/>
        </w:numPr>
        <w:spacing w:before="120" w:after="200" w:line="276" w:lineRule="auto"/>
        <w:rPr>
          <w:rFonts w:ascii="Verdana" w:hAnsi="Verdana"/>
          <w:sz w:val="24"/>
          <w:szCs w:val="24"/>
          <w:u w:val="single"/>
        </w:rPr>
      </w:pPr>
      <w:r w:rsidRPr="00836DFC">
        <w:rPr>
          <w:rFonts w:ascii="Verdana" w:hAnsi="Verdana"/>
          <w:sz w:val="22"/>
          <w:szCs w:val="22"/>
        </w:rPr>
        <w:t>The coloured lines shown in figures 1a and 1b are the best fit quadratic curves. These are not part of the BIS model and are included to give a better sense as to how earnings change with time. The scatter of the data points reflects the difficulty</w:t>
      </w:r>
      <w:r w:rsidR="0055447E" w:rsidRPr="00836DFC">
        <w:rPr>
          <w:rFonts w:ascii="Verdana" w:hAnsi="Verdana"/>
          <w:sz w:val="22"/>
          <w:szCs w:val="22"/>
        </w:rPr>
        <w:t xml:space="preserve"> of estimating the earnings of graduates</w:t>
      </w:r>
      <w:r w:rsidRPr="00836DFC">
        <w:rPr>
          <w:rFonts w:ascii="Verdana" w:hAnsi="Verdana"/>
          <w:sz w:val="22"/>
          <w:szCs w:val="22"/>
        </w:rPr>
        <w:t xml:space="preserve"> for individual ages</w:t>
      </w:r>
      <w:r w:rsidR="004074BC">
        <w:rPr>
          <w:rStyle w:val="FootnoteReference"/>
          <w:rFonts w:ascii="Verdana" w:hAnsi="Verdana"/>
          <w:sz w:val="22"/>
          <w:szCs w:val="22"/>
        </w:rPr>
        <w:footnoteReference w:id="5"/>
      </w:r>
      <w:r w:rsidRPr="00836DFC">
        <w:rPr>
          <w:rFonts w:ascii="Verdana" w:hAnsi="Verdana"/>
          <w:sz w:val="22"/>
          <w:szCs w:val="22"/>
        </w:rPr>
        <w:t>.</w:t>
      </w:r>
      <w:r w:rsidR="009E13A7" w:rsidRPr="00836DFC">
        <w:rPr>
          <w:rFonts w:ascii="Verdana" w:hAnsi="Verdana"/>
          <w:sz w:val="22"/>
          <w:szCs w:val="22"/>
        </w:rPr>
        <w:t xml:space="preserve"> </w:t>
      </w:r>
      <w:r w:rsidR="00F8459B" w:rsidRPr="00836DFC">
        <w:rPr>
          <w:rFonts w:ascii="Verdana" w:hAnsi="Verdana"/>
          <w:sz w:val="22"/>
          <w:szCs w:val="22"/>
        </w:rPr>
        <w:t>For men, and also for women in the higher earning percentiles</w:t>
      </w:r>
      <w:r w:rsidR="00534764" w:rsidRPr="00836DFC">
        <w:rPr>
          <w:rFonts w:ascii="Verdana" w:hAnsi="Verdana"/>
          <w:sz w:val="22"/>
          <w:szCs w:val="22"/>
        </w:rPr>
        <w:t xml:space="preserve">, </w:t>
      </w:r>
      <w:r w:rsidR="0055447E" w:rsidRPr="00836DFC">
        <w:rPr>
          <w:rFonts w:ascii="Verdana" w:hAnsi="Verdana"/>
          <w:sz w:val="22"/>
          <w:szCs w:val="22"/>
        </w:rPr>
        <w:t xml:space="preserve">we </w:t>
      </w:r>
      <w:r w:rsidR="00534764" w:rsidRPr="00836DFC">
        <w:rPr>
          <w:rFonts w:ascii="Verdana" w:hAnsi="Verdana"/>
          <w:sz w:val="22"/>
          <w:szCs w:val="22"/>
        </w:rPr>
        <w:t>see large increases in earnings through the first 10 to 15 years of the repayment period. This, combined with the much higher loans to cover the new fees and maintenance, leads to large proportions of the repayments being expected at the back end of the repayment period.</w:t>
      </w:r>
      <w:r w:rsidR="00F8459B" w:rsidRPr="00836DFC">
        <w:rPr>
          <w:rFonts w:ascii="Verdana" w:hAnsi="Verdana"/>
          <w:sz w:val="22"/>
          <w:szCs w:val="22"/>
        </w:rPr>
        <w:t xml:space="preserve"> </w:t>
      </w:r>
      <w:r w:rsidR="00C6610C" w:rsidRPr="00836DFC">
        <w:rPr>
          <w:rFonts w:ascii="Verdana" w:hAnsi="Verdana"/>
          <w:sz w:val="24"/>
          <w:szCs w:val="24"/>
          <w:u w:val="single"/>
        </w:rPr>
        <w:br w:type="page"/>
      </w:r>
    </w:p>
    <w:p w:rsidR="00C65DE3" w:rsidRPr="00C65DE3" w:rsidRDefault="00C65DE3" w:rsidP="00EB6920">
      <w:pPr>
        <w:spacing w:before="120" w:after="240"/>
        <w:rPr>
          <w:rFonts w:ascii="Verdana" w:hAnsi="Verdana"/>
          <w:sz w:val="24"/>
          <w:szCs w:val="24"/>
          <w:u w:val="single"/>
        </w:rPr>
      </w:pPr>
      <w:r w:rsidRPr="00C65DE3">
        <w:rPr>
          <w:rFonts w:ascii="Verdana" w:hAnsi="Verdana"/>
          <w:sz w:val="24"/>
          <w:szCs w:val="24"/>
          <w:u w:val="single"/>
        </w:rPr>
        <w:lastRenderedPageBreak/>
        <w:t>Figure 1</w:t>
      </w:r>
      <w:r w:rsidR="00FB7485">
        <w:rPr>
          <w:rFonts w:ascii="Verdana" w:hAnsi="Verdana"/>
          <w:sz w:val="24"/>
          <w:szCs w:val="24"/>
          <w:u w:val="single"/>
        </w:rPr>
        <w:t>a</w:t>
      </w:r>
      <w:r w:rsidRPr="00C65DE3">
        <w:rPr>
          <w:rFonts w:ascii="Verdana" w:hAnsi="Verdana"/>
          <w:sz w:val="24"/>
          <w:szCs w:val="24"/>
          <w:u w:val="single"/>
        </w:rPr>
        <w:t xml:space="preserve">: </w:t>
      </w:r>
      <w:r w:rsidR="00EF7B54">
        <w:rPr>
          <w:rFonts w:ascii="Verdana" w:hAnsi="Verdana"/>
          <w:sz w:val="24"/>
          <w:szCs w:val="24"/>
          <w:u w:val="single"/>
        </w:rPr>
        <w:t>Male g</w:t>
      </w:r>
      <w:r w:rsidRPr="00C65DE3">
        <w:rPr>
          <w:rFonts w:ascii="Verdana" w:hAnsi="Verdana"/>
          <w:sz w:val="24"/>
          <w:szCs w:val="24"/>
          <w:u w:val="single"/>
        </w:rPr>
        <w:t>raduate earnings by age (</w:t>
      </w:r>
      <w:r w:rsidR="00EF7B54">
        <w:rPr>
          <w:rFonts w:ascii="Verdana" w:hAnsi="Verdana"/>
          <w:sz w:val="24"/>
          <w:szCs w:val="24"/>
          <w:u w:val="single"/>
        </w:rPr>
        <w:t>2016 prices)</w:t>
      </w:r>
    </w:p>
    <w:p w:rsidR="00C65DE3" w:rsidRDefault="00C65DE3" w:rsidP="00EB6920">
      <w:pPr>
        <w:spacing w:before="120" w:after="240"/>
        <w:rPr>
          <w:rFonts w:ascii="Verdana" w:hAnsi="Verdana"/>
          <w:b/>
          <w:sz w:val="24"/>
          <w:szCs w:val="24"/>
        </w:rPr>
      </w:pPr>
      <w:r w:rsidRPr="00C65DE3">
        <w:rPr>
          <w:rFonts w:ascii="Verdana" w:hAnsi="Verdana"/>
          <w:b/>
          <w:noProof/>
          <w:sz w:val="24"/>
          <w:szCs w:val="24"/>
        </w:rPr>
        <w:drawing>
          <wp:inline distT="0" distB="0" distL="0" distR="0">
            <wp:extent cx="5080959" cy="331254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1015B" w:rsidRPr="00C65DE3" w:rsidRDefault="0051015B" w:rsidP="0051015B">
      <w:pPr>
        <w:spacing w:before="120" w:after="240"/>
        <w:rPr>
          <w:rFonts w:ascii="Verdana" w:hAnsi="Verdana"/>
          <w:sz w:val="24"/>
          <w:szCs w:val="24"/>
          <w:u w:val="single"/>
        </w:rPr>
      </w:pPr>
      <w:r w:rsidRPr="00C65DE3">
        <w:rPr>
          <w:rFonts w:ascii="Verdana" w:hAnsi="Verdana"/>
          <w:sz w:val="24"/>
          <w:szCs w:val="24"/>
          <w:u w:val="single"/>
        </w:rPr>
        <w:t>Figure 1</w:t>
      </w:r>
      <w:r>
        <w:rPr>
          <w:rFonts w:ascii="Verdana" w:hAnsi="Verdana"/>
          <w:sz w:val="24"/>
          <w:szCs w:val="24"/>
          <w:u w:val="single"/>
        </w:rPr>
        <w:t>b</w:t>
      </w:r>
      <w:r w:rsidRPr="00C65DE3">
        <w:rPr>
          <w:rFonts w:ascii="Verdana" w:hAnsi="Verdana"/>
          <w:sz w:val="24"/>
          <w:szCs w:val="24"/>
          <w:u w:val="single"/>
        </w:rPr>
        <w:t xml:space="preserve">: </w:t>
      </w:r>
      <w:r>
        <w:rPr>
          <w:rFonts w:ascii="Verdana" w:hAnsi="Verdana"/>
          <w:sz w:val="24"/>
          <w:szCs w:val="24"/>
          <w:u w:val="single"/>
        </w:rPr>
        <w:t>Female g</w:t>
      </w:r>
      <w:r w:rsidRPr="00C65DE3">
        <w:rPr>
          <w:rFonts w:ascii="Verdana" w:hAnsi="Verdana"/>
          <w:sz w:val="24"/>
          <w:szCs w:val="24"/>
          <w:u w:val="single"/>
        </w:rPr>
        <w:t>raduate earnings by age (</w:t>
      </w:r>
      <w:r>
        <w:rPr>
          <w:rFonts w:ascii="Verdana" w:hAnsi="Verdana"/>
          <w:sz w:val="24"/>
          <w:szCs w:val="24"/>
          <w:u w:val="single"/>
        </w:rPr>
        <w:t>2016 prices)</w:t>
      </w:r>
    </w:p>
    <w:p w:rsidR="0051015B" w:rsidRDefault="0051015B" w:rsidP="00EB6920">
      <w:pPr>
        <w:spacing w:before="120" w:after="240"/>
        <w:rPr>
          <w:rFonts w:ascii="Verdana" w:hAnsi="Verdana"/>
          <w:sz w:val="18"/>
          <w:szCs w:val="18"/>
          <w:u w:val="single"/>
        </w:rPr>
      </w:pPr>
      <w:r w:rsidRPr="0051015B">
        <w:rPr>
          <w:rFonts w:ascii="Verdana" w:hAnsi="Verdana"/>
          <w:noProof/>
          <w:sz w:val="18"/>
          <w:szCs w:val="18"/>
          <w:u w:val="single"/>
        </w:rPr>
        <w:drawing>
          <wp:inline distT="0" distB="0" distL="0" distR="0">
            <wp:extent cx="5080959" cy="329529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F7B54" w:rsidRPr="00EF7B54" w:rsidRDefault="00EF7B54" w:rsidP="0051015B">
      <w:pPr>
        <w:spacing w:before="120" w:after="240" w:line="240" w:lineRule="auto"/>
        <w:rPr>
          <w:rFonts w:ascii="Verdana" w:hAnsi="Verdana"/>
          <w:sz w:val="18"/>
          <w:szCs w:val="18"/>
          <w:u w:val="single"/>
        </w:rPr>
      </w:pPr>
      <w:r w:rsidRPr="00EF7B54">
        <w:rPr>
          <w:rFonts w:ascii="Verdana" w:hAnsi="Verdana"/>
          <w:sz w:val="18"/>
          <w:szCs w:val="18"/>
          <w:u w:val="single"/>
        </w:rPr>
        <w:t>Figure</w:t>
      </w:r>
      <w:r w:rsidR="00FB7485">
        <w:rPr>
          <w:rFonts w:ascii="Verdana" w:hAnsi="Verdana"/>
          <w:sz w:val="18"/>
          <w:szCs w:val="18"/>
          <w:u w:val="single"/>
        </w:rPr>
        <w:t>s</w:t>
      </w:r>
      <w:r w:rsidRPr="00EF7B54">
        <w:rPr>
          <w:rFonts w:ascii="Verdana" w:hAnsi="Verdana"/>
          <w:sz w:val="18"/>
          <w:szCs w:val="18"/>
          <w:u w:val="single"/>
        </w:rPr>
        <w:t xml:space="preserve"> 1</w:t>
      </w:r>
      <w:r w:rsidR="00FB7485">
        <w:rPr>
          <w:rFonts w:ascii="Verdana" w:hAnsi="Verdana"/>
          <w:sz w:val="18"/>
          <w:szCs w:val="18"/>
          <w:u w:val="single"/>
        </w:rPr>
        <w:t>a and b</w:t>
      </w:r>
      <w:r w:rsidRPr="00EF7B54">
        <w:rPr>
          <w:rFonts w:ascii="Verdana" w:hAnsi="Verdana"/>
          <w:sz w:val="18"/>
          <w:szCs w:val="18"/>
          <w:u w:val="single"/>
        </w:rPr>
        <w:t xml:space="preserve"> notes</w:t>
      </w:r>
    </w:p>
    <w:p w:rsidR="0051015B" w:rsidRDefault="00EF7B54" w:rsidP="0051015B">
      <w:pPr>
        <w:spacing w:before="120" w:after="240" w:line="240" w:lineRule="auto"/>
        <w:rPr>
          <w:rFonts w:ascii="Verdana" w:hAnsi="Verdana"/>
          <w:sz w:val="18"/>
          <w:szCs w:val="18"/>
        </w:rPr>
      </w:pPr>
      <w:r w:rsidRPr="00EF7B54">
        <w:rPr>
          <w:rFonts w:ascii="Verdana" w:hAnsi="Verdana"/>
          <w:sz w:val="18"/>
          <w:szCs w:val="18"/>
        </w:rPr>
        <w:t>Black</w:t>
      </w:r>
      <w:r>
        <w:rPr>
          <w:rFonts w:ascii="Verdana" w:hAnsi="Verdana"/>
          <w:sz w:val="18"/>
          <w:szCs w:val="18"/>
        </w:rPr>
        <w:t xml:space="preserve"> lines </w:t>
      </w:r>
      <w:r w:rsidR="0021077B">
        <w:rPr>
          <w:rFonts w:ascii="Verdana" w:hAnsi="Verdana"/>
          <w:sz w:val="18"/>
          <w:szCs w:val="18"/>
        </w:rPr>
        <w:t xml:space="preserve">show the </w:t>
      </w:r>
      <w:r>
        <w:rPr>
          <w:rFonts w:ascii="Verdana" w:hAnsi="Verdana"/>
          <w:sz w:val="18"/>
          <w:szCs w:val="18"/>
        </w:rPr>
        <w:t>repayment</w:t>
      </w:r>
      <w:r w:rsidR="0021077B">
        <w:rPr>
          <w:rFonts w:ascii="Verdana" w:hAnsi="Verdana"/>
          <w:sz w:val="18"/>
          <w:szCs w:val="18"/>
        </w:rPr>
        <w:t xml:space="preserve"> </w:t>
      </w:r>
      <w:r>
        <w:rPr>
          <w:rFonts w:ascii="Verdana" w:hAnsi="Verdana"/>
          <w:sz w:val="18"/>
          <w:szCs w:val="18"/>
        </w:rPr>
        <w:t>and maximum interest thresholds.</w:t>
      </w:r>
    </w:p>
    <w:p w:rsidR="00EF7B54" w:rsidRPr="00EF7B54" w:rsidRDefault="00F36721" w:rsidP="0051015B">
      <w:pPr>
        <w:spacing w:before="120" w:after="240" w:line="240" w:lineRule="auto"/>
        <w:rPr>
          <w:rFonts w:ascii="Verdana" w:hAnsi="Verdana"/>
          <w:sz w:val="18"/>
          <w:szCs w:val="18"/>
        </w:rPr>
      </w:pPr>
      <w:r>
        <w:rPr>
          <w:rFonts w:ascii="Verdana" w:hAnsi="Verdana"/>
          <w:sz w:val="18"/>
          <w:szCs w:val="18"/>
        </w:rPr>
        <w:t>Green</w:t>
      </w:r>
      <w:r w:rsidR="00EF7B54">
        <w:rPr>
          <w:rFonts w:ascii="Verdana" w:hAnsi="Verdana"/>
          <w:sz w:val="18"/>
          <w:szCs w:val="18"/>
        </w:rPr>
        <w:t xml:space="preserve">, orange and </w:t>
      </w:r>
      <w:r>
        <w:rPr>
          <w:rFonts w:ascii="Verdana" w:hAnsi="Verdana"/>
          <w:sz w:val="18"/>
          <w:szCs w:val="18"/>
        </w:rPr>
        <w:t>red</w:t>
      </w:r>
      <w:r w:rsidR="00923628">
        <w:rPr>
          <w:rFonts w:ascii="Verdana" w:hAnsi="Verdana"/>
          <w:sz w:val="18"/>
          <w:szCs w:val="18"/>
        </w:rPr>
        <w:t xml:space="preserve"> lines and p</w:t>
      </w:r>
      <w:r w:rsidR="00534764">
        <w:rPr>
          <w:rFonts w:ascii="Verdana" w:hAnsi="Verdana"/>
          <w:sz w:val="18"/>
          <w:szCs w:val="18"/>
        </w:rPr>
        <w:t>o</w:t>
      </w:r>
      <w:r w:rsidR="00923628">
        <w:rPr>
          <w:rFonts w:ascii="Verdana" w:hAnsi="Verdana"/>
          <w:sz w:val="18"/>
          <w:szCs w:val="18"/>
        </w:rPr>
        <w:t xml:space="preserve">ints show the </w:t>
      </w:r>
      <w:r w:rsidR="00EF7B54">
        <w:rPr>
          <w:rFonts w:ascii="Verdana" w:hAnsi="Verdana"/>
          <w:sz w:val="18"/>
          <w:szCs w:val="18"/>
        </w:rPr>
        <w:t xml:space="preserve">lower quartile, median and upper quartile earnings (zero earnings included). Lines are best fit quadratic fits of data from BIS model based on 25, 50 and 75 percentile </w:t>
      </w:r>
      <w:r w:rsidR="00534764">
        <w:rPr>
          <w:rFonts w:ascii="Verdana" w:hAnsi="Verdana"/>
          <w:sz w:val="18"/>
          <w:szCs w:val="18"/>
        </w:rPr>
        <w:t>data</w:t>
      </w:r>
      <w:r w:rsidR="00EF7B54">
        <w:rPr>
          <w:rFonts w:ascii="Verdana" w:hAnsi="Verdana"/>
          <w:sz w:val="18"/>
          <w:szCs w:val="18"/>
        </w:rPr>
        <w:t xml:space="preserve"> from the ID sheet. Values were increased in line with average earnings and deflated by the RPI, val</w:t>
      </w:r>
      <w:r>
        <w:rPr>
          <w:rFonts w:ascii="Verdana" w:hAnsi="Verdana"/>
          <w:sz w:val="18"/>
          <w:szCs w:val="18"/>
        </w:rPr>
        <w:t>u</w:t>
      </w:r>
      <w:r w:rsidR="00EF7B54">
        <w:rPr>
          <w:rFonts w:ascii="Verdana" w:hAnsi="Verdana"/>
          <w:sz w:val="18"/>
          <w:szCs w:val="18"/>
        </w:rPr>
        <w:t xml:space="preserve">es from </w:t>
      </w:r>
      <w:r w:rsidR="00923628">
        <w:rPr>
          <w:rFonts w:ascii="Verdana" w:hAnsi="Verdana"/>
          <w:sz w:val="18"/>
          <w:szCs w:val="18"/>
        </w:rPr>
        <w:t xml:space="preserve">the </w:t>
      </w:r>
      <w:r w:rsidR="00EF7B54">
        <w:rPr>
          <w:rFonts w:ascii="Verdana" w:hAnsi="Verdana"/>
          <w:sz w:val="18"/>
          <w:szCs w:val="18"/>
        </w:rPr>
        <w:t>Global sheet.</w:t>
      </w:r>
    </w:p>
    <w:p w:rsidR="000F7FE4" w:rsidRPr="000F7FE4" w:rsidRDefault="00534764" w:rsidP="00C65DE3">
      <w:pPr>
        <w:numPr>
          <w:ilvl w:val="0"/>
          <w:numId w:val="1"/>
        </w:numPr>
        <w:spacing w:after="240"/>
        <w:rPr>
          <w:rFonts w:ascii="Verdana" w:hAnsi="Verdana"/>
          <w:sz w:val="22"/>
          <w:szCs w:val="22"/>
          <w:u w:val="single"/>
        </w:rPr>
      </w:pPr>
      <w:r w:rsidRPr="000F7FE4">
        <w:rPr>
          <w:rFonts w:ascii="Verdana" w:hAnsi="Verdana"/>
          <w:sz w:val="22"/>
          <w:szCs w:val="22"/>
        </w:rPr>
        <w:lastRenderedPageBreak/>
        <w:t xml:space="preserve">Table </w:t>
      </w:r>
      <w:r w:rsidR="00AC2924">
        <w:rPr>
          <w:rFonts w:ascii="Verdana" w:hAnsi="Verdana"/>
          <w:sz w:val="22"/>
          <w:szCs w:val="22"/>
        </w:rPr>
        <w:t>6</w:t>
      </w:r>
      <w:r w:rsidRPr="000F7FE4">
        <w:rPr>
          <w:rFonts w:ascii="Verdana" w:hAnsi="Verdana"/>
          <w:sz w:val="22"/>
          <w:szCs w:val="22"/>
        </w:rPr>
        <w:t xml:space="preserve"> sho</w:t>
      </w:r>
      <w:r w:rsidR="00B631E1">
        <w:rPr>
          <w:rFonts w:ascii="Verdana" w:hAnsi="Verdana"/>
          <w:sz w:val="22"/>
          <w:szCs w:val="22"/>
        </w:rPr>
        <w:t>w</w:t>
      </w:r>
      <w:r w:rsidRPr="000F7FE4">
        <w:rPr>
          <w:rFonts w:ascii="Verdana" w:hAnsi="Verdana"/>
          <w:sz w:val="22"/>
          <w:szCs w:val="22"/>
        </w:rPr>
        <w:t>s the Net Present Value (NPV) of the repayments</w:t>
      </w:r>
      <w:r w:rsidR="000F7FE4" w:rsidRPr="000F7FE4">
        <w:rPr>
          <w:rFonts w:ascii="Verdana" w:hAnsi="Verdana"/>
          <w:sz w:val="22"/>
          <w:szCs w:val="22"/>
        </w:rPr>
        <w:t xml:space="preserve"> in the last 20, 15 and 10 years as a percentage of the NPV of all the expected repayments. Even though the repayments made towards the end of the repayment period will have higher discounting, they represent a large part of the expected repayment NPV, and a much larger part than the loans made hitherto (</w:t>
      </w:r>
      <w:r w:rsidR="00F36721">
        <w:rPr>
          <w:rFonts w:ascii="Verdana" w:hAnsi="Verdana"/>
          <w:sz w:val="22"/>
          <w:szCs w:val="22"/>
        </w:rPr>
        <w:t>Thompson et al,</w:t>
      </w:r>
      <w:r w:rsidR="000F7FE4" w:rsidRPr="000F7FE4">
        <w:rPr>
          <w:rFonts w:ascii="Verdana" w:hAnsi="Verdana"/>
          <w:sz w:val="22"/>
          <w:szCs w:val="22"/>
        </w:rPr>
        <w:t xml:space="preserve"> 2010).  This means the RAB estimates will be sensitive to earnings estimates far into the future, leading to increased uncertainty as to what the loan costs will turn out to be. </w:t>
      </w:r>
    </w:p>
    <w:p w:rsidR="00C65DE3" w:rsidRPr="000F7FE4" w:rsidRDefault="00C65DE3" w:rsidP="00E412FF">
      <w:pPr>
        <w:spacing w:after="240"/>
        <w:rPr>
          <w:rFonts w:ascii="Verdana" w:hAnsi="Verdana"/>
          <w:sz w:val="22"/>
          <w:szCs w:val="22"/>
          <w:u w:val="single"/>
        </w:rPr>
      </w:pPr>
      <w:r w:rsidRPr="000F7FE4">
        <w:rPr>
          <w:rFonts w:ascii="Verdana" w:hAnsi="Verdana"/>
          <w:sz w:val="22"/>
          <w:szCs w:val="22"/>
          <w:u w:val="single"/>
        </w:rPr>
        <w:t xml:space="preserve">Table </w:t>
      </w:r>
      <w:r w:rsidR="00AC2924">
        <w:rPr>
          <w:rFonts w:ascii="Verdana" w:hAnsi="Verdana"/>
          <w:sz w:val="22"/>
          <w:szCs w:val="22"/>
          <w:u w:val="single"/>
        </w:rPr>
        <w:t>6</w:t>
      </w:r>
      <w:r w:rsidRPr="000F7FE4">
        <w:rPr>
          <w:rFonts w:ascii="Verdana" w:hAnsi="Verdana"/>
          <w:sz w:val="22"/>
          <w:szCs w:val="22"/>
          <w:u w:val="single"/>
        </w:rPr>
        <w:t xml:space="preserve">: Percentage of total NPV </w:t>
      </w:r>
      <w:r w:rsidR="00534764" w:rsidRPr="000F7FE4">
        <w:rPr>
          <w:rFonts w:ascii="Verdana" w:hAnsi="Verdana"/>
          <w:sz w:val="22"/>
          <w:szCs w:val="22"/>
          <w:u w:val="single"/>
        </w:rPr>
        <w:t xml:space="preserve">of </w:t>
      </w:r>
      <w:r w:rsidRPr="000F7FE4">
        <w:rPr>
          <w:rFonts w:ascii="Verdana" w:hAnsi="Verdana"/>
          <w:sz w:val="22"/>
          <w:szCs w:val="22"/>
          <w:u w:val="single"/>
        </w:rPr>
        <w:t>repayments made towards the end of the repayment period</w:t>
      </w:r>
    </w:p>
    <w:tbl>
      <w:tblPr>
        <w:tblStyle w:val="TableGrid"/>
        <w:tblW w:w="0" w:type="auto"/>
        <w:tblInd w:w="108" w:type="dxa"/>
        <w:tblLook w:val="04A0" w:firstRow="1" w:lastRow="0" w:firstColumn="1" w:lastColumn="0" w:noHBand="0" w:noVBand="1"/>
      </w:tblPr>
      <w:tblGrid>
        <w:gridCol w:w="4962"/>
        <w:gridCol w:w="992"/>
        <w:gridCol w:w="1012"/>
        <w:gridCol w:w="992"/>
      </w:tblGrid>
      <w:tr w:rsidR="00C65DE3" w:rsidTr="00C65DE3">
        <w:tc>
          <w:tcPr>
            <w:tcW w:w="4962" w:type="dxa"/>
            <w:vMerge w:val="restart"/>
          </w:tcPr>
          <w:p w:rsidR="00C65DE3" w:rsidRPr="00D541EC" w:rsidRDefault="00C65DE3" w:rsidP="00C65DE3">
            <w:pPr>
              <w:spacing w:after="240"/>
              <w:jc w:val="center"/>
              <w:rPr>
                <w:rFonts w:ascii="Verdana" w:hAnsi="Verdana"/>
                <w:sz w:val="22"/>
                <w:szCs w:val="22"/>
              </w:rPr>
            </w:pPr>
            <w:r>
              <w:rPr>
                <w:rFonts w:ascii="Verdana" w:hAnsi="Verdana"/>
                <w:sz w:val="22"/>
                <w:szCs w:val="22"/>
              </w:rPr>
              <w:t>Period</w:t>
            </w:r>
          </w:p>
        </w:tc>
        <w:tc>
          <w:tcPr>
            <w:tcW w:w="2976" w:type="dxa"/>
            <w:gridSpan w:val="3"/>
          </w:tcPr>
          <w:p w:rsidR="00C65DE3" w:rsidRPr="00D541EC" w:rsidRDefault="00C65DE3" w:rsidP="00C65DE3">
            <w:pPr>
              <w:spacing w:after="240"/>
              <w:jc w:val="center"/>
              <w:rPr>
                <w:rFonts w:ascii="Verdana" w:hAnsi="Verdana"/>
                <w:sz w:val="22"/>
                <w:szCs w:val="22"/>
              </w:rPr>
            </w:pPr>
            <w:r>
              <w:rPr>
                <w:rFonts w:ascii="Verdana" w:hAnsi="Verdana"/>
                <w:sz w:val="22"/>
                <w:szCs w:val="22"/>
              </w:rPr>
              <w:t>%NPV of all repayments</w:t>
            </w:r>
          </w:p>
        </w:tc>
      </w:tr>
      <w:tr w:rsidR="00C65DE3" w:rsidTr="00C65DE3">
        <w:tc>
          <w:tcPr>
            <w:tcW w:w="4962" w:type="dxa"/>
            <w:vMerge/>
          </w:tcPr>
          <w:p w:rsidR="00C65DE3" w:rsidRPr="00D541EC" w:rsidRDefault="00C65DE3" w:rsidP="00C65DE3">
            <w:pPr>
              <w:spacing w:after="240"/>
              <w:jc w:val="center"/>
              <w:rPr>
                <w:rFonts w:ascii="Verdana" w:hAnsi="Verdana"/>
                <w:sz w:val="22"/>
                <w:szCs w:val="22"/>
              </w:rPr>
            </w:pPr>
          </w:p>
        </w:tc>
        <w:tc>
          <w:tcPr>
            <w:tcW w:w="992" w:type="dxa"/>
          </w:tcPr>
          <w:p w:rsidR="00C65DE3" w:rsidRPr="00D541EC" w:rsidRDefault="00C65DE3" w:rsidP="00C65DE3">
            <w:pPr>
              <w:spacing w:after="240"/>
              <w:jc w:val="center"/>
              <w:rPr>
                <w:rFonts w:ascii="Verdana" w:hAnsi="Verdana"/>
                <w:sz w:val="22"/>
                <w:szCs w:val="22"/>
              </w:rPr>
            </w:pPr>
            <w:r>
              <w:rPr>
                <w:rFonts w:ascii="Verdana" w:hAnsi="Verdana"/>
                <w:sz w:val="22"/>
                <w:szCs w:val="22"/>
              </w:rPr>
              <w:t xml:space="preserve">Male </w:t>
            </w:r>
          </w:p>
        </w:tc>
        <w:tc>
          <w:tcPr>
            <w:tcW w:w="992" w:type="dxa"/>
          </w:tcPr>
          <w:p w:rsidR="00C65DE3" w:rsidRPr="00D541EC" w:rsidRDefault="00C65DE3" w:rsidP="00C65DE3">
            <w:pPr>
              <w:spacing w:after="240"/>
              <w:jc w:val="center"/>
              <w:rPr>
                <w:rFonts w:ascii="Verdana" w:hAnsi="Verdana"/>
                <w:sz w:val="22"/>
                <w:szCs w:val="22"/>
              </w:rPr>
            </w:pPr>
            <w:r>
              <w:rPr>
                <w:rFonts w:ascii="Verdana" w:hAnsi="Verdana"/>
                <w:sz w:val="22"/>
                <w:szCs w:val="22"/>
              </w:rPr>
              <w:t>Female</w:t>
            </w:r>
          </w:p>
        </w:tc>
        <w:tc>
          <w:tcPr>
            <w:tcW w:w="992" w:type="dxa"/>
          </w:tcPr>
          <w:p w:rsidR="00C65DE3" w:rsidRPr="00D541EC" w:rsidRDefault="00C65DE3" w:rsidP="00C65DE3">
            <w:pPr>
              <w:spacing w:after="240"/>
              <w:jc w:val="center"/>
              <w:rPr>
                <w:rFonts w:ascii="Verdana" w:hAnsi="Verdana"/>
                <w:sz w:val="22"/>
                <w:szCs w:val="22"/>
              </w:rPr>
            </w:pPr>
            <w:r>
              <w:rPr>
                <w:rFonts w:ascii="Verdana" w:hAnsi="Verdana"/>
                <w:sz w:val="22"/>
                <w:szCs w:val="22"/>
              </w:rPr>
              <w:t>All</w:t>
            </w:r>
          </w:p>
        </w:tc>
      </w:tr>
      <w:tr w:rsidR="00C65DE3" w:rsidTr="00C65DE3">
        <w:tc>
          <w:tcPr>
            <w:tcW w:w="4962" w:type="dxa"/>
          </w:tcPr>
          <w:p w:rsidR="00C65DE3" w:rsidRDefault="00C65DE3" w:rsidP="00C65DE3">
            <w:pPr>
              <w:spacing w:after="240"/>
              <w:rPr>
                <w:rFonts w:ascii="Verdana" w:hAnsi="Verdana"/>
                <w:sz w:val="22"/>
                <w:szCs w:val="22"/>
              </w:rPr>
            </w:pPr>
            <w:r>
              <w:rPr>
                <w:rFonts w:ascii="Verdana" w:hAnsi="Verdana"/>
                <w:sz w:val="22"/>
                <w:szCs w:val="22"/>
              </w:rPr>
              <w:t>Last 20 years (after 2026)</w:t>
            </w:r>
          </w:p>
        </w:tc>
        <w:tc>
          <w:tcPr>
            <w:tcW w:w="992" w:type="dxa"/>
          </w:tcPr>
          <w:p w:rsidR="00C65DE3" w:rsidRDefault="00C65DE3" w:rsidP="004C3E6F">
            <w:pPr>
              <w:spacing w:after="240"/>
              <w:rPr>
                <w:rFonts w:ascii="Verdana" w:hAnsi="Verdana"/>
                <w:sz w:val="22"/>
                <w:szCs w:val="22"/>
              </w:rPr>
            </w:pPr>
            <w:r>
              <w:rPr>
                <w:rFonts w:ascii="Verdana" w:hAnsi="Verdana"/>
                <w:sz w:val="22"/>
                <w:szCs w:val="22"/>
              </w:rPr>
              <w:t>6</w:t>
            </w:r>
            <w:r w:rsidR="004C3E6F">
              <w:rPr>
                <w:rFonts w:ascii="Verdana" w:hAnsi="Verdana"/>
                <w:sz w:val="22"/>
                <w:szCs w:val="22"/>
              </w:rPr>
              <w:t>8</w:t>
            </w:r>
            <w:r>
              <w:rPr>
                <w:rFonts w:ascii="Verdana" w:hAnsi="Verdana"/>
                <w:sz w:val="22"/>
                <w:szCs w:val="22"/>
              </w:rPr>
              <w:t>%</w:t>
            </w:r>
          </w:p>
        </w:tc>
        <w:tc>
          <w:tcPr>
            <w:tcW w:w="992" w:type="dxa"/>
          </w:tcPr>
          <w:p w:rsidR="00C65DE3" w:rsidRDefault="004C3E6F" w:rsidP="004C3E6F">
            <w:pPr>
              <w:spacing w:after="240"/>
              <w:rPr>
                <w:rFonts w:ascii="Verdana" w:hAnsi="Verdana"/>
                <w:sz w:val="22"/>
                <w:szCs w:val="22"/>
              </w:rPr>
            </w:pPr>
            <w:r>
              <w:rPr>
                <w:rFonts w:ascii="Verdana" w:hAnsi="Verdana"/>
                <w:sz w:val="22"/>
                <w:szCs w:val="22"/>
              </w:rPr>
              <w:t>69</w:t>
            </w:r>
            <w:r w:rsidR="00DD6B8B">
              <w:rPr>
                <w:rFonts w:ascii="Verdana" w:hAnsi="Verdana"/>
                <w:sz w:val="22"/>
                <w:szCs w:val="22"/>
              </w:rPr>
              <w:t>%</w:t>
            </w:r>
          </w:p>
        </w:tc>
        <w:tc>
          <w:tcPr>
            <w:tcW w:w="992" w:type="dxa"/>
          </w:tcPr>
          <w:p w:rsidR="00C65DE3" w:rsidRDefault="00DD6B8B" w:rsidP="00C65DE3">
            <w:pPr>
              <w:spacing w:after="240"/>
              <w:rPr>
                <w:rFonts w:ascii="Verdana" w:hAnsi="Verdana"/>
                <w:sz w:val="22"/>
                <w:szCs w:val="22"/>
              </w:rPr>
            </w:pPr>
            <w:r>
              <w:rPr>
                <w:rFonts w:ascii="Verdana" w:hAnsi="Verdana"/>
                <w:sz w:val="22"/>
                <w:szCs w:val="22"/>
              </w:rPr>
              <w:t>69%</w:t>
            </w:r>
          </w:p>
        </w:tc>
      </w:tr>
      <w:tr w:rsidR="00C65DE3" w:rsidTr="00C65DE3">
        <w:tc>
          <w:tcPr>
            <w:tcW w:w="4962" w:type="dxa"/>
          </w:tcPr>
          <w:p w:rsidR="00C65DE3" w:rsidRDefault="00C65DE3" w:rsidP="00C65DE3">
            <w:pPr>
              <w:spacing w:after="240"/>
              <w:rPr>
                <w:rFonts w:ascii="Verdana" w:hAnsi="Verdana"/>
                <w:sz w:val="22"/>
                <w:szCs w:val="22"/>
              </w:rPr>
            </w:pPr>
            <w:r>
              <w:rPr>
                <w:rFonts w:ascii="Verdana" w:hAnsi="Verdana"/>
                <w:sz w:val="22"/>
                <w:szCs w:val="22"/>
              </w:rPr>
              <w:t>Last 15 years (after 2031)</w:t>
            </w:r>
          </w:p>
        </w:tc>
        <w:tc>
          <w:tcPr>
            <w:tcW w:w="992" w:type="dxa"/>
          </w:tcPr>
          <w:p w:rsidR="00C65DE3" w:rsidRDefault="00C65DE3" w:rsidP="00C65DE3">
            <w:pPr>
              <w:spacing w:after="240"/>
              <w:rPr>
                <w:rFonts w:ascii="Verdana" w:hAnsi="Verdana"/>
                <w:sz w:val="22"/>
                <w:szCs w:val="22"/>
              </w:rPr>
            </w:pPr>
            <w:r>
              <w:rPr>
                <w:rFonts w:ascii="Verdana" w:hAnsi="Verdana"/>
                <w:sz w:val="22"/>
                <w:szCs w:val="22"/>
              </w:rPr>
              <w:t>39%</w:t>
            </w:r>
          </w:p>
        </w:tc>
        <w:tc>
          <w:tcPr>
            <w:tcW w:w="992" w:type="dxa"/>
          </w:tcPr>
          <w:p w:rsidR="00C65DE3" w:rsidRDefault="00DD6B8B" w:rsidP="00C65DE3">
            <w:pPr>
              <w:spacing w:after="240"/>
              <w:rPr>
                <w:rFonts w:ascii="Verdana" w:hAnsi="Verdana"/>
                <w:sz w:val="22"/>
                <w:szCs w:val="22"/>
              </w:rPr>
            </w:pPr>
            <w:r>
              <w:rPr>
                <w:rFonts w:ascii="Verdana" w:hAnsi="Verdana"/>
                <w:sz w:val="22"/>
                <w:szCs w:val="22"/>
              </w:rPr>
              <w:t>48%</w:t>
            </w:r>
          </w:p>
        </w:tc>
        <w:tc>
          <w:tcPr>
            <w:tcW w:w="992" w:type="dxa"/>
          </w:tcPr>
          <w:p w:rsidR="00C65DE3" w:rsidRDefault="00DD6B8B" w:rsidP="004C3E6F">
            <w:pPr>
              <w:spacing w:after="240"/>
              <w:rPr>
                <w:rFonts w:ascii="Verdana" w:hAnsi="Verdana"/>
                <w:sz w:val="22"/>
                <w:szCs w:val="22"/>
              </w:rPr>
            </w:pPr>
            <w:r>
              <w:rPr>
                <w:rFonts w:ascii="Verdana" w:hAnsi="Verdana"/>
                <w:sz w:val="22"/>
                <w:szCs w:val="22"/>
              </w:rPr>
              <w:t>4</w:t>
            </w:r>
            <w:r w:rsidR="004C3E6F">
              <w:rPr>
                <w:rFonts w:ascii="Verdana" w:hAnsi="Verdana"/>
                <w:sz w:val="22"/>
                <w:szCs w:val="22"/>
              </w:rPr>
              <w:t>4</w:t>
            </w:r>
            <w:r>
              <w:rPr>
                <w:rFonts w:ascii="Verdana" w:hAnsi="Verdana"/>
                <w:sz w:val="22"/>
                <w:szCs w:val="22"/>
              </w:rPr>
              <w:t>%</w:t>
            </w:r>
          </w:p>
        </w:tc>
      </w:tr>
      <w:tr w:rsidR="00C65DE3" w:rsidTr="00C65DE3">
        <w:tc>
          <w:tcPr>
            <w:tcW w:w="4962" w:type="dxa"/>
          </w:tcPr>
          <w:p w:rsidR="00C65DE3" w:rsidRDefault="00C65DE3" w:rsidP="00C65DE3">
            <w:pPr>
              <w:spacing w:after="240"/>
              <w:rPr>
                <w:rFonts w:ascii="Verdana" w:hAnsi="Verdana"/>
                <w:sz w:val="22"/>
                <w:szCs w:val="22"/>
              </w:rPr>
            </w:pPr>
            <w:r>
              <w:rPr>
                <w:rFonts w:ascii="Verdana" w:hAnsi="Verdana"/>
                <w:sz w:val="22"/>
                <w:szCs w:val="22"/>
              </w:rPr>
              <w:t>Last 10 years (after 2036)</w:t>
            </w:r>
          </w:p>
        </w:tc>
        <w:tc>
          <w:tcPr>
            <w:tcW w:w="992" w:type="dxa"/>
          </w:tcPr>
          <w:p w:rsidR="00C65DE3" w:rsidRDefault="00C65DE3" w:rsidP="00C65DE3">
            <w:pPr>
              <w:spacing w:after="240"/>
              <w:rPr>
                <w:rFonts w:ascii="Verdana" w:hAnsi="Verdana"/>
                <w:sz w:val="22"/>
                <w:szCs w:val="22"/>
              </w:rPr>
            </w:pPr>
            <w:r>
              <w:rPr>
                <w:rFonts w:ascii="Verdana" w:hAnsi="Verdana"/>
                <w:sz w:val="22"/>
                <w:szCs w:val="22"/>
              </w:rPr>
              <w:t>18%</w:t>
            </w:r>
          </w:p>
        </w:tc>
        <w:tc>
          <w:tcPr>
            <w:tcW w:w="992" w:type="dxa"/>
          </w:tcPr>
          <w:p w:rsidR="00C65DE3" w:rsidRDefault="00DD6B8B" w:rsidP="00C65DE3">
            <w:pPr>
              <w:spacing w:after="240"/>
              <w:rPr>
                <w:rFonts w:ascii="Verdana" w:hAnsi="Verdana"/>
                <w:sz w:val="22"/>
                <w:szCs w:val="22"/>
              </w:rPr>
            </w:pPr>
            <w:r>
              <w:rPr>
                <w:rFonts w:ascii="Verdana" w:hAnsi="Verdana"/>
                <w:sz w:val="22"/>
                <w:szCs w:val="22"/>
              </w:rPr>
              <w:t>29%</w:t>
            </w:r>
          </w:p>
        </w:tc>
        <w:tc>
          <w:tcPr>
            <w:tcW w:w="992" w:type="dxa"/>
          </w:tcPr>
          <w:p w:rsidR="00C65DE3" w:rsidRDefault="004C3E6F" w:rsidP="00C65DE3">
            <w:pPr>
              <w:spacing w:after="240"/>
              <w:rPr>
                <w:rFonts w:ascii="Verdana" w:hAnsi="Verdana"/>
                <w:sz w:val="22"/>
                <w:szCs w:val="22"/>
              </w:rPr>
            </w:pPr>
            <w:r>
              <w:rPr>
                <w:rFonts w:ascii="Verdana" w:hAnsi="Verdana"/>
                <w:sz w:val="22"/>
                <w:szCs w:val="22"/>
              </w:rPr>
              <w:t>24</w:t>
            </w:r>
            <w:r w:rsidR="00DD6B8B">
              <w:rPr>
                <w:rFonts w:ascii="Verdana" w:hAnsi="Verdana"/>
                <w:sz w:val="22"/>
                <w:szCs w:val="22"/>
              </w:rPr>
              <w:t>%</w:t>
            </w:r>
          </w:p>
        </w:tc>
      </w:tr>
    </w:tbl>
    <w:p w:rsidR="00B7677C" w:rsidRDefault="00B7677C" w:rsidP="00B7677C">
      <w:pPr>
        <w:spacing w:after="240"/>
        <w:rPr>
          <w:rFonts w:ascii="Verdana" w:hAnsi="Verdana"/>
          <w:sz w:val="22"/>
          <w:szCs w:val="22"/>
        </w:rPr>
      </w:pPr>
    </w:p>
    <w:p w:rsidR="004C3E6F" w:rsidRDefault="000F7FE4" w:rsidP="000F7FE4">
      <w:pPr>
        <w:numPr>
          <w:ilvl w:val="0"/>
          <w:numId w:val="1"/>
        </w:numPr>
        <w:spacing w:after="240"/>
        <w:rPr>
          <w:rFonts w:ascii="Verdana" w:hAnsi="Verdana"/>
          <w:sz w:val="22"/>
          <w:szCs w:val="22"/>
        </w:rPr>
      </w:pPr>
      <w:r>
        <w:rPr>
          <w:rFonts w:ascii="Verdana" w:hAnsi="Verdana"/>
          <w:sz w:val="22"/>
          <w:szCs w:val="22"/>
        </w:rPr>
        <w:t>The crucial question is</w:t>
      </w:r>
      <w:proofErr w:type="gramStart"/>
      <w:r>
        <w:rPr>
          <w:rFonts w:ascii="Verdana" w:hAnsi="Verdana"/>
          <w:sz w:val="22"/>
          <w:szCs w:val="22"/>
        </w:rPr>
        <w:t>,</w:t>
      </w:r>
      <w:proofErr w:type="gramEnd"/>
      <w:r>
        <w:rPr>
          <w:rFonts w:ascii="Verdana" w:hAnsi="Verdana"/>
          <w:sz w:val="22"/>
          <w:szCs w:val="22"/>
        </w:rPr>
        <w:t xml:space="preserve"> will the career growth in earnings </w:t>
      </w:r>
      <w:r w:rsidR="00C31729">
        <w:rPr>
          <w:rFonts w:ascii="Verdana" w:hAnsi="Verdana"/>
          <w:sz w:val="22"/>
          <w:szCs w:val="22"/>
        </w:rPr>
        <w:t>shown in figures 1a and 1b be realised over future decades, both in terms of the overall average earnings increases, and the distribution of those increase</w:t>
      </w:r>
      <w:r w:rsidR="004C3E6F">
        <w:rPr>
          <w:rFonts w:ascii="Verdana" w:hAnsi="Verdana"/>
          <w:sz w:val="22"/>
          <w:szCs w:val="22"/>
        </w:rPr>
        <w:t>s</w:t>
      </w:r>
      <w:r w:rsidR="00C31729">
        <w:rPr>
          <w:rFonts w:ascii="Verdana" w:hAnsi="Verdana"/>
          <w:sz w:val="22"/>
          <w:szCs w:val="22"/>
        </w:rPr>
        <w:t xml:space="preserve">? </w:t>
      </w:r>
    </w:p>
    <w:p w:rsidR="00401D68" w:rsidRDefault="00C31729" w:rsidP="000F7FE4">
      <w:pPr>
        <w:numPr>
          <w:ilvl w:val="0"/>
          <w:numId w:val="1"/>
        </w:numPr>
        <w:spacing w:after="240"/>
        <w:rPr>
          <w:rFonts w:ascii="Verdana" w:hAnsi="Verdana"/>
          <w:sz w:val="22"/>
          <w:szCs w:val="22"/>
        </w:rPr>
      </w:pPr>
      <w:r>
        <w:rPr>
          <w:rFonts w:ascii="Verdana" w:hAnsi="Verdana"/>
          <w:sz w:val="22"/>
          <w:szCs w:val="22"/>
        </w:rPr>
        <w:t xml:space="preserve">As we have argued previously, there are reasons </w:t>
      </w:r>
      <w:r w:rsidR="005A69B0">
        <w:rPr>
          <w:rFonts w:ascii="Verdana" w:hAnsi="Verdana"/>
          <w:sz w:val="22"/>
          <w:szCs w:val="22"/>
        </w:rPr>
        <w:t>to believe that the figures may exaggerate the career earnings growth that occurred historically</w:t>
      </w:r>
      <w:r w:rsidR="0072661C">
        <w:rPr>
          <w:rFonts w:ascii="Verdana" w:hAnsi="Verdana"/>
          <w:sz w:val="22"/>
          <w:szCs w:val="22"/>
        </w:rPr>
        <w:t>, because t</w:t>
      </w:r>
      <w:r w:rsidR="005A69B0">
        <w:rPr>
          <w:rFonts w:ascii="Verdana" w:hAnsi="Verdana"/>
          <w:sz w:val="22"/>
          <w:szCs w:val="22"/>
        </w:rPr>
        <w:t xml:space="preserve">he </w:t>
      </w:r>
      <w:r w:rsidR="00401D68">
        <w:rPr>
          <w:rFonts w:ascii="Verdana" w:hAnsi="Verdana"/>
          <w:sz w:val="22"/>
          <w:szCs w:val="22"/>
        </w:rPr>
        <w:t xml:space="preserve">figures </w:t>
      </w:r>
      <w:r w:rsidR="005A69B0">
        <w:rPr>
          <w:rFonts w:ascii="Verdana" w:hAnsi="Verdana"/>
          <w:sz w:val="22"/>
          <w:szCs w:val="22"/>
        </w:rPr>
        <w:t xml:space="preserve">for the end of the repayment period </w:t>
      </w:r>
      <w:r w:rsidR="00401D68">
        <w:rPr>
          <w:rFonts w:ascii="Verdana" w:hAnsi="Verdana"/>
          <w:sz w:val="22"/>
          <w:szCs w:val="22"/>
        </w:rPr>
        <w:t xml:space="preserve">are based on individuals who </w:t>
      </w:r>
      <w:r w:rsidR="005A69B0">
        <w:rPr>
          <w:rFonts w:ascii="Verdana" w:hAnsi="Verdana"/>
          <w:sz w:val="22"/>
          <w:szCs w:val="22"/>
        </w:rPr>
        <w:t xml:space="preserve">entered </w:t>
      </w:r>
      <w:r w:rsidR="00401D68">
        <w:rPr>
          <w:rFonts w:ascii="Verdana" w:hAnsi="Verdana"/>
          <w:sz w:val="22"/>
          <w:szCs w:val="22"/>
        </w:rPr>
        <w:t xml:space="preserve">higher education in the late 1960s and </w:t>
      </w:r>
      <w:r w:rsidR="00E074DF">
        <w:rPr>
          <w:rFonts w:ascii="Verdana" w:hAnsi="Verdana"/>
          <w:sz w:val="22"/>
          <w:szCs w:val="22"/>
        </w:rPr>
        <w:t>the</w:t>
      </w:r>
      <w:r w:rsidR="00712E46">
        <w:rPr>
          <w:rFonts w:ascii="Verdana" w:hAnsi="Verdana"/>
          <w:sz w:val="22"/>
          <w:szCs w:val="22"/>
        </w:rPr>
        <w:t xml:space="preserve"> </w:t>
      </w:r>
      <w:r w:rsidR="00401D68">
        <w:rPr>
          <w:rFonts w:ascii="Verdana" w:hAnsi="Verdana"/>
          <w:sz w:val="22"/>
          <w:szCs w:val="22"/>
        </w:rPr>
        <w:t>1970s</w:t>
      </w:r>
      <w:r w:rsidR="0055447E">
        <w:rPr>
          <w:rFonts w:ascii="Verdana" w:hAnsi="Verdana"/>
          <w:sz w:val="22"/>
          <w:szCs w:val="22"/>
        </w:rPr>
        <w:t xml:space="preserve"> when the participation rate, </w:t>
      </w:r>
      <w:r w:rsidR="009E13A7">
        <w:rPr>
          <w:rFonts w:ascii="Verdana" w:hAnsi="Verdana"/>
          <w:sz w:val="22"/>
          <w:szCs w:val="22"/>
        </w:rPr>
        <w:t>t</w:t>
      </w:r>
      <w:r w:rsidR="0055447E">
        <w:rPr>
          <w:rFonts w:ascii="Verdana" w:hAnsi="Verdana"/>
          <w:sz w:val="22"/>
          <w:szCs w:val="22"/>
        </w:rPr>
        <w:t>he API</w:t>
      </w:r>
      <w:r w:rsidR="009E13A7">
        <w:rPr>
          <w:rFonts w:ascii="Verdana" w:hAnsi="Verdana"/>
          <w:sz w:val="22"/>
          <w:szCs w:val="22"/>
        </w:rPr>
        <w:t>,</w:t>
      </w:r>
      <w:r w:rsidR="0055447E">
        <w:rPr>
          <w:rFonts w:ascii="Verdana" w:hAnsi="Verdana"/>
          <w:sz w:val="22"/>
          <w:szCs w:val="22"/>
        </w:rPr>
        <w:t xml:space="preserve"> was about 14 per cent</w:t>
      </w:r>
      <w:r w:rsidR="00401D68">
        <w:rPr>
          <w:rFonts w:ascii="Verdana" w:hAnsi="Verdana"/>
          <w:sz w:val="22"/>
          <w:szCs w:val="22"/>
        </w:rPr>
        <w:t>, whereas the figures for the beginning of the repayment period are based on individuals who entered in the 1990s and 2000s</w:t>
      </w:r>
      <w:r w:rsidR="0055447E">
        <w:rPr>
          <w:rFonts w:ascii="Verdana" w:hAnsi="Verdana"/>
          <w:sz w:val="22"/>
          <w:szCs w:val="22"/>
        </w:rPr>
        <w:t xml:space="preserve"> when the participation rate had more than doubled</w:t>
      </w:r>
      <w:r w:rsidR="009E13A7">
        <w:rPr>
          <w:rFonts w:ascii="Verdana" w:hAnsi="Verdana"/>
          <w:sz w:val="22"/>
          <w:szCs w:val="22"/>
        </w:rPr>
        <w:t>.</w:t>
      </w:r>
      <w:r w:rsidR="004C3E6F">
        <w:rPr>
          <w:rFonts w:ascii="Verdana" w:hAnsi="Verdana"/>
          <w:sz w:val="22"/>
          <w:szCs w:val="22"/>
        </w:rPr>
        <w:t xml:space="preserve"> Table </w:t>
      </w:r>
      <w:r w:rsidR="000D690E">
        <w:rPr>
          <w:rFonts w:ascii="Verdana" w:hAnsi="Verdana"/>
          <w:sz w:val="22"/>
          <w:szCs w:val="22"/>
        </w:rPr>
        <w:t>7 illustrates this point by showing when graduates were aged 18.</w:t>
      </w:r>
    </w:p>
    <w:p w:rsidR="000D690E" w:rsidRDefault="000D690E" w:rsidP="000D690E">
      <w:pPr>
        <w:spacing w:after="240"/>
        <w:rPr>
          <w:rFonts w:ascii="Verdana" w:hAnsi="Verdana"/>
          <w:sz w:val="22"/>
          <w:szCs w:val="22"/>
          <w:u w:val="single"/>
        </w:rPr>
      </w:pPr>
      <w:r w:rsidRPr="000D690E">
        <w:rPr>
          <w:rFonts w:ascii="Verdana" w:hAnsi="Verdana"/>
          <w:sz w:val="22"/>
          <w:szCs w:val="22"/>
          <w:u w:val="single"/>
        </w:rPr>
        <w:t xml:space="preserve">Table 7: Year aged 18 for cohorts used to estimate graduate earnings </w:t>
      </w:r>
    </w:p>
    <w:tbl>
      <w:tblPr>
        <w:tblStyle w:val="TableGrid"/>
        <w:tblW w:w="0" w:type="auto"/>
        <w:tblLook w:val="04A0" w:firstRow="1" w:lastRow="0" w:firstColumn="1" w:lastColumn="0" w:noHBand="0" w:noVBand="1"/>
      </w:tblPr>
      <w:tblGrid>
        <w:gridCol w:w="2840"/>
        <w:gridCol w:w="2841"/>
        <w:gridCol w:w="2841"/>
      </w:tblGrid>
      <w:tr w:rsidR="000D690E" w:rsidTr="00F776C0">
        <w:tc>
          <w:tcPr>
            <w:tcW w:w="2840" w:type="dxa"/>
            <w:vMerge w:val="restart"/>
          </w:tcPr>
          <w:p w:rsidR="000D690E" w:rsidRDefault="000D690E" w:rsidP="000D690E">
            <w:pPr>
              <w:spacing w:after="240"/>
              <w:jc w:val="center"/>
              <w:rPr>
                <w:rFonts w:ascii="Verdana" w:hAnsi="Verdana"/>
                <w:sz w:val="22"/>
                <w:szCs w:val="22"/>
              </w:rPr>
            </w:pPr>
          </w:p>
          <w:p w:rsidR="000D690E" w:rsidRPr="000D690E" w:rsidRDefault="000D690E" w:rsidP="000D690E">
            <w:pPr>
              <w:spacing w:after="240"/>
              <w:jc w:val="center"/>
              <w:rPr>
                <w:rFonts w:ascii="Verdana" w:hAnsi="Verdana"/>
                <w:sz w:val="22"/>
                <w:szCs w:val="22"/>
              </w:rPr>
            </w:pPr>
            <w:r>
              <w:rPr>
                <w:rFonts w:ascii="Verdana" w:hAnsi="Verdana"/>
                <w:sz w:val="22"/>
                <w:szCs w:val="22"/>
              </w:rPr>
              <w:t>Age at data collection</w:t>
            </w:r>
          </w:p>
        </w:tc>
        <w:tc>
          <w:tcPr>
            <w:tcW w:w="5682" w:type="dxa"/>
            <w:gridSpan w:val="2"/>
            <w:tcBorders>
              <w:bottom w:val="nil"/>
            </w:tcBorders>
          </w:tcPr>
          <w:p w:rsidR="000D690E" w:rsidRPr="000D690E" w:rsidRDefault="000D690E" w:rsidP="000D690E">
            <w:pPr>
              <w:spacing w:after="240"/>
              <w:jc w:val="center"/>
              <w:rPr>
                <w:rFonts w:ascii="Verdana" w:hAnsi="Verdana"/>
                <w:sz w:val="22"/>
                <w:szCs w:val="22"/>
              </w:rPr>
            </w:pPr>
            <w:r>
              <w:rPr>
                <w:rFonts w:ascii="Verdana" w:hAnsi="Verdana"/>
                <w:sz w:val="22"/>
                <w:szCs w:val="22"/>
              </w:rPr>
              <w:t>Year of data collection</w:t>
            </w:r>
          </w:p>
        </w:tc>
      </w:tr>
      <w:tr w:rsidR="000D690E" w:rsidTr="00F776C0">
        <w:tc>
          <w:tcPr>
            <w:tcW w:w="2840" w:type="dxa"/>
            <w:vMerge/>
          </w:tcPr>
          <w:p w:rsidR="000D690E" w:rsidRPr="000D690E" w:rsidRDefault="000D690E" w:rsidP="000D690E">
            <w:pPr>
              <w:spacing w:after="240"/>
              <w:jc w:val="center"/>
              <w:rPr>
                <w:rFonts w:ascii="Verdana" w:hAnsi="Verdana"/>
                <w:sz w:val="22"/>
                <w:szCs w:val="22"/>
              </w:rPr>
            </w:pPr>
          </w:p>
        </w:tc>
        <w:tc>
          <w:tcPr>
            <w:tcW w:w="2841" w:type="dxa"/>
            <w:tcBorders>
              <w:top w:val="nil"/>
              <w:right w:val="nil"/>
            </w:tcBorders>
          </w:tcPr>
          <w:p w:rsidR="000D690E" w:rsidRPr="000D690E" w:rsidRDefault="000D690E" w:rsidP="000D690E">
            <w:pPr>
              <w:spacing w:after="240"/>
              <w:jc w:val="center"/>
              <w:rPr>
                <w:rFonts w:ascii="Verdana" w:hAnsi="Verdana"/>
                <w:sz w:val="22"/>
                <w:szCs w:val="22"/>
              </w:rPr>
            </w:pPr>
            <w:r w:rsidRPr="000D690E">
              <w:rPr>
                <w:rFonts w:ascii="Verdana" w:hAnsi="Verdana"/>
                <w:sz w:val="22"/>
                <w:szCs w:val="22"/>
              </w:rPr>
              <w:t>2001</w:t>
            </w:r>
          </w:p>
        </w:tc>
        <w:tc>
          <w:tcPr>
            <w:tcW w:w="2841" w:type="dxa"/>
            <w:tcBorders>
              <w:top w:val="nil"/>
              <w:left w:val="nil"/>
            </w:tcBorders>
          </w:tcPr>
          <w:p w:rsidR="000D690E" w:rsidRPr="000D690E" w:rsidRDefault="000D690E" w:rsidP="000D690E">
            <w:pPr>
              <w:spacing w:after="240"/>
              <w:jc w:val="center"/>
              <w:rPr>
                <w:rFonts w:ascii="Verdana" w:hAnsi="Verdana"/>
                <w:sz w:val="22"/>
                <w:szCs w:val="22"/>
              </w:rPr>
            </w:pPr>
            <w:r w:rsidRPr="000D690E">
              <w:rPr>
                <w:rFonts w:ascii="Verdana" w:hAnsi="Verdana"/>
                <w:sz w:val="22"/>
                <w:szCs w:val="22"/>
              </w:rPr>
              <w:t>2009</w:t>
            </w:r>
          </w:p>
        </w:tc>
      </w:tr>
      <w:tr w:rsidR="000D690E" w:rsidTr="000D690E">
        <w:tc>
          <w:tcPr>
            <w:tcW w:w="2840" w:type="dxa"/>
          </w:tcPr>
          <w:p w:rsidR="000D690E" w:rsidRPr="000D690E" w:rsidRDefault="000D690E" w:rsidP="000D690E">
            <w:pPr>
              <w:spacing w:after="240"/>
              <w:jc w:val="center"/>
              <w:rPr>
                <w:rFonts w:ascii="Verdana" w:hAnsi="Verdana"/>
                <w:sz w:val="22"/>
                <w:szCs w:val="22"/>
              </w:rPr>
            </w:pPr>
            <w:r>
              <w:rPr>
                <w:rFonts w:ascii="Verdana" w:hAnsi="Verdana"/>
                <w:sz w:val="22"/>
                <w:szCs w:val="22"/>
              </w:rPr>
              <w:t>22</w:t>
            </w:r>
          </w:p>
        </w:tc>
        <w:tc>
          <w:tcPr>
            <w:tcW w:w="2841" w:type="dxa"/>
          </w:tcPr>
          <w:p w:rsidR="000D690E" w:rsidRPr="000D690E" w:rsidRDefault="000D690E" w:rsidP="000D690E">
            <w:pPr>
              <w:spacing w:after="240"/>
              <w:jc w:val="center"/>
              <w:rPr>
                <w:rFonts w:ascii="Verdana" w:hAnsi="Verdana"/>
                <w:sz w:val="22"/>
                <w:szCs w:val="22"/>
              </w:rPr>
            </w:pPr>
            <w:r>
              <w:rPr>
                <w:rFonts w:ascii="Verdana" w:hAnsi="Verdana"/>
                <w:sz w:val="22"/>
                <w:szCs w:val="22"/>
              </w:rPr>
              <w:t>1997</w:t>
            </w:r>
          </w:p>
        </w:tc>
        <w:tc>
          <w:tcPr>
            <w:tcW w:w="2841" w:type="dxa"/>
          </w:tcPr>
          <w:p w:rsidR="000D690E" w:rsidRPr="000D690E" w:rsidRDefault="00F776C0" w:rsidP="000D690E">
            <w:pPr>
              <w:spacing w:after="240"/>
              <w:jc w:val="center"/>
              <w:rPr>
                <w:rFonts w:ascii="Verdana" w:hAnsi="Verdana"/>
                <w:sz w:val="22"/>
                <w:szCs w:val="22"/>
              </w:rPr>
            </w:pPr>
            <w:r>
              <w:rPr>
                <w:rFonts w:ascii="Verdana" w:hAnsi="Verdana"/>
                <w:sz w:val="22"/>
                <w:szCs w:val="22"/>
              </w:rPr>
              <w:t>2005</w:t>
            </w:r>
          </w:p>
        </w:tc>
      </w:tr>
      <w:tr w:rsidR="000D690E" w:rsidTr="000D690E">
        <w:tc>
          <w:tcPr>
            <w:tcW w:w="2840" w:type="dxa"/>
          </w:tcPr>
          <w:p w:rsidR="000D690E" w:rsidRPr="000D690E" w:rsidRDefault="000D690E" w:rsidP="000D690E">
            <w:pPr>
              <w:spacing w:after="240"/>
              <w:jc w:val="center"/>
              <w:rPr>
                <w:rFonts w:ascii="Verdana" w:hAnsi="Verdana"/>
                <w:sz w:val="22"/>
                <w:szCs w:val="22"/>
              </w:rPr>
            </w:pPr>
            <w:r>
              <w:rPr>
                <w:rFonts w:ascii="Verdana" w:hAnsi="Verdana"/>
                <w:sz w:val="22"/>
                <w:szCs w:val="22"/>
              </w:rPr>
              <w:t>51</w:t>
            </w:r>
          </w:p>
        </w:tc>
        <w:tc>
          <w:tcPr>
            <w:tcW w:w="2841" w:type="dxa"/>
          </w:tcPr>
          <w:p w:rsidR="000D690E" w:rsidRPr="000D690E" w:rsidRDefault="000D690E" w:rsidP="000D690E">
            <w:pPr>
              <w:spacing w:after="240"/>
              <w:jc w:val="center"/>
              <w:rPr>
                <w:rFonts w:ascii="Verdana" w:hAnsi="Verdana"/>
                <w:sz w:val="22"/>
                <w:szCs w:val="22"/>
              </w:rPr>
            </w:pPr>
            <w:r>
              <w:rPr>
                <w:rFonts w:ascii="Verdana" w:hAnsi="Verdana"/>
                <w:sz w:val="22"/>
                <w:szCs w:val="22"/>
              </w:rPr>
              <w:t xml:space="preserve">1968 </w:t>
            </w:r>
          </w:p>
        </w:tc>
        <w:tc>
          <w:tcPr>
            <w:tcW w:w="2841" w:type="dxa"/>
          </w:tcPr>
          <w:p w:rsidR="000D690E" w:rsidRPr="000D690E" w:rsidRDefault="00F776C0" w:rsidP="000D690E">
            <w:pPr>
              <w:spacing w:after="240"/>
              <w:jc w:val="center"/>
              <w:rPr>
                <w:rFonts w:ascii="Verdana" w:hAnsi="Verdana"/>
                <w:sz w:val="22"/>
                <w:szCs w:val="22"/>
              </w:rPr>
            </w:pPr>
            <w:r>
              <w:rPr>
                <w:rFonts w:ascii="Verdana" w:hAnsi="Verdana"/>
                <w:sz w:val="22"/>
                <w:szCs w:val="22"/>
              </w:rPr>
              <w:t>1976</w:t>
            </w:r>
          </w:p>
        </w:tc>
      </w:tr>
    </w:tbl>
    <w:p w:rsidR="00F776C0" w:rsidRDefault="00401D68" w:rsidP="000F7FE4">
      <w:pPr>
        <w:numPr>
          <w:ilvl w:val="0"/>
          <w:numId w:val="1"/>
        </w:numPr>
        <w:spacing w:after="240"/>
        <w:rPr>
          <w:rFonts w:ascii="Verdana" w:hAnsi="Verdana"/>
          <w:sz w:val="22"/>
          <w:szCs w:val="22"/>
        </w:rPr>
      </w:pPr>
      <w:r w:rsidRPr="00054556">
        <w:rPr>
          <w:rFonts w:ascii="Verdana" w:hAnsi="Verdana"/>
          <w:sz w:val="22"/>
          <w:szCs w:val="22"/>
        </w:rPr>
        <w:lastRenderedPageBreak/>
        <w:t xml:space="preserve">Even if the career growth figures </w:t>
      </w:r>
      <w:r w:rsidR="00495389" w:rsidRPr="00054556">
        <w:rPr>
          <w:rFonts w:ascii="Verdana" w:hAnsi="Verdana"/>
          <w:sz w:val="22"/>
          <w:szCs w:val="22"/>
        </w:rPr>
        <w:t xml:space="preserve">do accurately reflect what happened historically, the assumption that these earnings growth curves will be maintained in future decades </w:t>
      </w:r>
      <w:r w:rsidRPr="00054556">
        <w:rPr>
          <w:rFonts w:ascii="Verdana" w:hAnsi="Verdana"/>
          <w:sz w:val="22"/>
          <w:szCs w:val="22"/>
        </w:rPr>
        <w:t>i</w:t>
      </w:r>
      <w:r w:rsidR="00495389" w:rsidRPr="00054556">
        <w:rPr>
          <w:rFonts w:ascii="Verdana" w:hAnsi="Verdana"/>
          <w:sz w:val="22"/>
          <w:szCs w:val="22"/>
        </w:rPr>
        <w:t xml:space="preserve">s </w:t>
      </w:r>
      <w:r w:rsidR="00F776C0">
        <w:rPr>
          <w:rFonts w:ascii="Verdana" w:hAnsi="Verdana"/>
          <w:sz w:val="22"/>
          <w:szCs w:val="22"/>
        </w:rPr>
        <w:t>requires some justification.</w:t>
      </w:r>
    </w:p>
    <w:p w:rsidR="00DA09B3" w:rsidRDefault="00F776C0" w:rsidP="000F7FE4">
      <w:pPr>
        <w:numPr>
          <w:ilvl w:val="0"/>
          <w:numId w:val="1"/>
        </w:numPr>
        <w:spacing w:after="240"/>
        <w:rPr>
          <w:rFonts w:ascii="Verdana" w:hAnsi="Verdana"/>
          <w:sz w:val="22"/>
          <w:szCs w:val="22"/>
        </w:rPr>
      </w:pPr>
      <w:r w:rsidRPr="00F01CEB">
        <w:rPr>
          <w:rFonts w:ascii="Verdana" w:hAnsi="Verdana"/>
          <w:sz w:val="22"/>
          <w:szCs w:val="22"/>
        </w:rPr>
        <w:t>The response to this point has been that the graduate premium has held up through the growth in participation</w:t>
      </w:r>
      <w:r w:rsidR="00F01CEB">
        <w:rPr>
          <w:rStyle w:val="FootnoteReference"/>
          <w:rFonts w:ascii="Verdana" w:hAnsi="Verdana"/>
          <w:sz w:val="22"/>
          <w:szCs w:val="22"/>
        </w:rPr>
        <w:footnoteReference w:id="6"/>
      </w:r>
      <w:r w:rsidRPr="00F01CEB">
        <w:rPr>
          <w:rFonts w:ascii="Verdana" w:hAnsi="Verdana"/>
          <w:sz w:val="22"/>
          <w:szCs w:val="22"/>
        </w:rPr>
        <w:t>. It is the case that, following the very rapid expansion in the late 80s and early 90s, the graduate premium held up, or even increased</w:t>
      </w:r>
      <w:r w:rsidR="00C672A0" w:rsidRPr="00F01CEB">
        <w:rPr>
          <w:rFonts w:ascii="Verdana" w:hAnsi="Verdana"/>
          <w:sz w:val="22"/>
          <w:szCs w:val="22"/>
        </w:rPr>
        <w:t>, against expectations of many commentators</w:t>
      </w:r>
      <w:r w:rsidRPr="00F01CEB">
        <w:rPr>
          <w:rFonts w:ascii="Verdana" w:hAnsi="Verdana"/>
          <w:sz w:val="22"/>
          <w:szCs w:val="22"/>
        </w:rPr>
        <w:t>. However, this picture has gradually changed with later cohorts</w:t>
      </w:r>
      <w:r w:rsidR="00B7244B" w:rsidRPr="00F01CEB">
        <w:rPr>
          <w:rFonts w:ascii="Verdana" w:hAnsi="Verdana"/>
          <w:sz w:val="22"/>
          <w:szCs w:val="22"/>
        </w:rPr>
        <w:t xml:space="preserve">, from those typically entering higher education in the late 90s, </w:t>
      </w:r>
      <w:r w:rsidR="00D63AC8">
        <w:rPr>
          <w:rFonts w:ascii="Verdana" w:hAnsi="Verdana"/>
          <w:sz w:val="22"/>
          <w:szCs w:val="22"/>
        </w:rPr>
        <w:t>when the graduate premium started to fall</w:t>
      </w:r>
      <w:r w:rsidR="00B7244B" w:rsidRPr="00F01CEB">
        <w:rPr>
          <w:rFonts w:ascii="Verdana" w:hAnsi="Verdana"/>
          <w:sz w:val="22"/>
          <w:szCs w:val="22"/>
        </w:rPr>
        <w:t>, especially for women. In addition, the dispersion of earnings has increased, so that those in the higher earning profiles have not seen this decline</w:t>
      </w:r>
      <w:r w:rsidR="00B7244B">
        <w:rPr>
          <w:rStyle w:val="FootnoteReference"/>
          <w:rFonts w:ascii="Verdana" w:hAnsi="Verdana"/>
          <w:sz w:val="22"/>
          <w:szCs w:val="22"/>
        </w:rPr>
        <w:footnoteReference w:id="7"/>
      </w:r>
      <w:r w:rsidR="00B7244B" w:rsidRPr="00F01CEB">
        <w:rPr>
          <w:rFonts w:ascii="Verdana" w:hAnsi="Verdana"/>
          <w:sz w:val="22"/>
          <w:szCs w:val="22"/>
        </w:rPr>
        <w:t xml:space="preserve">. </w:t>
      </w:r>
      <w:r w:rsidR="00E06780" w:rsidRPr="00F01CEB">
        <w:rPr>
          <w:rFonts w:ascii="Verdana" w:hAnsi="Verdana"/>
          <w:sz w:val="22"/>
          <w:szCs w:val="22"/>
        </w:rPr>
        <w:t>There are a variety of explanations as to why this change has occurred, but an important context is the increasing proportion of the total stock of those with higher education qualifications, even after the growth in participation slowed down</w:t>
      </w:r>
      <w:r w:rsidR="001134DF" w:rsidRPr="00F01CEB">
        <w:rPr>
          <w:rFonts w:ascii="Verdana" w:hAnsi="Verdana"/>
          <w:sz w:val="22"/>
          <w:szCs w:val="22"/>
        </w:rPr>
        <w:t xml:space="preserve">. Figure </w:t>
      </w:r>
      <w:r w:rsidR="00DA09B3">
        <w:rPr>
          <w:rFonts w:ascii="Verdana" w:hAnsi="Verdana"/>
          <w:sz w:val="22"/>
          <w:szCs w:val="22"/>
        </w:rPr>
        <w:t>2 shows the current proportions of man and wo</w:t>
      </w:r>
      <w:r w:rsidR="00EA626C">
        <w:rPr>
          <w:rFonts w:ascii="Verdana" w:hAnsi="Verdana"/>
          <w:sz w:val="22"/>
          <w:szCs w:val="22"/>
        </w:rPr>
        <w:t>m</w:t>
      </w:r>
      <w:r w:rsidR="00DA09B3">
        <w:rPr>
          <w:rFonts w:ascii="Verdana" w:hAnsi="Verdana"/>
          <w:sz w:val="22"/>
          <w:szCs w:val="22"/>
        </w:rPr>
        <w:t>en with higher education qualifications by age.</w:t>
      </w:r>
    </w:p>
    <w:p w:rsidR="00EA626C" w:rsidRDefault="00EA626C" w:rsidP="000F7FE4">
      <w:pPr>
        <w:numPr>
          <w:ilvl w:val="0"/>
          <w:numId w:val="1"/>
        </w:numPr>
        <w:spacing w:after="240"/>
        <w:rPr>
          <w:rFonts w:ascii="Verdana" w:hAnsi="Verdana"/>
          <w:sz w:val="22"/>
          <w:szCs w:val="22"/>
        </w:rPr>
      </w:pPr>
      <w:r>
        <w:rPr>
          <w:rFonts w:ascii="Verdana" w:hAnsi="Verdana"/>
          <w:sz w:val="22"/>
          <w:szCs w:val="22"/>
        </w:rPr>
        <w:t xml:space="preserve">Clearly, even if they current participation rate remains the same, and even if mature first time participation is negligible, the proportion of the population with higher education qualifications will increase in future decades </w:t>
      </w:r>
      <w:r w:rsidR="00B7677C">
        <w:rPr>
          <w:rFonts w:ascii="Verdana" w:hAnsi="Verdana"/>
          <w:sz w:val="22"/>
          <w:szCs w:val="22"/>
        </w:rPr>
        <w:t>will increase as the older age groups are replaced by the younger</w:t>
      </w:r>
      <w:r>
        <w:rPr>
          <w:rFonts w:ascii="Verdana" w:hAnsi="Verdana"/>
          <w:sz w:val="22"/>
          <w:szCs w:val="22"/>
        </w:rPr>
        <w:t>.</w:t>
      </w:r>
      <w:r w:rsidR="00F750A8">
        <w:rPr>
          <w:rFonts w:ascii="Verdana" w:hAnsi="Verdana"/>
          <w:sz w:val="22"/>
          <w:szCs w:val="22"/>
        </w:rPr>
        <w:t xml:space="preserve"> All other things being equal, this will mean that graduates average earnings will be closer to average earnings, leading to an increase in the RAB charge of about one to two percentage points. That would not happen were non-graduate earnings to fall relative to graduates, by about 15 per cent. That would maintain the differential.</w:t>
      </w:r>
    </w:p>
    <w:p w:rsidR="00F750A8" w:rsidRDefault="00F750A8" w:rsidP="000F7FE4">
      <w:pPr>
        <w:numPr>
          <w:ilvl w:val="0"/>
          <w:numId w:val="1"/>
        </w:numPr>
        <w:spacing w:after="240"/>
        <w:rPr>
          <w:rFonts w:ascii="Verdana" w:hAnsi="Verdana"/>
          <w:sz w:val="22"/>
          <w:szCs w:val="22"/>
        </w:rPr>
      </w:pPr>
      <w:r>
        <w:rPr>
          <w:rFonts w:ascii="Verdana" w:hAnsi="Verdana"/>
          <w:sz w:val="22"/>
          <w:szCs w:val="22"/>
        </w:rPr>
        <w:t>More significant than the impact on the averaging arithmetic, is the fact that even with flat participation rates, ‘graduate’ employment will have to continuous increase if the premium is to be maintained.</w:t>
      </w:r>
    </w:p>
    <w:p w:rsidR="00F750A8" w:rsidRDefault="00F750A8" w:rsidP="00F750A8">
      <w:pPr>
        <w:spacing w:after="240"/>
        <w:rPr>
          <w:rFonts w:ascii="Verdana" w:hAnsi="Verdana"/>
          <w:sz w:val="22"/>
          <w:szCs w:val="22"/>
        </w:rPr>
      </w:pPr>
    </w:p>
    <w:p w:rsidR="00EA626C" w:rsidRPr="00EA626C" w:rsidRDefault="00EA626C" w:rsidP="00EA626C">
      <w:pPr>
        <w:spacing w:after="240"/>
        <w:rPr>
          <w:rFonts w:ascii="Verdana" w:hAnsi="Verdana"/>
          <w:sz w:val="22"/>
          <w:szCs w:val="22"/>
          <w:u w:val="single"/>
        </w:rPr>
      </w:pPr>
      <w:r w:rsidRPr="00EA626C">
        <w:rPr>
          <w:rFonts w:ascii="Verdana" w:hAnsi="Verdana"/>
          <w:sz w:val="22"/>
          <w:szCs w:val="22"/>
          <w:u w:val="single"/>
        </w:rPr>
        <w:lastRenderedPageBreak/>
        <w:t xml:space="preserve">Figure 2: </w:t>
      </w:r>
      <w:r w:rsidR="00B7677C">
        <w:rPr>
          <w:rFonts w:ascii="Verdana" w:hAnsi="Verdana"/>
          <w:sz w:val="22"/>
          <w:szCs w:val="22"/>
          <w:u w:val="single"/>
        </w:rPr>
        <w:t>P</w:t>
      </w:r>
      <w:r w:rsidRPr="00EA626C">
        <w:rPr>
          <w:rFonts w:ascii="Verdana" w:hAnsi="Verdana"/>
          <w:sz w:val="22"/>
          <w:szCs w:val="22"/>
          <w:u w:val="single"/>
        </w:rPr>
        <w:t>roportions with higher education qualifications by age</w:t>
      </w:r>
    </w:p>
    <w:p w:rsidR="00EA626C" w:rsidRDefault="00B7677C" w:rsidP="00F750A8">
      <w:pPr>
        <w:spacing w:after="240"/>
        <w:rPr>
          <w:rFonts w:ascii="Verdana" w:hAnsi="Verdana"/>
          <w:sz w:val="22"/>
          <w:szCs w:val="22"/>
        </w:rPr>
      </w:pPr>
      <w:r w:rsidRPr="00B7677C">
        <w:rPr>
          <w:rFonts w:ascii="Verdana" w:hAnsi="Verdana"/>
          <w:noProof/>
          <w:sz w:val="22"/>
          <w:szCs w:val="22"/>
        </w:rPr>
        <w:drawing>
          <wp:inline distT="0" distB="0" distL="0" distR="0">
            <wp:extent cx="5274310" cy="3442389"/>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F750A8" w:rsidRPr="00B7677C" w:rsidRDefault="00B7677C" w:rsidP="00F750A8">
      <w:pPr>
        <w:spacing w:after="240"/>
        <w:rPr>
          <w:rFonts w:ascii="Verdana" w:hAnsi="Verdana"/>
          <w:sz w:val="18"/>
          <w:szCs w:val="18"/>
        </w:rPr>
      </w:pPr>
      <w:r w:rsidRPr="00B7677C">
        <w:rPr>
          <w:rFonts w:ascii="Verdana" w:hAnsi="Verdana"/>
          <w:sz w:val="18"/>
          <w:szCs w:val="18"/>
          <w:u w:val="single"/>
        </w:rPr>
        <w:t>Figure 2 notes</w:t>
      </w:r>
      <w:r w:rsidRPr="00B7677C">
        <w:rPr>
          <w:rFonts w:ascii="Verdana" w:hAnsi="Verdana"/>
          <w:sz w:val="18"/>
          <w:szCs w:val="18"/>
        </w:rPr>
        <w:t xml:space="preserve">: Source LFS April June 2012. </w:t>
      </w:r>
      <w:proofErr w:type="gramStart"/>
      <w:r w:rsidRPr="00B7677C">
        <w:rPr>
          <w:rFonts w:ascii="Verdana" w:hAnsi="Verdana"/>
          <w:sz w:val="18"/>
          <w:szCs w:val="18"/>
        </w:rPr>
        <w:t>Percentage Degree level qualification including foundation degrees, graduate membership of a professional institute, PGCE, or higher.</w:t>
      </w:r>
      <w:proofErr w:type="gramEnd"/>
      <w:r w:rsidRPr="00B7677C">
        <w:rPr>
          <w:rFonts w:ascii="Verdana" w:hAnsi="Verdana"/>
          <w:sz w:val="18"/>
          <w:szCs w:val="18"/>
        </w:rPr>
        <w:t xml:space="preserve"> The curve cubic through data points for each age.</w:t>
      </w:r>
    </w:p>
    <w:p w:rsidR="00EA626C" w:rsidRDefault="00F750A8" w:rsidP="000F7FE4">
      <w:pPr>
        <w:numPr>
          <w:ilvl w:val="0"/>
          <w:numId w:val="1"/>
        </w:numPr>
        <w:spacing w:after="240"/>
        <w:rPr>
          <w:rFonts w:ascii="Verdana" w:hAnsi="Verdana"/>
          <w:sz w:val="22"/>
          <w:szCs w:val="22"/>
        </w:rPr>
      </w:pPr>
      <w:r>
        <w:rPr>
          <w:rFonts w:ascii="Verdana" w:hAnsi="Verdana"/>
          <w:sz w:val="22"/>
          <w:szCs w:val="22"/>
        </w:rPr>
        <w:t>Finally we have to take seriously the analysis presented in the ‘Global Auction’ (Browne et al, 2010)</w:t>
      </w:r>
      <w:r w:rsidR="005A2B86">
        <w:rPr>
          <w:rFonts w:ascii="Verdana" w:hAnsi="Verdana"/>
          <w:sz w:val="22"/>
          <w:szCs w:val="22"/>
        </w:rPr>
        <w:t xml:space="preserve"> which suggests that the same factors that have held down the earnings of non-graduates in the past will increasingly hold down the earnings of most graduates. These factors include increased competition from low cost </w:t>
      </w:r>
      <w:r w:rsidR="00C75D25">
        <w:rPr>
          <w:rFonts w:ascii="Verdana" w:hAnsi="Verdana"/>
          <w:sz w:val="22"/>
          <w:szCs w:val="22"/>
        </w:rPr>
        <w:t>economies</w:t>
      </w:r>
      <w:r w:rsidR="005A2B86">
        <w:rPr>
          <w:rFonts w:ascii="Verdana" w:hAnsi="Verdana"/>
          <w:sz w:val="22"/>
          <w:szCs w:val="22"/>
        </w:rPr>
        <w:t xml:space="preserve"> and the routinisation of much graduate work in a way analogous to the replacement of craftsmanship by mass production. </w:t>
      </w:r>
    </w:p>
    <w:p w:rsidR="00EA626C" w:rsidRDefault="004E719F" w:rsidP="000F7FE4">
      <w:pPr>
        <w:numPr>
          <w:ilvl w:val="0"/>
          <w:numId w:val="1"/>
        </w:numPr>
        <w:spacing w:after="240"/>
        <w:rPr>
          <w:rFonts w:ascii="Verdana" w:hAnsi="Verdana"/>
          <w:sz w:val="22"/>
          <w:szCs w:val="22"/>
        </w:rPr>
      </w:pPr>
      <w:r>
        <w:rPr>
          <w:rFonts w:ascii="Verdana" w:hAnsi="Verdana"/>
          <w:sz w:val="22"/>
          <w:szCs w:val="22"/>
        </w:rPr>
        <w:t xml:space="preserve">If the career growth in earnings </w:t>
      </w:r>
      <w:r w:rsidR="00C75D25">
        <w:rPr>
          <w:rFonts w:ascii="Verdana" w:hAnsi="Verdana"/>
          <w:sz w:val="22"/>
          <w:szCs w:val="22"/>
        </w:rPr>
        <w:t>is</w:t>
      </w:r>
      <w:r>
        <w:rPr>
          <w:rFonts w:ascii="Verdana" w:hAnsi="Verdana"/>
          <w:sz w:val="22"/>
          <w:szCs w:val="22"/>
        </w:rPr>
        <w:t xml:space="preserve"> not maintained, how will this affect the RAB? It is impossible to give a precise answer</w:t>
      </w:r>
      <w:r w:rsidR="00C75D25">
        <w:rPr>
          <w:rFonts w:ascii="Verdana" w:hAnsi="Verdana"/>
          <w:sz w:val="22"/>
          <w:szCs w:val="22"/>
        </w:rPr>
        <w:t xml:space="preserve">; </w:t>
      </w:r>
      <w:r w:rsidR="005443D0">
        <w:rPr>
          <w:rFonts w:ascii="Verdana" w:hAnsi="Verdana"/>
          <w:sz w:val="22"/>
          <w:szCs w:val="22"/>
        </w:rPr>
        <w:t>that</w:t>
      </w:r>
      <w:r>
        <w:rPr>
          <w:rFonts w:ascii="Verdana" w:hAnsi="Verdana"/>
          <w:sz w:val="22"/>
          <w:szCs w:val="22"/>
        </w:rPr>
        <w:t xml:space="preserve"> would entail predicting what would happen to earnings over the next three decades. But we can get some idea from the figures presented in table </w:t>
      </w:r>
      <w:r w:rsidR="005443D0">
        <w:rPr>
          <w:rFonts w:ascii="Verdana" w:hAnsi="Verdana"/>
          <w:sz w:val="22"/>
          <w:szCs w:val="22"/>
        </w:rPr>
        <w:t>5. This referred to scenarios with different long term average earnings, but the career growth and this long term growth are only model constructs. Former students will see changes in their earnings over their working lifetimes</w:t>
      </w:r>
      <w:r w:rsidR="00C75D25">
        <w:rPr>
          <w:rFonts w:ascii="Verdana" w:hAnsi="Verdana"/>
          <w:sz w:val="22"/>
          <w:szCs w:val="22"/>
        </w:rPr>
        <w:t>;</w:t>
      </w:r>
      <w:r w:rsidR="005443D0">
        <w:rPr>
          <w:rFonts w:ascii="Verdana" w:hAnsi="Verdana"/>
          <w:sz w:val="22"/>
          <w:szCs w:val="22"/>
        </w:rPr>
        <w:t xml:space="preserve"> they will not distinguish between the two elements of this change used to estimate it in the model. </w:t>
      </w:r>
    </w:p>
    <w:p w:rsidR="00EA626C" w:rsidRDefault="005443D0" w:rsidP="000F7FE4">
      <w:pPr>
        <w:numPr>
          <w:ilvl w:val="0"/>
          <w:numId w:val="1"/>
        </w:numPr>
        <w:spacing w:after="240"/>
        <w:rPr>
          <w:rFonts w:ascii="Verdana" w:hAnsi="Verdana"/>
          <w:sz w:val="22"/>
          <w:szCs w:val="22"/>
        </w:rPr>
      </w:pPr>
      <w:r w:rsidRPr="000E19C9">
        <w:rPr>
          <w:rFonts w:ascii="Verdana" w:hAnsi="Verdana"/>
          <w:sz w:val="22"/>
          <w:szCs w:val="22"/>
        </w:rPr>
        <w:t xml:space="preserve">The zero growth for 90 per cent of the graduate population looks like an extreme case in the context it was first presented, but considered as a part of the overall growth in earnings through a </w:t>
      </w:r>
      <w:r w:rsidR="000E19C9" w:rsidRPr="000E19C9">
        <w:rPr>
          <w:rFonts w:ascii="Verdana" w:hAnsi="Verdana"/>
          <w:sz w:val="22"/>
          <w:szCs w:val="22"/>
        </w:rPr>
        <w:t xml:space="preserve">repayment </w:t>
      </w:r>
      <w:r w:rsidRPr="000E19C9">
        <w:rPr>
          <w:rFonts w:ascii="Verdana" w:hAnsi="Verdana"/>
          <w:sz w:val="22"/>
          <w:szCs w:val="22"/>
        </w:rPr>
        <w:t>lif</w:t>
      </w:r>
      <w:r w:rsidR="000E19C9" w:rsidRPr="000E19C9">
        <w:rPr>
          <w:rFonts w:ascii="Verdana" w:hAnsi="Verdana"/>
          <w:sz w:val="22"/>
          <w:szCs w:val="22"/>
        </w:rPr>
        <w:t>e</w:t>
      </w:r>
      <w:r w:rsidRPr="000E19C9">
        <w:rPr>
          <w:rFonts w:ascii="Verdana" w:hAnsi="Verdana"/>
          <w:sz w:val="22"/>
          <w:szCs w:val="22"/>
        </w:rPr>
        <w:t>time it is less so.</w:t>
      </w:r>
      <w:r w:rsidR="000E19C9" w:rsidRPr="000E19C9">
        <w:rPr>
          <w:rFonts w:ascii="Verdana" w:hAnsi="Verdana"/>
          <w:sz w:val="22"/>
          <w:szCs w:val="22"/>
        </w:rPr>
        <w:t xml:space="preserve"> T</w:t>
      </w:r>
      <w:r w:rsidRPr="000E19C9">
        <w:rPr>
          <w:rFonts w:ascii="Verdana" w:hAnsi="Verdana"/>
          <w:sz w:val="22"/>
          <w:szCs w:val="22"/>
        </w:rPr>
        <w:t xml:space="preserve">he average earnings </w:t>
      </w:r>
      <w:r w:rsidR="000E19C9" w:rsidRPr="000E19C9">
        <w:rPr>
          <w:rFonts w:ascii="Verdana" w:hAnsi="Verdana"/>
          <w:sz w:val="22"/>
          <w:szCs w:val="22"/>
        </w:rPr>
        <w:t xml:space="preserve">(taken from the BIS model data) </w:t>
      </w:r>
      <w:r w:rsidRPr="000E19C9">
        <w:rPr>
          <w:rFonts w:ascii="Verdana" w:hAnsi="Verdana"/>
          <w:sz w:val="22"/>
          <w:szCs w:val="22"/>
        </w:rPr>
        <w:t xml:space="preserve">for the </w:t>
      </w:r>
      <w:r w:rsidRPr="000E19C9">
        <w:rPr>
          <w:rFonts w:ascii="Verdana" w:hAnsi="Verdana"/>
          <w:sz w:val="22"/>
          <w:szCs w:val="22"/>
        </w:rPr>
        <w:lastRenderedPageBreak/>
        <w:t xml:space="preserve">lowest 90 per cent of males shows an increase of 315 per cent over the 30 year repayment period. </w:t>
      </w:r>
      <w:r w:rsidR="000E19C9" w:rsidRPr="000E19C9">
        <w:rPr>
          <w:rFonts w:ascii="Verdana" w:hAnsi="Verdana"/>
          <w:sz w:val="22"/>
          <w:szCs w:val="22"/>
        </w:rPr>
        <w:t xml:space="preserve">Introducing zero long term growth as shown in table 5 reduces this </w:t>
      </w:r>
      <w:r w:rsidRPr="000E19C9">
        <w:rPr>
          <w:rFonts w:ascii="Verdana" w:hAnsi="Verdana"/>
          <w:sz w:val="22"/>
          <w:szCs w:val="22"/>
        </w:rPr>
        <w:t>to 204 per cent</w:t>
      </w:r>
      <w:r w:rsidR="000E19C9" w:rsidRPr="000E19C9">
        <w:rPr>
          <w:rFonts w:ascii="Verdana" w:hAnsi="Verdana"/>
          <w:sz w:val="22"/>
          <w:szCs w:val="22"/>
        </w:rPr>
        <w:t>. This would increase the RAB costs from 14.5 to 21.1 per cent, an increase of 6.6 per cent</w:t>
      </w:r>
      <w:r w:rsidR="000E19C9">
        <w:rPr>
          <w:rFonts w:ascii="Verdana" w:hAnsi="Verdana"/>
          <w:sz w:val="22"/>
          <w:szCs w:val="22"/>
        </w:rPr>
        <w:t>.</w:t>
      </w:r>
    </w:p>
    <w:p w:rsidR="000E19C9" w:rsidRPr="000E19C9" w:rsidRDefault="00150057" w:rsidP="000E19C9">
      <w:pPr>
        <w:numPr>
          <w:ilvl w:val="0"/>
          <w:numId w:val="1"/>
        </w:numPr>
        <w:spacing w:after="240"/>
        <w:rPr>
          <w:rFonts w:ascii="Verdana" w:hAnsi="Verdana"/>
          <w:sz w:val="22"/>
          <w:szCs w:val="22"/>
        </w:rPr>
      </w:pPr>
      <w:r w:rsidRPr="000E19C9">
        <w:rPr>
          <w:rFonts w:ascii="Verdana" w:hAnsi="Verdana"/>
          <w:sz w:val="22"/>
          <w:szCs w:val="22"/>
        </w:rPr>
        <w:t>Th</w:t>
      </w:r>
      <w:r w:rsidR="000E19C9" w:rsidRPr="000E19C9">
        <w:rPr>
          <w:rFonts w:ascii="Verdana" w:hAnsi="Verdana"/>
          <w:sz w:val="22"/>
          <w:szCs w:val="22"/>
        </w:rPr>
        <w:t>is</w:t>
      </w:r>
      <w:r w:rsidRPr="000E19C9">
        <w:rPr>
          <w:rFonts w:ascii="Verdana" w:hAnsi="Verdana"/>
          <w:sz w:val="22"/>
          <w:szCs w:val="22"/>
        </w:rPr>
        <w:t xml:space="preserve"> ‘what if’ result </w:t>
      </w:r>
      <w:r w:rsidR="000E19C9" w:rsidRPr="000E19C9">
        <w:rPr>
          <w:rFonts w:ascii="Verdana" w:hAnsi="Verdana"/>
          <w:sz w:val="22"/>
          <w:szCs w:val="22"/>
        </w:rPr>
        <w:t>is</w:t>
      </w:r>
      <w:r w:rsidRPr="000E19C9">
        <w:rPr>
          <w:rFonts w:ascii="Verdana" w:hAnsi="Verdana"/>
          <w:sz w:val="22"/>
          <w:szCs w:val="22"/>
        </w:rPr>
        <w:t xml:space="preserve"> somewhat crude, but the scenario</w:t>
      </w:r>
      <w:r w:rsidR="000E19C9" w:rsidRPr="000E19C9">
        <w:rPr>
          <w:rFonts w:ascii="Verdana" w:hAnsi="Verdana"/>
          <w:sz w:val="22"/>
          <w:szCs w:val="22"/>
        </w:rPr>
        <w:t xml:space="preserve"> is not</w:t>
      </w:r>
      <w:r w:rsidRPr="000E19C9">
        <w:rPr>
          <w:rFonts w:ascii="Verdana" w:hAnsi="Verdana"/>
          <w:sz w:val="22"/>
          <w:szCs w:val="22"/>
        </w:rPr>
        <w:t xml:space="preserve"> implausible. </w:t>
      </w:r>
      <w:r w:rsidR="000E19C9" w:rsidRPr="000E19C9">
        <w:rPr>
          <w:rFonts w:ascii="Verdana" w:hAnsi="Verdana"/>
          <w:sz w:val="22"/>
          <w:szCs w:val="22"/>
        </w:rPr>
        <w:t>It</w:t>
      </w:r>
      <w:r w:rsidRPr="000E19C9">
        <w:rPr>
          <w:rFonts w:ascii="Verdana" w:hAnsi="Verdana"/>
          <w:sz w:val="22"/>
          <w:szCs w:val="22"/>
        </w:rPr>
        <w:t xml:space="preserve"> illustrate</w:t>
      </w:r>
      <w:r w:rsidR="000E19C9" w:rsidRPr="000E19C9">
        <w:rPr>
          <w:rFonts w:ascii="Verdana" w:hAnsi="Verdana"/>
          <w:sz w:val="22"/>
          <w:szCs w:val="22"/>
        </w:rPr>
        <w:t>s</w:t>
      </w:r>
      <w:r w:rsidRPr="000E19C9">
        <w:rPr>
          <w:rFonts w:ascii="Verdana" w:hAnsi="Verdana"/>
          <w:sz w:val="22"/>
          <w:szCs w:val="22"/>
        </w:rPr>
        <w:t xml:space="preserve"> why the RAB estimates are uncertain, and</w:t>
      </w:r>
      <w:r w:rsidR="000E19C9" w:rsidRPr="000E19C9">
        <w:rPr>
          <w:rFonts w:ascii="Verdana" w:hAnsi="Verdana"/>
          <w:sz w:val="22"/>
          <w:szCs w:val="22"/>
        </w:rPr>
        <w:t xml:space="preserve"> probably optimistic. </w:t>
      </w:r>
    </w:p>
    <w:p w:rsidR="00F35E0D" w:rsidRPr="00F35E0D" w:rsidRDefault="00F35E0D" w:rsidP="00F35E0D">
      <w:pPr>
        <w:spacing w:after="240"/>
        <w:rPr>
          <w:rFonts w:ascii="Verdana" w:hAnsi="Verdana"/>
          <w:b/>
          <w:sz w:val="22"/>
          <w:szCs w:val="22"/>
        </w:rPr>
      </w:pPr>
      <w:r w:rsidRPr="00F35E0D">
        <w:rPr>
          <w:rFonts w:ascii="Verdana" w:hAnsi="Verdana"/>
          <w:b/>
          <w:sz w:val="22"/>
          <w:szCs w:val="22"/>
        </w:rPr>
        <w:t>Changes in individual earnings from year to year</w:t>
      </w:r>
    </w:p>
    <w:p w:rsidR="009E13A7" w:rsidRDefault="006F568F" w:rsidP="00517D6A">
      <w:pPr>
        <w:numPr>
          <w:ilvl w:val="0"/>
          <w:numId w:val="1"/>
        </w:numPr>
        <w:spacing w:after="240"/>
        <w:rPr>
          <w:rFonts w:ascii="Verdana" w:hAnsi="Verdana"/>
          <w:sz w:val="22"/>
          <w:szCs w:val="22"/>
        </w:rPr>
      </w:pPr>
      <w:r w:rsidRPr="000E19C9">
        <w:rPr>
          <w:rFonts w:ascii="Verdana" w:hAnsi="Verdana"/>
          <w:sz w:val="22"/>
          <w:szCs w:val="22"/>
        </w:rPr>
        <w:t>The earning distributions for each of the thirty years of the potential repayment period are not the only determinant of the RAB, even if we leave aside early repayments, deaths, etc. Each individual former student will have a year on year pattern of changing earning levels, and this pattern</w:t>
      </w:r>
      <w:r w:rsidRPr="009E13A7">
        <w:rPr>
          <w:rFonts w:ascii="Verdana" w:hAnsi="Verdana"/>
          <w:sz w:val="22"/>
          <w:szCs w:val="22"/>
        </w:rPr>
        <w:t xml:space="preserve"> will also determine the RAB level.</w:t>
      </w:r>
      <w:r w:rsidR="002A6453" w:rsidRPr="009E13A7">
        <w:rPr>
          <w:rFonts w:ascii="Verdana" w:hAnsi="Verdana"/>
          <w:sz w:val="22"/>
          <w:szCs w:val="22"/>
        </w:rPr>
        <w:t xml:space="preserve"> In general, the more former students move their position in the earnings distribution from one year to the next, the lower the RAB. This is because there will be less variation </w:t>
      </w:r>
      <w:r w:rsidR="009E13A7" w:rsidRPr="009E13A7">
        <w:rPr>
          <w:rFonts w:ascii="Verdana" w:hAnsi="Verdana"/>
          <w:sz w:val="22"/>
          <w:szCs w:val="22"/>
        </w:rPr>
        <w:t>in</w:t>
      </w:r>
      <w:r w:rsidR="002A6453" w:rsidRPr="009E13A7">
        <w:rPr>
          <w:rFonts w:ascii="Verdana" w:hAnsi="Verdana"/>
          <w:sz w:val="22"/>
          <w:szCs w:val="22"/>
        </w:rPr>
        <w:t xml:space="preserve"> ‘lifetime’</w:t>
      </w:r>
      <w:r w:rsidR="009E13A7" w:rsidRPr="009E13A7">
        <w:rPr>
          <w:rFonts w:ascii="Verdana" w:hAnsi="Verdana"/>
          <w:sz w:val="22"/>
          <w:szCs w:val="22"/>
        </w:rPr>
        <w:t xml:space="preserve"> earnings than the variation for individual years</w:t>
      </w:r>
    </w:p>
    <w:p w:rsidR="00EB6920" w:rsidRPr="009E13A7" w:rsidRDefault="002A6453" w:rsidP="00517D6A">
      <w:pPr>
        <w:numPr>
          <w:ilvl w:val="0"/>
          <w:numId w:val="1"/>
        </w:numPr>
        <w:spacing w:after="240"/>
        <w:rPr>
          <w:rFonts w:ascii="Verdana" w:hAnsi="Verdana"/>
          <w:sz w:val="22"/>
          <w:szCs w:val="22"/>
        </w:rPr>
      </w:pPr>
      <w:r w:rsidRPr="009E13A7">
        <w:rPr>
          <w:rFonts w:ascii="Verdana" w:hAnsi="Verdana"/>
          <w:sz w:val="22"/>
          <w:szCs w:val="22"/>
        </w:rPr>
        <w:t>This can be illustrated by comparing the RAB found using the year to year paths used in the simplified model with two extremes</w:t>
      </w:r>
      <w:r w:rsidR="00FF28AC" w:rsidRPr="009E13A7">
        <w:rPr>
          <w:rFonts w:ascii="Verdana" w:hAnsi="Verdana"/>
          <w:sz w:val="22"/>
          <w:szCs w:val="22"/>
        </w:rPr>
        <w:t xml:space="preserve">. In one case each </w:t>
      </w:r>
      <w:r w:rsidR="00704AB1">
        <w:rPr>
          <w:rFonts w:ascii="Verdana" w:hAnsi="Verdana"/>
          <w:sz w:val="22"/>
          <w:szCs w:val="22"/>
        </w:rPr>
        <w:t xml:space="preserve">former </w:t>
      </w:r>
      <w:r w:rsidR="00FF28AC" w:rsidRPr="009E13A7">
        <w:rPr>
          <w:rFonts w:ascii="Verdana" w:hAnsi="Verdana"/>
          <w:sz w:val="22"/>
          <w:szCs w:val="22"/>
        </w:rPr>
        <w:t>student is at the same percentile of the earnings distribution for each of the thirty years</w:t>
      </w:r>
      <w:r w:rsidR="002E28D1">
        <w:rPr>
          <w:rFonts w:ascii="Verdana" w:hAnsi="Verdana"/>
          <w:sz w:val="22"/>
          <w:szCs w:val="22"/>
        </w:rPr>
        <w:t>.  A</w:t>
      </w:r>
      <w:r w:rsidR="00FF28AC" w:rsidRPr="009E13A7">
        <w:rPr>
          <w:rFonts w:ascii="Verdana" w:hAnsi="Verdana"/>
          <w:sz w:val="22"/>
          <w:szCs w:val="22"/>
        </w:rPr>
        <w:t xml:space="preserve">t the other extreme the position in the earnings distribution for any given year is independent of the positions in other years. </w:t>
      </w:r>
      <w:r w:rsidR="00C00D2A">
        <w:rPr>
          <w:rFonts w:ascii="Verdana" w:hAnsi="Verdana"/>
          <w:sz w:val="22"/>
          <w:szCs w:val="22"/>
        </w:rPr>
        <w:t xml:space="preserve">Note that these scenarios would never occur in practice, they are used here simply to illustrate how an increased correlation between year to year earnings can have an impact on the RAB. </w:t>
      </w:r>
    </w:p>
    <w:p w:rsidR="006F568F" w:rsidRPr="00FF28AC" w:rsidRDefault="00FF28AC" w:rsidP="00FF28AC">
      <w:pPr>
        <w:pStyle w:val="ListParagraph"/>
        <w:spacing w:after="240"/>
        <w:ind w:left="0"/>
        <w:rPr>
          <w:rFonts w:ascii="Verdana" w:hAnsi="Verdana"/>
          <w:sz w:val="22"/>
          <w:szCs w:val="22"/>
          <w:u w:val="single"/>
        </w:rPr>
      </w:pPr>
      <w:r w:rsidRPr="00FF28AC">
        <w:rPr>
          <w:rFonts w:ascii="Verdana" w:hAnsi="Verdana"/>
          <w:sz w:val="22"/>
          <w:szCs w:val="22"/>
          <w:u w:val="single"/>
        </w:rPr>
        <w:t xml:space="preserve">Table </w:t>
      </w:r>
      <w:r w:rsidR="007B4149">
        <w:rPr>
          <w:rFonts w:ascii="Verdana" w:hAnsi="Verdana"/>
          <w:sz w:val="22"/>
          <w:szCs w:val="22"/>
          <w:u w:val="single"/>
        </w:rPr>
        <w:t>8</w:t>
      </w:r>
      <w:r w:rsidRPr="00FF28AC">
        <w:rPr>
          <w:rFonts w:ascii="Verdana" w:hAnsi="Verdana"/>
          <w:sz w:val="22"/>
          <w:szCs w:val="22"/>
          <w:u w:val="single"/>
        </w:rPr>
        <w:t>: Effect of pathways on the RAB</w:t>
      </w:r>
    </w:p>
    <w:tbl>
      <w:tblPr>
        <w:tblStyle w:val="TableGrid"/>
        <w:tblW w:w="0" w:type="auto"/>
        <w:tblLook w:val="04A0" w:firstRow="1" w:lastRow="0" w:firstColumn="1" w:lastColumn="0" w:noHBand="0" w:noVBand="1"/>
      </w:tblPr>
      <w:tblGrid>
        <w:gridCol w:w="2376"/>
        <w:gridCol w:w="2977"/>
        <w:gridCol w:w="3169"/>
      </w:tblGrid>
      <w:tr w:rsidR="006F568F" w:rsidTr="002A6453">
        <w:tc>
          <w:tcPr>
            <w:tcW w:w="2376" w:type="dxa"/>
          </w:tcPr>
          <w:p w:rsidR="006F568F" w:rsidRDefault="006F568F" w:rsidP="00FF28AC">
            <w:pPr>
              <w:spacing w:after="240"/>
              <w:jc w:val="center"/>
              <w:rPr>
                <w:rFonts w:ascii="Verdana" w:hAnsi="Verdana"/>
                <w:sz w:val="22"/>
                <w:szCs w:val="22"/>
              </w:rPr>
            </w:pPr>
            <w:r>
              <w:rPr>
                <w:rFonts w:ascii="Verdana" w:hAnsi="Verdana"/>
                <w:sz w:val="22"/>
                <w:szCs w:val="22"/>
              </w:rPr>
              <w:t>As in simplified model</w:t>
            </w:r>
          </w:p>
        </w:tc>
        <w:tc>
          <w:tcPr>
            <w:tcW w:w="2977" w:type="dxa"/>
          </w:tcPr>
          <w:p w:rsidR="006F568F" w:rsidRDefault="002A6453" w:rsidP="00FF28AC">
            <w:pPr>
              <w:spacing w:after="240"/>
              <w:jc w:val="center"/>
              <w:rPr>
                <w:rFonts w:ascii="Verdana" w:hAnsi="Verdana"/>
                <w:sz w:val="22"/>
                <w:szCs w:val="22"/>
              </w:rPr>
            </w:pPr>
            <w:r>
              <w:rPr>
                <w:rFonts w:ascii="Verdana" w:hAnsi="Verdana"/>
                <w:sz w:val="22"/>
                <w:szCs w:val="22"/>
              </w:rPr>
              <w:t>Each year’s earnings at the same percentile of the earnings distribution</w:t>
            </w:r>
          </w:p>
        </w:tc>
        <w:tc>
          <w:tcPr>
            <w:tcW w:w="3169" w:type="dxa"/>
          </w:tcPr>
          <w:p w:rsidR="006F568F" w:rsidRDefault="002A6453" w:rsidP="00FF28AC">
            <w:pPr>
              <w:spacing w:after="240"/>
              <w:jc w:val="center"/>
              <w:rPr>
                <w:rFonts w:ascii="Verdana" w:hAnsi="Verdana"/>
                <w:sz w:val="22"/>
                <w:szCs w:val="22"/>
              </w:rPr>
            </w:pPr>
            <w:r>
              <w:rPr>
                <w:rFonts w:ascii="Verdana" w:hAnsi="Verdana"/>
                <w:sz w:val="22"/>
                <w:szCs w:val="22"/>
              </w:rPr>
              <w:t>Each year’s earnings independent of other year</w:t>
            </w:r>
            <w:r w:rsidR="00FF28AC">
              <w:rPr>
                <w:rFonts w:ascii="Verdana" w:hAnsi="Verdana"/>
                <w:sz w:val="22"/>
                <w:szCs w:val="22"/>
              </w:rPr>
              <w:t>’</w:t>
            </w:r>
            <w:r>
              <w:rPr>
                <w:rFonts w:ascii="Verdana" w:hAnsi="Verdana"/>
                <w:sz w:val="22"/>
                <w:szCs w:val="22"/>
              </w:rPr>
              <w:t>s</w:t>
            </w:r>
            <w:r w:rsidR="00FF28AC">
              <w:rPr>
                <w:rFonts w:ascii="Verdana" w:hAnsi="Verdana"/>
                <w:sz w:val="22"/>
                <w:szCs w:val="22"/>
              </w:rPr>
              <w:t xml:space="preserve"> earnings</w:t>
            </w:r>
          </w:p>
        </w:tc>
      </w:tr>
      <w:tr w:rsidR="006F568F" w:rsidTr="002A6453">
        <w:tc>
          <w:tcPr>
            <w:tcW w:w="2376" w:type="dxa"/>
          </w:tcPr>
          <w:p w:rsidR="006F568F" w:rsidRDefault="007B4149" w:rsidP="007B4149">
            <w:pPr>
              <w:spacing w:after="240"/>
              <w:jc w:val="center"/>
              <w:rPr>
                <w:rFonts w:ascii="Verdana" w:hAnsi="Verdana"/>
                <w:sz w:val="22"/>
                <w:szCs w:val="22"/>
              </w:rPr>
            </w:pPr>
            <w:r>
              <w:rPr>
                <w:rFonts w:ascii="Verdana" w:hAnsi="Verdana"/>
                <w:sz w:val="22"/>
                <w:szCs w:val="22"/>
              </w:rPr>
              <w:t>30.1</w:t>
            </w:r>
            <w:r w:rsidR="00FF28AC">
              <w:rPr>
                <w:rFonts w:ascii="Verdana" w:hAnsi="Verdana"/>
                <w:sz w:val="22"/>
                <w:szCs w:val="22"/>
              </w:rPr>
              <w:t>%</w:t>
            </w:r>
          </w:p>
        </w:tc>
        <w:tc>
          <w:tcPr>
            <w:tcW w:w="2977" w:type="dxa"/>
          </w:tcPr>
          <w:p w:rsidR="006F568F" w:rsidRDefault="007B4149" w:rsidP="007B4149">
            <w:pPr>
              <w:spacing w:after="240"/>
              <w:jc w:val="center"/>
              <w:rPr>
                <w:rFonts w:ascii="Verdana" w:hAnsi="Verdana"/>
                <w:sz w:val="22"/>
                <w:szCs w:val="22"/>
              </w:rPr>
            </w:pPr>
            <w:r>
              <w:rPr>
                <w:rFonts w:ascii="Verdana" w:hAnsi="Verdana"/>
                <w:sz w:val="22"/>
                <w:szCs w:val="22"/>
              </w:rPr>
              <w:t>40.1</w:t>
            </w:r>
            <w:r w:rsidR="00FF28AC">
              <w:rPr>
                <w:rFonts w:ascii="Verdana" w:hAnsi="Verdana"/>
                <w:sz w:val="22"/>
                <w:szCs w:val="22"/>
              </w:rPr>
              <w:t>%</w:t>
            </w:r>
          </w:p>
        </w:tc>
        <w:tc>
          <w:tcPr>
            <w:tcW w:w="3169" w:type="dxa"/>
          </w:tcPr>
          <w:p w:rsidR="006F568F" w:rsidRDefault="006F568F" w:rsidP="007B4149">
            <w:pPr>
              <w:spacing w:after="240"/>
              <w:jc w:val="center"/>
              <w:rPr>
                <w:rFonts w:ascii="Verdana" w:hAnsi="Verdana"/>
                <w:sz w:val="22"/>
                <w:szCs w:val="22"/>
              </w:rPr>
            </w:pPr>
            <w:r>
              <w:rPr>
                <w:rFonts w:ascii="Verdana" w:hAnsi="Verdana"/>
                <w:sz w:val="22"/>
                <w:szCs w:val="22"/>
              </w:rPr>
              <w:t>1</w:t>
            </w:r>
            <w:r w:rsidR="007B4149">
              <w:rPr>
                <w:rFonts w:ascii="Verdana" w:hAnsi="Verdana"/>
                <w:sz w:val="22"/>
                <w:szCs w:val="22"/>
              </w:rPr>
              <w:t>9.8</w:t>
            </w:r>
            <w:r w:rsidR="00FF28AC">
              <w:rPr>
                <w:rFonts w:ascii="Verdana" w:hAnsi="Verdana"/>
                <w:sz w:val="22"/>
                <w:szCs w:val="22"/>
              </w:rPr>
              <w:t>%</w:t>
            </w:r>
          </w:p>
        </w:tc>
      </w:tr>
    </w:tbl>
    <w:p w:rsidR="00E6394B" w:rsidRDefault="00E6394B" w:rsidP="00E6394B">
      <w:pPr>
        <w:pStyle w:val="ListParagraph"/>
        <w:spacing w:after="240"/>
        <w:ind w:left="0"/>
        <w:rPr>
          <w:rFonts w:ascii="Verdana" w:hAnsi="Verdana"/>
          <w:sz w:val="22"/>
          <w:szCs w:val="22"/>
        </w:rPr>
      </w:pPr>
    </w:p>
    <w:p w:rsidR="00745F94" w:rsidRPr="009E13A7" w:rsidRDefault="00FF28AC" w:rsidP="00745F94">
      <w:pPr>
        <w:pStyle w:val="ListParagraph"/>
        <w:numPr>
          <w:ilvl w:val="0"/>
          <w:numId w:val="1"/>
        </w:numPr>
        <w:spacing w:after="240"/>
        <w:rPr>
          <w:rFonts w:ascii="Verdana" w:hAnsi="Verdana"/>
          <w:sz w:val="24"/>
          <w:szCs w:val="24"/>
        </w:rPr>
      </w:pPr>
      <w:r w:rsidRPr="009E13A7">
        <w:rPr>
          <w:rFonts w:ascii="Verdana" w:hAnsi="Verdana"/>
          <w:sz w:val="22"/>
          <w:szCs w:val="22"/>
        </w:rPr>
        <w:t xml:space="preserve">We can see that there is a big difference in the RAB values between the two extremes. It </w:t>
      </w:r>
      <w:r w:rsidR="00712E46">
        <w:rPr>
          <w:rFonts w:ascii="Verdana" w:hAnsi="Verdana"/>
          <w:sz w:val="22"/>
          <w:szCs w:val="22"/>
        </w:rPr>
        <w:t>suggests it may be</w:t>
      </w:r>
      <w:r w:rsidRPr="009E13A7">
        <w:rPr>
          <w:rFonts w:ascii="Verdana" w:hAnsi="Verdana"/>
          <w:sz w:val="22"/>
          <w:szCs w:val="22"/>
        </w:rPr>
        <w:t xml:space="preserve"> important that the model predicts the pathways that former students will ta</w:t>
      </w:r>
      <w:r w:rsidR="004C367C" w:rsidRPr="009E13A7">
        <w:rPr>
          <w:rFonts w:ascii="Verdana" w:hAnsi="Verdana"/>
          <w:sz w:val="22"/>
          <w:szCs w:val="22"/>
        </w:rPr>
        <w:t>k</w:t>
      </w:r>
      <w:r w:rsidRPr="009E13A7">
        <w:rPr>
          <w:rFonts w:ascii="Verdana" w:hAnsi="Verdana"/>
          <w:sz w:val="22"/>
          <w:szCs w:val="22"/>
        </w:rPr>
        <w:t>e</w:t>
      </w:r>
      <w:r w:rsidR="004C367C" w:rsidRPr="009E13A7">
        <w:rPr>
          <w:rFonts w:ascii="Verdana" w:hAnsi="Verdana"/>
          <w:sz w:val="22"/>
          <w:szCs w:val="22"/>
        </w:rPr>
        <w:t>.</w:t>
      </w:r>
      <w:r w:rsidR="009E13A7">
        <w:rPr>
          <w:rFonts w:ascii="Verdana" w:hAnsi="Verdana"/>
          <w:sz w:val="22"/>
          <w:szCs w:val="22"/>
        </w:rPr>
        <w:t xml:space="preserve"> </w:t>
      </w:r>
      <w:r w:rsidR="006138B1" w:rsidRPr="009E13A7">
        <w:rPr>
          <w:rFonts w:ascii="Verdana" w:hAnsi="Verdana"/>
          <w:sz w:val="22"/>
          <w:szCs w:val="22"/>
        </w:rPr>
        <w:t xml:space="preserve">Given that the pathways from earning percentile to percentile depend only on </w:t>
      </w:r>
      <w:r w:rsidR="0087480E" w:rsidRPr="009E13A7">
        <w:rPr>
          <w:rFonts w:ascii="Verdana" w:hAnsi="Verdana"/>
          <w:sz w:val="22"/>
          <w:szCs w:val="22"/>
        </w:rPr>
        <w:t>the earnings for one year, and no other information, it is possible that the year to year changes are greater than they were and will be, and this would be likely to lead to an underestimation of the RAB.</w:t>
      </w:r>
    </w:p>
    <w:p w:rsidR="00927C3F" w:rsidRDefault="00927C3F" w:rsidP="00745F94">
      <w:pPr>
        <w:pStyle w:val="ListParagraph"/>
        <w:spacing w:after="240"/>
        <w:ind w:left="0"/>
        <w:rPr>
          <w:rFonts w:ascii="Verdana" w:hAnsi="Verdana"/>
          <w:b/>
          <w:sz w:val="24"/>
          <w:szCs w:val="24"/>
        </w:rPr>
      </w:pPr>
    </w:p>
    <w:p w:rsidR="00F175C8" w:rsidRDefault="00F175C8" w:rsidP="00745F94">
      <w:pPr>
        <w:pStyle w:val="ListParagraph"/>
        <w:spacing w:after="240"/>
        <w:ind w:left="0"/>
        <w:rPr>
          <w:rFonts w:ascii="Verdana" w:hAnsi="Verdana"/>
          <w:b/>
          <w:sz w:val="24"/>
          <w:szCs w:val="24"/>
        </w:rPr>
      </w:pPr>
    </w:p>
    <w:p w:rsidR="00745F94" w:rsidRPr="008B4377" w:rsidRDefault="00745F94" w:rsidP="00745F94">
      <w:pPr>
        <w:pStyle w:val="ListParagraph"/>
        <w:spacing w:after="240"/>
        <w:ind w:left="0"/>
        <w:rPr>
          <w:rFonts w:ascii="Verdana" w:hAnsi="Verdana"/>
          <w:b/>
          <w:sz w:val="24"/>
          <w:szCs w:val="24"/>
        </w:rPr>
      </w:pPr>
      <w:r w:rsidRPr="008B4377">
        <w:rPr>
          <w:rFonts w:ascii="Verdana" w:hAnsi="Verdana"/>
          <w:b/>
          <w:sz w:val="24"/>
          <w:szCs w:val="24"/>
        </w:rPr>
        <w:t>Estimates by the Institute for Fiscal Studies</w:t>
      </w:r>
      <w:r w:rsidR="009E2EF3" w:rsidRPr="008B4377">
        <w:rPr>
          <w:rFonts w:ascii="Verdana" w:hAnsi="Verdana"/>
          <w:b/>
          <w:sz w:val="24"/>
          <w:szCs w:val="24"/>
        </w:rPr>
        <w:t xml:space="preserve"> (IFS) </w:t>
      </w:r>
    </w:p>
    <w:p w:rsidR="009E2EF3" w:rsidRPr="009E2EF3" w:rsidRDefault="00745F94" w:rsidP="00226E3B">
      <w:pPr>
        <w:pStyle w:val="ListParagraph"/>
        <w:numPr>
          <w:ilvl w:val="0"/>
          <w:numId w:val="1"/>
        </w:numPr>
        <w:spacing w:after="240"/>
        <w:rPr>
          <w:rFonts w:ascii="Verdana" w:hAnsi="Verdana"/>
          <w:sz w:val="24"/>
          <w:szCs w:val="24"/>
        </w:rPr>
      </w:pPr>
      <w:r>
        <w:rPr>
          <w:rFonts w:ascii="Verdana" w:hAnsi="Verdana"/>
          <w:sz w:val="22"/>
          <w:szCs w:val="22"/>
        </w:rPr>
        <w:t xml:space="preserve">In response to our earlier conclusions about the uncertainties inherent in RAB estimates, </w:t>
      </w:r>
      <w:r w:rsidR="009D65E4">
        <w:rPr>
          <w:rFonts w:ascii="Verdana" w:hAnsi="Verdana"/>
          <w:sz w:val="22"/>
          <w:szCs w:val="22"/>
        </w:rPr>
        <w:t xml:space="preserve">the </w:t>
      </w:r>
      <w:r w:rsidR="009E2EF3">
        <w:rPr>
          <w:rFonts w:ascii="Verdana" w:hAnsi="Verdana"/>
          <w:sz w:val="22"/>
          <w:szCs w:val="22"/>
        </w:rPr>
        <w:t>estimates made by the IFS have been cited as providing independent confirmation of the official figures</w:t>
      </w:r>
      <w:r w:rsidR="00C13FE7">
        <w:rPr>
          <w:rStyle w:val="FootnoteReference"/>
          <w:rFonts w:ascii="Verdana" w:hAnsi="Verdana"/>
          <w:sz w:val="22"/>
          <w:szCs w:val="22"/>
        </w:rPr>
        <w:footnoteReference w:id="8"/>
      </w:r>
      <w:r w:rsidR="009E2EF3">
        <w:rPr>
          <w:rFonts w:ascii="Verdana" w:hAnsi="Verdana"/>
          <w:sz w:val="22"/>
          <w:szCs w:val="22"/>
        </w:rPr>
        <w:t>.</w:t>
      </w:r>
    </w:p>
    <w:p w:rsidR="00E23005" w:rsidRPr="00E23005" w:rsidRDefault="009E2EF3" w:rsidP="00226E3B">
      <w:pPr>
        <w:pStyle w:val="ListParagraph"/>
        <w:numPr>
          <w:ilvl w:val="0"/>
          <w:numId w:val="1"/>
        </w:numPr>
        <w:spacing w:after="240"/>
        <w:rPr>
          <w:rFonts w:ascii="Verdana" w:hAnsi="Verdana"/>
          <w:sz w:val="24"/>
          <w:szCs w:val="24"/>
        </w:rPr>
      </w:pPr>
      <w:r>
        <w:rPr>
          <w:rFonts w:ascii="Verdana" w:hAnsi="Verdana"/>
          <w:sz w:val="22"/>
          <w:szCs w:val="22"/>
        </w:rPr>
        <w:t xml:space="preserve">The first point to make is that, though Government and IFS estimation differ in detail, they have a similar approach. Both use the British Household Panel Survey </w:t>
      </w:r>
      <w:r w:rsidR="008B4377">
        <w:rPr>
          <w:rFonts w:ascii="Verdana" w:hAnsi="Verdana"/>
          <w:sz w:val="22"/>
          <w:szCs w:val="22"/>
        </w:rPr>
        <w:t xml:space="preserve">(BHPS) </w:t>
      </w:r>
      <w:r>
        <w:rPr>
          <w:rFonts w:ascii="Verdana" w:hAnsi="Verdana"/>
          <w:sz w:val="22"/>
          <w:szCs w:val="22"/>
        </w:rPr>
        <w:t xml:space="preserve">to generate the year on year changes in earnings, both adjust these earnings using the Labour Force Survey data, and both then further adjust these values using long term assumptions about average growth in earnings. </w:t>
      </w:r>
      <w:r w:rsidR="00E23005">
        <w:rPr>
          <w:rFonts w:ascii="Verdana" w:hAnsi="Verdana"/>
          <w:sz w:val="22"/>
          <w:szCs w:val="22"/>
        </w:rPr>
        <w:t xml:space="preserve">One of the potentially most important differences is in the generation of pathways from the BHPS. The IFS have a much more sophisticated approach which aims to take account of long run correlations in individuals’ earnings. We might expect this to lead to less year to year volatility in the earnings used in the estimation which </w:t>
      </w:r>
      <w:r w:rsidR="006810B8">
        <w:rPr>
          <w:rFonts w:ascii="Verdana" w:hAnsi="Verdana"/>
          <w:sz w:val="22"/>
          <w:szCs w:val="22"/>
        </w:rPr>
        <w:t xml:space="preserve">in turn </w:t>
      </w:r>
      <w:r w:rsidR="00E23005">
        <w:rPr>
          <w:rFonts w:ascii="Verdana" w:hAnsi="Verdana"/>
          <w:sz w:val="22"/>
          <w:szCs w:val="22"/>
        </w:rPr>
        <w:t xml:space="preserve">is likely to lead to a higher RAB estimate, though whether the difference made </w:t>
      </w:r>
      <w:r w:rsidR="00704AB1">
        <w:rPr>
          <w:rFonts w:ascii="Verdana" w:hAnsi="Verdana"/>
          <w:sz w:val="22"/>
          <w:szCs w:val="22"/>
        </w:rPr>
        <w:t>would</w:t>
      </w:r>
      <w:r w:rsidR="00E23005">
        <w:rPr>
          <w:rFonts w:ascii="Verdana" w:hAnsi="Verdana"/>
          <w:sz w:val="22"/>
          <w:szCs w:val="22"/>
        </w:rPr>
        <w:t xml:space="preserve"> be material is unclear. </w:t>
      </w:r>
    </w:p>
    <w:p w:rsidR="00640A6D" w:rsidRPr="00640A6D" w:rsidRDefault="00E23005" w:rsidP="00226E3B">
      <w:pPr>
        <w:pStyle w:val="ListParagraph"/>
        <w:numPr>
          <w:ilvl w:val="0"/>
          <w:numId w:val="1"/>
        </w:numPr>
        <w:spacing w:after="240"/>
        <w:rPr>
          <w:rFonts w:ascii="Verdana" w:hAnsi="Verdana"/>
          <w:sz w:val="24"/>
          <w:szCs w:val="24"/>
        </w:rPr>
      </w:pPr>
      <w:r>
        <w:rPr>
          <w:rFonts w:ascii="Verdana" w:hAnsi="Verdana"/>
          <w:sz w:val="22"/>
          <w:szCs w:val="22"/>
        </w:rPr>
        <w:t>The central RAB estimate from the most recent IFS study was 33 per cent, very close to the full model estimate of 32 per cent</w:t>
      </w:r>
      <w:r w:rsidR="006810B8">
        <w:rPr>
          <w:rFonts w:ascii="Verdana" w:hAnsi="Verdana"/>
          <w:sz w:val="22"/>
          <w:szCs w:val="22"/>
        </w:rPr>
        <w:t xml:space="preserve">, corresponding to </w:t>
      </w:r>
      <w:r w:rsidR="00B0030A">
        <w:rPr>
          <w:rFonts w:ascii="Verdana" w:hAnsi="Verdana"/>
          <w:sz w:val="22"/>
          <w:szCs w:val="22"/>
        </w:rPr>
        <w:t>our</w:t>
      </w:r>
      <w:r w:rsidR="006810B8">
        <w:rPr>
          <w:rFonts w:ascii="Verdana" w:hAnsi="Verdana"/>
          <w:sz w:val="22"/>
          <w:szCs w:val="22"/>
        </w:rPr>
        <w:t xml:space="preserve"> simplified model estimate of </w:t>
      </w:r>
      <w:r w:rsidR="00F175C8">
        <w:rPr>
          <w:rFonts w:ascii="Verdana" w:hAnsi="Verdana"/>
          <w:sz w:val="22"/>
          <w:szCs w:val="22"/>
        </w:rPr>
        <w:t>30</w:t>
      </w:r>
      <w:r w:rsidR="006810B8">
        <w:rPr>
          <w:rFonts w:ascii="Verdana" w:hAnsi="Verdana"/>
          <w:sz w:val="22"/>
          <w:szCs w:val="22"/>
        </w:rPr>
        <w:t xml:space="preserve"> per cent</w:t>
      </w:r>
      <w:r>
        <w:rPr>
          <w:rFonts w:ascii="Verdana" w:hAnsi="Verdana"/>
          <w:sz w:val="22"/>
          <w:szCs w:val="22"/>
        </w:rPr>
        <w:t xml:space="preserve">. </w:t>
      </w:r>
      <w:r w:rsidR="00640A6D">
        <w:rPr>
          <w:rFonts w:ascii="Verdana" w:hAnsi="Verdana"/>
          <w:sz w:val="22"/>
          <w:szCs w:val="22"/>
        </w:rPr>
        <w:t>T</w:t>
      </w:r>
      <w:r>
        <w:rPr>
          <w:rFonts w:ascii="Verdana" w:hAnsi="Verdana"/>
          <w:sz w:val="22"/>
          <w:szCs w:val="22"/>
        </w:rPr>
        <w:t>h</w:t>
      </w:r>
      <w:r w:rsidR="003E4708">
        <w:rPr>
          <w:rFonts w:ascii="Verdana" w:hAnsi="Verdana"/>
          <w:sz w:val="22"/>
          <w:szCs w:val="22"/>
        </w:rPr>
        <w:t xml:space="preserve">ese two estimates are based on different long term earnings growth assumptions. The BIS RAB </w:t>
      </w:r>
      <w:r>
        <w:rPr>
          <w:rFonts w:ascii="Verdana" w:hAnsi="Verdana"/>
          <w:sz w:val="22"/>
          <w:szCs w:val="22"/>
        </w:rPr>
        <w:t xml:space="preserve">estimate is based on the </w:t>
      </w:r>
      <w:r w:rsidR="00393482">
        <w:rPr>
          <w:rFonts w:ascii="Verdana" w:hAnsi="Verdana"/>
          <w:sz w:val="22"/>
          <w:szCs w:val="22"/>
        </w:rPr>
        <w:t xml:space="preserve">OBR assumptions about long term growth in earnings </w:t>
      </w:r>
      <w:r w:rsidR="003E4708">
        <w:rPr>
          <w:rFonts w:ascii="Verdana" w:hAnsi="Verdana"/>
          <w:sz w:val="22"/>
          <w:szCs w:val="22"/>
        </w:rPr>
        <w:t xml:space="preserve">from 2021 </w:t>
      </w:r>
      <w:r w:rsidR="00393482">
        <w:rPr>
          <w:rFonts w:ascii="Verdana" w:hAnsi="Verdana"/>
          <w:sz w:val="22"/>
          <w:szCs w:val="22"/>
        </w:rPr>
        <w:t>which, when adjusted for RPI inflation, is 1.3 per cent pa. The central IFS estimate used a 2.0 per cent pa</w:t>
      </w:r>
      <w:r w:rsidR="008B4377">
        <w:rPr>
          <w:rFonts w:ascii="Verdana" w:hAnsi="Verdana"/>
          <w:sz w:val="22"/>
          <w:szCs w:val="22"/>
        </w:rPr>
        <w:t xml:space="preserve"> </w:t>
      </w:r>
      <w:r w:rsidR="00393482">
        <w:rPr>
          <w:rFonts w:ascii="Verdana" w:hAnsi="Verdana"/>
          <w:sz w:val="22"/>
          <w:szCs w:val="22"/>
        </w:rPr>
        <w:t>assumption</w:t>
      </w:r>
      <w:r w:rsidR="006810B8">
        <w:rPr>
          <w:rFonts w:ascii="Verdana" w:hAnsi="Verdana"/>
          <w:sz w:val="22"/>
          <w:szCs w:val="22"/>
        </w:rPr>
        <w:t xml:space="preserve"> of real earnings growth</w:t>
      </w:r>
      <w:r w:rsidR="003E4708">
        <w:rPr>
          <w:rFonts w:ascii="Verdana" w:hAnsi="Verdana"/>
          <w:sz w:val="22"/>
          <w:szCs w:val="22"/>
        </w:rPr>
        <w:t xml:space="preserve"> from 2018</w:t>
      </w:r>
      <w:r w:rsidR="00393482">
        <w:rPr>
          <w:rFonts w:ascii="Verdana" w:hAnsi="Verdana"/>
          <w:sz w:val="22"/>
          <w:szCs w:val="22"/>
        </w:rPr>
        <w:t xml:space="preserve">. </w:t>
      </w:r>
      <w:r w:rsidR="003E4708">
        <w:rPr>
          <w:rFonts w:ascii="Verdana" w:hAnsi="Verdana"/>
          <w:sz w:val="22"/>
          <w:szCs w:val="22"/>
        </w:rPr>
        <w:t xml:space="preserve">For the short term growth assumptions both BIS and IFS use OBR estimates, though it appears that the IFS are using </w:t>
      </w:r>
      <w:r w:rsidR="00640A6D">
        <w:rPr>
          <w:rFonts w:ascii="Verdana" w:hAnsi="Verdana"/>
          <w:sz w:val="22"/>
          <w:szCs w:val="22"/>
        </w:rPr>
        <w:t>lower earnings growth values</w:t>
      </w:r>
      <w:r w:rsidR="003E4708">
        <w:rPr>
          <w:rFonts w:ascii="Verdana" w:hAnsi="Verdana"/>
          <w:sz w:val="22"/>
          <w:szCs w:val="22"/>
        </w:rPr>
        <w:t xml:space="preserve">.  </w:t>
      </w:r>
      <w:r w:rsidR="00640A6D">
        <w:rPr>
          <w:rFonts w:ascii="Verdana" w:hAnsi="Verdana"/>
          <w:sz w:val="22"/>
          <w:szCs w:val="22"/>
        </w:rPr>
        <w:t>However, a</w:t>
      </w:r>
      <w:r w:rsidR="003E4708">
        <w:rPr>
          <w:rFonts w:ascii="Verdana" w:hAnsi="Verdana"/>
          <w:sz w:val="22"/>
          <w:szCs w:val="22"/>
        </w:rPr>
        <w:t>s we have seen</w:t>
      </w:r>
      <w:r w:rsidR="00640A6D">
        <w:rPr>
          <w:rFonts w:ascii="Verdana" w:hAnsi="Verdana"/>
          <w:sz w:val="22"/>
          <w:szCs w:val="22"/>
        </w:rPr>
        <w:t>,</w:t>
      </w:r>
      <w:r w:rsidR="003E4708">
        <w:rPr>
          <w:rFonts w:ascii="Verdana" w:hAnsi="Verdana"/>
          <w:sz w:val="22"/>
          <w:szCs w:val="22"/>
        </w:rPr>
        <w:t xml:space="preserve"> up to 2016 it is the cash rather than real change in average earnings </w:t>
      </w:r>
      <w:r w:rsidR="00640A6D">
        <w:rPr>
          <w:rFonts w:ascii="Verdana" w:hAnsi="Verdana"/>
          <w:sz w:val="22"/>
          <w:szCs w:val="22"/>
        </w:rPr>
        <w:t>that are</w:t>
      </w:r>
      <w:r w:rsidR="003E4708">
        <w:rPr>
          <w:rFonts w:ascii="Verdana" w:hAnsi="Verdana"/>
          <w:sz w:val="22"/>
          <w:szCs w:val="22"/>
        </w:rPr>
        <w:t xml:space="preserve"> important, and the IFS only present their </w:t>
      </w:r>
      <w:r w:rsidR="00640A6D">
        <w:rPr>
          <w:rFonts w:ascii="Verdana" w:hAnsi="Verdana"/>
          <w:sz w:val="22"/>
          <w:szCs w:val="22"/>
        </w:rPr>
        <w:t xml:space="preserve">real earnings growth assumptions. </w:t>
      </w:r>
    </w:p>
    <w:p w:rsidR="008F418A" w:rsidRPr="008F418A" w:rsidRDefault="00640A6D" w:rsidP="00226E3B">
      <w:pPr>
        <w:pStyle w:val="ListParagraph"/>
        <w:numPr>
          <w:ilvl w:val="0"/>
          <w:numId w:val="1"/>
        </w:numPr>
        <w:spacing w:after="240"/>
        <w:rPr>
          <w:rFonts w:ascii="Verdana" w:hAnsi="Verdana"/>
          <w:sz w:val="24"/>
          <w:szCs w:val="24"/>
        </w:rPr>
      </w:pPr>
      <w:r>
        <w:rPr>
          <w:rFonts w:ascii="Verdana" w:hAnsi="Verdana"/>
          <w:sz w:val="22"/>
          <w:szCs w:val="22"/>
        </w:rPr>
        <w:t>In addition to this central estimate</w:t>
      </w:r>
      <w:r w:rsidR="002E28D1">
        <w:rPr>
          <w:rFonts w:ascii="Verdana" w:hAnsi="Verdana"/>
          <w:sz w:val="22"/>
          <w:szCs w:val="22"/>
        </w:rPr>
        <w:t xml:space="preserve"> – based on an average annual </w:t>
      </w:r>
      <w:r w:rsidR="00E33C63">
        <w:rPr>
          <w:rFonts w:ascii="Verdana" w:hAnsi="Verdana"/>
          <w:sz w:val="22"/>
          <w:szCs w:val="22"/>
        </w:rPr>
        <w:t xml:space="preserve">long term </w:t>
      </w:r>
      <w:r w:rsidR="002E28D1">
        <w:rPr>
          <w:rFonts w:ascii="Verdana" w:hAnsi="Verdana"/>
          <w:sz w:val="22"/>
          <w:szCs w:val="22"/>
        </w:rPr>
        <w:t xml:space="preserve">earnings growth rate of 2 per cent now no longer used by the Government in its </w:t>
      </w:r>
      <w:r w:rsidR="00B07E2D">
        <w:rPr>
          <w:rFonts w:ascii="Verdana" w:hAnsi="Verdana"/>
          <w:sz w:val="22"/>
          <w:szCs w:val="22"/>
        </w:rPr>
        <w:t>calculations</w:t>
      </w:r>
      <w:r w:rsidR="002E28D1">
        <w:rPr>
          <w:rFonts w:ascii="Verdana" w:hAnsi="Verdana"/>
          <w:sz w:val="22"/>
          <w:szCs w:val="22"/>
        </w:rPr>
        <w:t xml:space="preserve"> -</w:t>
      </w:r>
      <w:r>
        <w:rPr>
          <w:rFonts w:ascii="Verdana" w:hAnsi="Verdana"/>
          <w:sz w:val="22"/>
          <w:szCs w:val="22"/>
        </w:rPr>
        <w:t xml:space="preserve"> the IFS calculated RAB values under optimistic and pessimistic assumptions. </w:t>
      </w:r>
      <w:r w:rsidR="00393482">
        <w:rPr>
          <w:rFonts w:ascii="Verdana" w:hAnsi="Verdana"/>
          <w:sz w:val="22"/>
          <w:szCs w:val="22"/>
        </w:rPr>
        <w:t>The pessimistic RAB</w:t>
      </w:r>
      <w:r>
        <w:rPr>
          <w:rFonts w:ascii="Verdana" w:hAnsi="Verdana"/>
          <w:sz w:val="22"/>
          <w:szCs w:val="22"/>
        </w:rPr>
        <w:t xml:space="preserve"> reduced the long term earnings growth assumption from 2.0 to 1.5 per cent, closer to the 1.3 per cent </w:t>
      </w:r>
      <w:r w:rsidR="002E28D1">
        <w:rPr>
          <w:rFonts w:ascii="Verdana" w:hAnsi="Verdana"/>
          <w:sz w:val="22"/>
          <w:szCs w:val="22"/>
        </w:rPr>
        <w:t xml:space="preserve">now </w:t>
      </w:r>
      <w:r>
        <w:rPr>
          <w:rFonts w:ascii="Verdana" w:hAnsi="Verdana"/>
          <w:sz w:val="22"/>
          <w:szCs w:val="22"/>
        </w:rPr>
        <w:t xml:space="preserve">used by BIS. </w:t>
      </w:r>
      <w:r w:rsidR="00463A23">
        <w:rPr>
          <w:rFonts w:ascii="Verdana" w:hAnsi="Verdana"/>
          <w:sz w:val="22"/>
          <w:szCs w:val="22"/>
        </w:rPr>
        <w:t xml:space="preserve">Their pessimistic short term earnings growth is based </w:t>
      </w:r>
      <w:r w:rsidR="00D8555C">
        <w:rPr>
          <w:rFonts w:ascii="Verdana" w:hAnsi="Verdana"/>
          <w:sz w:val="22"/>
          <w:szCs w:val="22"/>
        </w:rPr>
        <w:t xml:space="preserve">on the projections produced for the IFS ‘Green Budget’. </w:t>
      </w:r>
      <w:r w:rsidR="00C57364">
        <w:rPr>
          <w:rFonts w:ascii="Verdana" w:hAnsi="Verdana"/>
          <w:sz w:val="22"/>
          <w:szCs w:val="22"/>
        </w:rPr>
        <w:t>These are somewhat counter-intuitive with three of the six year</w:t>
      </w:r>
      <w:r w:rsidR="00E33C63">
        <w:rPr>
          <w:rFonts w:ascii="Verdana" w:hAnsi="Verdana"/>
          <w:sz w:val="22"/>
          <w:szCs w:val="22"/>
        </w:rPr>
        <w:t xml:space="preserve"> to year changes</w:t>
      </w:r>
      <w:r w:rsidR="00C57364">
        <w:rPr>
          <w:rFonts w:ascii="Verdana" w:hAnsi="Verdana"/>
          <w:sz w:val="22"/>
          <w:szCs w:val="22"/>
        </w:rPr>
        <w:t xml:space="preserve"> showing the pessimistic assumption having higher growth, though the changes over the whole </w:t>
      </w:r>
      <w:r w:rsidR="00E33C63">
        <w:rPr>
          <w:rFonts w:ascii="Verdana" w:hAnsi="Verdana"/>
          <w:sz w:val="22"/>
          <w:szCs w:val="22"/>
        </w:rPr>
        <w:t xml:space="preserve">seven year </w:t>
      </w:r>
      <w:r w:rsidR="00C57364">
        <w:rPr>
          <w:rFonts w:ascii="Verdana" w:hAnsi="Verdana"/>
          <w:sz w:val="22"/>
          <w:szCs w:val="22"/>
        </w:rPr>
        <w:t xml:space="preserve">period are </w:t>
      </w:r>
      <w:r w:rsidR="00E33C63">
        <w:rPr>
          <w:rFonts w:ascii="Verdana" w:hAnsi="Verdana"/>
          <w:sz w:val="22"/>
          <w:szCs w:val="22"/>
        </w:rPr>
        <w:t xml:space="preserve">just </w:t>
      </w:r>
      <w:r w:rsidR="00C57364">
        <w:rPr>
          <w:rFonts w:ascii="Verdana" w:hAnsi="Verdana"/>
          <w:sz w:val="22"/>
          <w:szCs w:val="22"/>
        </w:rPr>
        <w:t xml:space="preserve">0.4 per </w:t>
      </w:r>
      <w:r w:rsidR="00C57364">
        <w:rPr>
          <w:rFonts w:ascii="Verdana" w:hAnsi="Verdana"/>
          <w:sz w:val="22"/>
          <w:szCs w:val="22"/>
        </w:rPr>
        <w:lastRenderedPageBreak/>
        <w:t xml:space="preserve">cent and -2.7 per cent for central and pessimistic assumptions respectively. With these </w:t>
      </w:r>
      <w:r w:rsidR="008F418A">
        <w:rPr>
          <w:rFonts w:ascii="Verdana" w:hAnsi="Verdana"/>
          <w:sz w:val="22"/>
          <w:szCs w:val="22"/>
        </w:rPr>
        <w:t xml:space="preserve">pessimistic </w:t>
      </w:r>
      <w:r w:rsidR="00C57364">
        <w:rPr>
          <w:rFonts w:ascii="Verdana" w:hAnsi="Verdana"/>
          <w:sz w:val="22"/>
          <w:szCs w:val="22"/>
        </w:rPr>
        <w:t>assumptions IFS calculate</w:t>
      </w:r>
      <w:r w:rsidR="008F418A">
        <w:rPr>
          <w:rFonts w:ascii="Verdana" w:hAnsi="Verdana"/>
          <w:sz w:val="22"/>
          <w:szCs w:val="22"/>
        </w:rPr>
        <w:t>s RAB value of 37 per cent.</w:t>
      </w:r>
      <w:r w:rsidR="00755C06">
        <w:rPr>
          <w:rFonts w:ascii="Verdana" w:hAnsi="Verdana"/>
          <w:sz w:val="22"/>
          <w:szCs w:val="22"/>
        </w:rPr>
        <w:t xml:space="preserve">  </w:t>
      </w:r>
    </w:p>
    <w:p w:rsidR="00F9430C" w:rsidRDefault="008F418A" w:rsidP="008B4377">
      <w:pPr>
        <w:pStyle w:val="ListParagraph"/>
        <w:numPr>
          <w:ilvl w:val="0"/>
          <w:numId w:val="1"/>
        </w:numPr>
        <w:spacing w:after="240"/>
        <w:rPr>
          <w:rFonts w:ascii="Verdana" w:hAnsi="Verdana"/>
          <w:sz w:val="22"/>
          <w:szCs w:val="22"/>
        </w:rPr>
      </w:pPr>
      <w:r w:rsidRPr="00F9430C">
        <w:rPr>
          <w:rFonts w:ascii="Verdana" w:hAnsi="Verdana"/>
          <w:sz w:val="22"/>
          <w:szCs w:val="22"/>
        </w:rPr>
        <w:t>It is important to appreciate that th</w:t>
      </w:r>
      <w:r w:rsidR="00F9430C" w:rsidRPr="00F9430C">
        <w:rPr>
          <w:rFonts w:ascii="Verdana" w:hAnsi="Verdana"/>
          <w:sz w:val="22"/>
          <w:szCs w:val="22"/>
        </w:rPr>
        <w:t xml:space="preserve">e pessimistic estimate </w:t>
      </w:r>
      <w:r w:rsidRPr="00F9430C">
        <w:rPr>
          <w:rFonts w:ascii="Verdana" w:hAnsi="Verdana"/>
          <w:sz w:val="22"/>
          <w:szCs w:val="22"/>
        </w:rPr>
        <w:t>does not involve any changes in the assumption that the historic career growth in earnings</w:t>
      </w:r>
      <w:r w:rsidR="005674F9">
        <w:rPr>
          <w:rFonts w:ascii="Verdana" w:hAnsi="Verdana"/>
          <w:sz w:val="22"/>
          <w:szCs w:val="22"/>
        </w:rPr>
        <w:t xml:space="preserve"> due to age and experience rather than the average growth through time,</w:t>
      </w:r>
      <w:r w:rsidRPr="00F9430C">
        <w:rPr>
          <w:rFonts w:ascii="Verdana" w:hAnsi="Verdana"/>
          <w:sz w:val="22"/>
          <w:szCs w:val="22"/>
        </w:rPr>
        <w:t xml:space="preserve"> will continue into the future</w:t>
      </w:r>
      <w:r w:rsidR="00F9430C" w:rsidRPr="00F9430C">
        <w:rPr>
          <w:rFonts w:ascii="Verdana" w:hAnsi="Verdana"/>
          <w:sz w:val="22"/>
          <w:szCs w:val="22"/>
        </w:rPr>
        <w:t xml:space="preserve">. </w:t>
      </w:r>
      <w:r w:rsidRPr="00F9430C">
        <w:rPr>
          <w:rFonts w:ascii="Verdana" w:hAnsi="Verdana"/>
          <w:sz w:val="22"/>
          <w:szCs w:val="22"/>
        </w:rPr>
        <w:t xml:space="preserve">Also, the earnings growth assumptions are </w:t>
      </w:r>
      <w:r w:rsidR="00F9430C" w:rsidRPr="00F9430C">
        <w:rPr>
          <w:rFonts w:ascii="Verdana" w:hAnsi="Verdana"/>
          <w:sz w:val="22"/>
          <w:szCs w:val="22"/>
        </w:rPr>
        <w:t xml:space="preserve">still </w:t>
      </w:r>
      <w:r w:rsidRPr="00F9430C">
        <w:rPr>
          <w:rFonts w:ascii="Verdana" w:hAnsi="Verdana"/>
          <w:sz w:val="22"/>
          <w:szCs w:val="22"/>
        </w:rPr>
        <w:t>app</w:t>
      </w:r>
      <w:r w:rsidR="00F9430C" w:rsidRPr="00F9430C">
        <w:rPr>
          <w:rFonts w:ascii="Verdana" w:hAnsi="Verdana"/>
          <w:sz w:val="22"/>
          <w:szCs w:val="22"/>
        </w:rPr>
        <w:t>lied over the whole population. It is just these assumptions</w:t>
      </w:r>
      <w:r w:rsidR="002E28D1">
        <w:rPr>
          <w:rFonts w:ascii="Verdana" w:hAnsi="Verdana"/>
          <w:sz w:val="22"/>
          <w:szCs w:val="22"/>
        </w:rPr>
        <w:t xml:space="preserve"> -</w:t>
      </w:r>
      <w:r w:rsidR="00F9430C" w:rsidRPr="00F9430C">
        <w:rPr>
          <w:rFonts w:ascii="Verdana" w:hAnsi="Verdana"/>
          <w:sz w:val="22"/>
          <w:szCs w:val="22"/>
        </w:rPr>
        <w:t xml:space="preserve"> that career earnings growth will be maintained and that there will be no change in the dispersion of earnings</w:t>
      </w:r>
      <w:r w:rsidR="002E28D1">
        <w:rPr>
          <w:rFonts w:ascii="Verdana" w:hAnsi="Verdana"/>
          <w:sz w:val="22"/>
          <w:szCs w:val="22"/>
        </w:rPr>
        <w:t xml:space="preserve"> -</w:t>
      </w:r>
      <w:r w:rsidR="00F9430C" w:rsidRPr="00F9430C">
        <w:rPr>
          <w:rFonts w:ascii="Verdana" w:hAnsi="Verdana"/>
          <w:sz w:val="22"/>
          <w:szCs w:val="22"/>
        </w:rPr>
        <w:t xml:space="preserve"> that </w:t>
      </w:r>
      <w:r w:rsidR="008B4377" w:rsidRPr="00F9430C">
        <w:rPr>
          <w:rFonts w:ascii="Verdana" w:hAnsi="Verdana"/>
          <w:sz w:val="22"/>
          <w:szCs w:val="22"/>
        </w:rPr>
        <w:t>we have argued are unsafe</w:t>
      </w:r>
      <w:r w:rsidR="002E28D1">
        <w:rPr>
          <w:rFonts w:ascii="Verdana" w:hAnsi="Verdana"/>
          <w:sz w:val="22"/>
          <w:szCs w:val="22"/>
        </w:rPr>
        <w:t xml:space="preserve">, and lead to </w:t>
      </w:r>
      <w:r w:rsidR="00755C06">
        <w:rPr>
          <w:rFonts w:ascii="Verdana" w:hAnsi="Verdana"/>
          <w:sz w:val="22"/>
          <w:szCs w:val="22"/>
        </w:rPr>
        <w:t xml:space="preserve">low </w:t>
      </w:r>
      <w:r w:rsidR="00B07E2D">
        <w:rPr>
          <w:rFonts w:ascii="Verdana" w:hAnsi="Verdana"/>
          <w:sz w:val="22"/>
          <w:szCs w:val="22"/>
        </w:rPr>
        <w:t>calculations</w:t>
      </w:r>
      <w:r w:rsidR="00755C06">
        <w:rPr>
          <w:rFonts w:ascii="Verdana" w:hAnsi="Verdana"/>
          <w:sz w:val="22"/>
          <w:szCs w:val="22"/>
        </w:rPr>
        <w:t xml:space="preserve"> of the RAB charge.</w:t>
      </w:r>
    </w:p>
    <w:p w:rsidR="00C23DB7" w:rsidRPr="00F9430C" w:rsidRDefault="008B4377" w:rsidP="008B4377">
      <w:pPr>
        <w:pStyle w:val="ListParagraph"/>
        <w:numPr>
          <w:ilvl w:val="0"/>
          <w:numId w:val="1"/>
        </w:numPr>
        <w:spacing w:after="240"/>
        <w:rPr>
          <w:rFonts w:ascii="Verdana" w:hAnsi="Verdana"/>
          <w:sz w:val="22"/>
          <w:szCs w:val="22"/>
        </w:rPr>
      </w:pPr>
      <w:r w:rsidRPr="00F9430C">
        <w:rPr>
          <w:rFonts w:ascii="Verdana" w:hAnsi="Verdana"/>
          <w:sz w:val="22"/>
          <w:szCs w:val="22"/>
        </w:rPr>
        <w:t xml:space="preserve"> </w:t>
      </w:r>
      <w:r w:rsidR="003B6192">
        <w:rPr>
          <w:rFonts w:ascii="Verdana" w:hAnsi="Verdana"/>
          <w:sz w:val="22"/>
          <w:szCs w:val="22"/>
        </w:rPr>
        <w:t>The IFS authors</w:t>
      </w:r>
      <w:r w:rsidR="00DE419A">
        <w:rPr>
          <w:rFonts w:ascii="Verdana" w:hAnsi="Verdana"/>
          <w:sz w:val="22"/>
          <w:szCs w:val="22"/>
        </w:rPr>
        <w:t xml:space="preserve">, aware </w:t>
      </w:r>
      <w:r w:rsidR="00E266D3">
        <w:rPr>
          <w:rFonts w:ascii="Verdana" w:hAnsi="Verdana"/>
          <w:sz w:val="22"/>
          <w:szCs w:val="22"/>
        </w:rPr>
        <w:t xml:space="preserve">of the </w:t>
      </w:r>
      <w:r w:rsidR="00DE419A">
        <w:rPr>
          <w:rFonts w:ascii="Verdana" w:hAnsi="Verdana"/>
          <w:sz w:val="22"/>
          <w:szCs w:val="22"/>
        </w:rPr>
        <w:t xml:space="preserve">uncertainties in their assumptions, warn against treating their projections as predictions. </w:t>
      </w:r>
      <w:r w:rsidRPr="00F9430C">
        <w:rPr>
          <w:rFonts w:ascii="Verdana" w:hAnsi="Verdana"/>
          <w:sz w:val="22"/>
          <w:szCs w:val="22"/>
        </w:rPr>
        <w:t>Here is what they say in their most recent report.</w:t>
      </w:r>
    </w:p>
    <w:p w:rsidR="008B4377" w:rsidRDefault="00E266D3" w:rsidP="00F37854">
      <w:pPr>
        <w:pStyle w:val="ListParagraph"/>
        <w:spacing w:after="240"/>
        <w:ind w:left="567"/>
        <w:rPr>
          <w:rFonts w:ascii="Verdana" w:hAnsi="Verdana"/>
          <w:sz w:val="22"/>
          <w:szCs w:val="22"/>
        </w:rPr>
      </w:pPr>
      <w:r w:rsidRPr="00C23DB7">
        <w:rPr>
          <w:rFonts w:ascii="Verdana" w:hAnsi="Verdana"/>
          <w:sz w:val="22"/>
          <w:szCs w:val="22"/>
        </w:rPr>
        <w:t xml:space="preserve"> </w:t>
      </w:r>
      <w:r w:rsidR="008B4377" w:rsidRPr="00C23DB7">
        <w:rPr>
          <w:rFonts w:ascii="Verdana" w:hAnsi="Verdana"/>
          <w:sz w:val="22"/>
          <w:szCs w:val="22"/>
        </w:rPr>
        <w:t>“It is worth emphasising that our earnings simulations are not predictions of the future; they are instead simulations based on a series of assumptions. Predicting the earnings of future graduates poses more severe challenges, in particular because the distribution of earnings of future graduates is likely to change due to underlying changes in the economy”</w:t>
      </w:r>
      <w:r w:rsidR="00F37854">
        <w:rPr>
          <w:rFonts w:ascii="Verdana" w:hAnsi="Verdana"/>
          <w:sz w:val="22"/>
          <w:szCs w:val="22"/>
        </w:rPr>
        <w:t xml:space="preserve"> </w:t>
      </w:r>
      <w:r w:rsidR="00F37854" w:rsidRPr="008B3A65">
        <w:rPr>
          <w:rFonts w:ascii="Verdana" w:hAnsi="Verdana"/>
          <w:sz w:val="22"/>
          <w:szCs w:val="22"/>
        </w:rPr>
        <w:t>(</w:t>
      </w:r>
      <w:r w:rsidR="00F37854">
        <w:rPr>
          <w:rFonts w:ascii="Verdana" w:hAnsi="Verdana"/>
          <w:sz w:val="22"/>
          <w:szCs w:val="22"/>
        </w:rPr>
        <w:t>Appendix 4, page4)</w:t>
      </w:r>
    </w:p>
    <w:p w:rsidR="008B4377" w:rsidRDefault="008B4377" w:rsidP="00226E3B">
      <w:pPr>
        <w:pStyle w:val="ListParagraph"/>
        <w:numPr>
          <w:ilvl w:val="0"/>
          <w:numId w:val="1"/>
        </w:numPr>
        <w:spacing w:after="240"/>
        <w:rPr>
          <w:rFonts w:ascii="Verdana" w:hAnsi="Verdana"/>
          <w:sz w:val="22"/>
          <w:szCs w:val="22"/>
        </w:rPr>
      </w:pPr>
      <w:r>
        <w:rPr>
          <w:rFonts w:ascii="Verdana" w:hAnsi="Verdana"/>
          <w:sz w:val="22"/>
          <w:szCs w:val="22"/>
        </w:rPr>
        <w:t xml:space="preserve">Of course if we are to reassure former students that their loan conditions will not be changed, and future taxpayers that the savings promised will materialise, we </w:t>
      </w:r>
      <w:r w:rsidR="00DE419A">
        <w:rPr>
          <w:rFonts w:ascii="Verdana" w:hAnsi="Verdana"/>
          <w:sz w:val="22"/>
          <w:szCs w:val="22"/>
        </w:rPr>
        <w:t xml:space="preserve">are forced </w:t>
      </w:r>
      <w:r>
        <w:rPr>
          <w:rFonts w:ascii="Verdana" w:hAnsi="Verdana"/>
          <w:sz w:val="22"/>
          <w:szCs w:val="22"/>
        </w:rPr>
        <w:t>to make predictions.</w:t>
      </w:r>
    </w:p>
    <w:p w:rsidR="008A54AC" w:rsidRPr="008B72DC" w:rsidRDefault="008A54AC" w:rsidP="008A54AC">
      <w:pPr>
        <w:pStyle w:val="ListParagraph"/>
        <w:spacing w:after="240"/>
        <w:ind w:left="0"/>
        <w:rPr>
          <w:rFonts w:ascii="Verdana" w:hAnsi="Verdana"/>
          <w:b/>
          <w:sz w:val="24"/>
          <w:szCs w:val="24"/>
        </w:rPr>
      </w:pPr>
      <w:r w:rsidRPr="008B72DC">
        <w:rPr>
          <w:rFonts w:ascii="Verdana" w:hAnsi="Verdana"/>
          <w:b/>
          <w:sz w:val="24"/>
          <w:szCs w:val="24"/>
        </w:rPr>
        <w:t>Checks of RAB estimates made by OBR</w:t>
      </w:r>
    </w:p>
    <w:p w:rsidR="004F41FE" w:rsidRPr="00E83936" w:rsidRDefault="008B72DC" w:rsidP="004F41FE">
      <w:pPr>
        <w:pStyle w:val="ListParagraph"/>
        <w:numPr>
          <w:ilvl w:val="0"/>
          <w:numId w:val="1"/>
        </w:numPr>
        <w:spacing w:after="240"/>
        <w:rPr>
          <w:rFonts w:ascii="Verdana" w:hAnsi="Verdana"/>
          <w:sz w:val="22"/>
          <w:szCs w:val="22"/>
        </w:rPr>
      </w:pPr>
      <w:r w:rsidRPr="008B72DC">
        <w:rPr>
          <w:rFonts w:ascii="Verdana" w:hAnsi="Verdana"/>
          <w:sz w:val="22"/>
          <w:szCs w:val="22"/>
        </w:rPr>
        <w:t>The Minister for Universities and Science, David Willetts</w:t>
      </w:r>
      <w:r>
        <w:rPr>
          <w:rFonts w:ascii="Verdana" w:hAnsi="Verdana"/>
          <w:sz w:val="22"/>
          <w:szCs w:val="22"/>
        </w:rPr>
        <w:t xml:space="preserve">, explained that the RAB estimates by BIS had been checked by the OBR (BIS Committee, 12 June 2012). </w:t>
      </w:r>
      <w:r w:rsidR="00247EF1">
        <w:rPr>
          <w:rFonts w:ascii="Verdana" w:hAnsi="Verdana"/>
          <w:sz w:val="22"/>
          <w:szCs w:val="22"/>
        </w:rPr>
        <w:t>HEPI</w:t>
      </w:r>
      <w:r>
        <w:rPr>
          <w:rFonts w:ascii="Verdana" w:hAnsi="Verdana"/>
          <w:sz w:val="22"/>
          <w:szCs w:val="22"/>
        </w:rPr>
        <w:t xml:space="preserve"> sought clarification about these checks</w:t>
      </w:r>
      <w:r w:rsidR="00E266D3">
        <w:rPr>
          <w:rFonts w:ascii="Verdana" w:hAnsi="Verdana"/>
          <w:sz w:val="22"/>
          <w:szCs w:val="22"/>
        </w:rPr>
        <w:t xml:space="preserve"> with BIS</w:t>
      </w:r>
      <w:r>
        <w:rPr>
          <w:rFonts w:ascii="Verdana" w:hAnsi="Verdana"/>
          <w:sz w:val="22"/>
          <w:szCs w:val="22"/>
        </w:rPr>
        <w:t xml:space="preserve">, and </w:t>
      </w:r>
      <w:r w:rsidR="00E266D3">
        <w:rPr>
          <w:rFonts w:ascii="Verdana" w:hAnsi="Verdana"/>
          <w:sz w:val="22"/>
          <w:szCs w:val="22"/>
        </w:rPr>
        <w:t xml:space="preserve">we asked </w:t>
      </w:r>
      <w:r>
        <w:rPr>
          <w:rFonts w:ascii="Verdana" w:hAnsi="Verdana"/>
          <w:sz w:val="22"/>
          <w:szCs w:val="22"/>
        </w:rPr>
        <w:t xml:space="preserve">whether anything had been published about what was undertaken. We were informed </w:t>
      </w:r>
      <w:r w:rsidR="004F41FE">
        <w:rPr>
          <w:rFonts w:ascii="Verdana" w:hAnsi="Verdana"/>
          <w:sz w:val="22"/>
          <w:szCs w:val="22"/>
        </w:rPr>
        <w:t>that t</w:t>
      </w:r>
      <w:r w:rsidR="004F41FE" w:rsidRPr="004F41FE">
        <w:rPr>
          <w:rFonts w:ascii="Verdana" w:hAnsi="Verdana"/>
          <w:sz w:val="22"/>
          <w:szCs w:val="22"/>
        </w:rPr>
        <w:t xml:space="preserve">he OBR provided </w:t>
      </w:r>
      <w:r w:rsidR="004F41FE">
        <w:rPr>
          <w:rFonts w:ascii="Verdana" w:hAnsi="Verdana"/>
          <w:sz w:val="22"/>
          <w:szCs w:val="22"/>
        </w:rPr>
        <w:t xml:space="preserve">BIS </w:t>
      </w:r>
      <w:r w:rsidR="004F41FE" w:rsidRPr="004F41FE">
        <w:rPr>
          <w:rFonts w:ascii="Verdana" w:hAnsi="Verdana"/>
          <w:sz w:val="22"/>
          <w:szCs w:val="22"/>
        </w:rPr>
        <w:t xml:space="preserve">with their macro-economic forecasts and other assumptions </w:t>
      </w:r>
      <w:r w:rsidR="00572370">
        <w:rPr>
          <w:rFonts w:ascii="Verdana" w:hAnsi="Verdana"/>
          <w:sz w:val="22"/>
          <w:szCs w:val="22"/>
        </w:rPr>
        <w:t xml:space="preserve">which were then </w:t>
      </w:r>
      <w:r w:rsidR="004F41FE" w:rsidRPr="004F41FE">
        <w:rPr>
          <w:rFonts w:ascii="Verdana" w:hAnsi="Verdana"/>
          <w:sz w:val="22"/>
          <w:szCs w:val="22"/>
        </w:rPr>
        <w:t xml:space="preserve">fed </w:t>
      </w:r>
      <w:r w:rsidR="00572370">
        <w:rPr>
          <w:rFonts w:ascii="Verdana" w:hAnsi="Verdana"/>
          <w:sz w:val="22"/>
          <w:szCs w:val="22"/>
        </w:rPr>
        <w:t>into the RAB</w:t>
      </w:r>
      <w:r w:rsidR="004F41FE" w:rsidRPr="004F41FE">
        <w:rPr>
          <w:rFonts w:ascii="Verdana" w:hAnsi="Verdana"/>
          <w:sz w:val="22"/>
          <w:szCs w:val="22"/>
        </w:rPr>
        <w:t xml:space="preserve"> modelling.</w:t>
      </w:r>
      <w:r w:rsidR="00572370">
        <w:rPr>
          <w:rFonts w:ascii="Verdana" w:hAnsi="Verdana"/>
          <w:sz w:val="22"/>
          <w:szCs w:val="22"/>
        </w:rPr>
        <w:t xml:space="preserve"> Subsequently</w:t>
      </w:r>
      <w:r w:rsidR="00704AB1">
        <w:rPr>
          <w:rFonts w:ascii="Verdana" w:hAnsi="Verdana"/>
          <w:sz w:val="22"/>
          <w:szCs w:val="22"/>
        </w:rPr>
        <w:t>,</w:t>
      </w:r>
      <w:r w:rsidR="00572370">
        <w:rPr>
          <w:rFonts w:ascii="Verdana" w:hAnsi="Verdana"/>
          <w:sz w:val="22"/>
          <w:szCs w:val="22"/>
        </w:rPr>
        <w:t xml:space="preserve"> BIS presented the results of their modelling giving t</w:t>
      </w:r>
      <w:r w:rsidR="00247EF1">
        <w:rPr>
          <w:rFonts w:ascii="Verdana" w:hAnsi="Verdana"/>
          <w:sz w:val="22"/>
          <w:szCs w:val="22"/>
        </w:rPr>
        <w:t xml:space="preserve">he OBR </w:t>
      </w:r>
      <w:r w:rsidR="00572370">
        <w:rPr>
          <w:rFonts w:ascii="Verdana" w:hAnsi="Verdana"/>
          <w:sz w:val="22"/>
          <w:szCs w:val="22"/>
        </w:rPr>
        <w:t xml:space="preserve">the opportunity </w:t>
      </w:r>
      <w:r w:rsidR="00247EF1" w:rsidRPr="00247EF1">
        <w:rPr>
          <w:rFonts w:ascii="Verdana" w:hAnsi="Verdana"/>
          <w:sz w:val="22"/>
          <w:szCs w:val="22"/>
        </w:rPr>
        <w:t>to challenge the methodology and underpinning assumptions</w:t>
      </w:r>
      <w:r w:rsidR="00247EF1">
        <w:rPr>
          <w:rFonts w:ascii="Verdana" w:hAnsi="Verdana"/>
          <w:sz w:val="22"/>
          <w:szCs w:val="22"/>
        </w:rPr>
        <w:t xml:space="preserve">. </w:t>
      </w:r>
      <w:r w:rsidR="00247EF1" w:rsidRPr="00247EF1">
        <w:rPr>
          <w:rFonts w:ascii="Verdana" w:hAnsi="Verdana"/>
          <w:sz w:val="22"/>
          <w:szCs w:val="22"/>
        </w:rPr>
        <w:t>Following this meeting the student loan projections were then incorporated into the Fiscal Sustainability report</w:t>
      </w:r>
      <w:r w:rsidR="00247EF1">
        <w:rPr>
          <w:rFonts w:ascii="Verdana" w:hAnsi="Verdana"/>
          <w:sz w:val="22"/>
          <w:szCs w:val="22"/>
        </w:rPr>
        <w:t xml:space="preserve">. </w:t>
      </w:r>
      <w:r w:rsidR="00247EF1" w:rsidRPr="00E83936">
        <w:rPr>
          <w:rFonts w:ascii="Verdana" w:hAnsi="Verdana"/>
          <w:sz w:val="22"/>
          <w:szCs w:val="22"/>
        </w:rPr>
        <w:t>(See Office of Budget Responsibility, 2012b.)</w:t>
      </w:r>
    </w:p>
    <w:p w:rsidR="00E83936" w:rsidRPr="00E83936" w:rsidRDefault="00247EF1" w:rsidP="00E83936">
      <w:pPr>
        <w:pStyle w:val="ListParagraph"/>
        <w:numPr>
          <w:ilvl w:val="0"/>
          <w:numId w:val="1"/>
        </w:numPr>
        <w:spacing w:after="240"/>
        <w:rPr>
          <w:rFonts w:ascii="Verdana" w:hAnsi="Verdana"/>
          <w:sz w:val="24"/>
          <w:szCs w:val="24"/>
        </w:rPr>
      </w:pPr>
      <w:r w:rsidRPr="00E83936">
        <w:rPr>
          <w:rFonts w:ascii="Verdana" w:hAnsi="Verdana"/>
          <w:sz w:val="22"/>
          <w:szCs w:val="22"/>
        </w:rPr>
        <w:t xml:space="preserve">These checks, whilst providing some reassurances, in particular that the BIS model was consistent with the OBR macro-economic assumptions, </w:t>
      </w:r>
      <w:r w:rsidR="00E83936" w:rsidRPr="00E83936">
        <w:rPr>
          <w:rFonts w:ascii="Verdana" w:hAnsi="Verdana"/>
          <w:sz w:val="22"/>
          <w:szCs w:val="22"/>
        </w:rPr>
        <w:t xml:space="preserve">do not provide grounds for changing our assessment of the uncertainty associated with the RAB estimate. </w:t>
      </w:r>
    </w:p>
    <w:p w:rsidR="00FF4F70" w:rsidRDefault="00FF4F70" w:rsidP="00E83936">
      <w:pPr>
        <w:pStyle w:val="ListParagraph"/>
        <w:spacing w:after="240"/>
        <w:ind w:left="0"/>
        <w:rPr>
          <w:rFonts w:ascii="Verdana" w:hAnsi="Verdana"/>
          <w:b/>
          <w:sz w:val="24"/>
          <w:szCs w:val="24"/>
        </w:rPr>
      </w:pPr>
    </w:p>
    <w:p w:rsidR="0087480E" w:rsidRPr="00E83936" w:rsidRDefault="00226E3B" w:rsidP="00E83936">
      <w:pPr>
        <w:pStyle w:val="ListParagraph"/>
        <w:spacing w:after="240"/>
        <w:ind w:left="0"/>
        <w:rPr>
          <w:rFonts w:ascii="Verdana" w:hAnsi="Verdana"/>
          <w:b/>
          <w:sz w:val="24"/>
          <w:szCs w:val="24"/>
        </w:rPr>
      </w:pPr>
      <w:r w:rsidRPr="00E83936">
        <w:rPr>
          <w:rFonts w:ascii="Verdana" w:hAnsi="Verdana"/>
          <w:b/>
          <w:sz w:val="24"/>
          <w:szCs w:val="24"/>
        </w:rPr>
        <w:lastRenderedPageBreak/>
        <w:t>Conclusions</w:t>
      </w:r>
    </w:p>
    <w:p w:rsidR="00AF7014" w:rsidRDefault="00226E3B" w:rsidP="006F568F">
      <w:pPr>
        <w:pStyle w:val="ListParagraph"/>
        <w:numPr>
          <w:ilvl w:val="0"/>
          <w:numId w:val="1"/>
        </w:numPr>
        <w:spacing w:after="240"/>
        <w:rPr>
          <w:rFonts w:ascii="Verdana" w:hAnsi="Verdana"/>
          <w:sz w:val="22"/>
          <w:szCs w:val="22"/>
        </w:rPr>
      </w:pPr>
      <w:r w:rsidRPr="00E83936">
        <w:rPr>
          <w:rFonts w:ascii="Verdana" w:hAnsi="Verdana"/>
          <w:sz w:val="22"/>
          <w:szCs w:val="22"/>
        </w:rPr>
        <w:t xml:space="preserve">We previously concluded that the official RAB estimates were uncertain, and that they looked optimistic. </w:t>
      </w:r>
      <w:r w:rsidR="00AF7014" w:rsidRPr="00E83936">
        <w:rPr>
          <w:rFonts w:ascii="Verdana" w:hAnsi="Verdana"/>
          <w:sz w:val="22"/>
          <w:szCs w:val="22"/>
        </w:rPr>
        <w:t xml:space="preserve">Most have </w:t>
      </w:r>
      <w:r w:rsidR="00896F3B" w:rsidRPr="00E83936">
        <w:rPr>
          <w:rFonts w:ascii="Verdana" w:hAnsi="Verdana"/>
          <w:sz w:val="22"/>
          <w:szCs w:val="22"/>
        </w:rPr>
        <w:t xml:space="preserve">at least </w:t>
      </w:r>
      <w:r w:rsidR="00AF7014" w:rsidRPr="00E83936">
        <w:rPr>
          <w:rFonts w:ascii="Verdana" w:hAnsi="Verdana"/>
          <w:sz w:val="22"/>
          <w:szCs w:val="22"/>
        </w:rPr>
        <w:t xml:space="preserve">accepted </w:t>
      </w:r>
      <w:r w:rsidR="00896F3B" w:rsidRPr="00E83936">
        <w:rPr>
          <w:rFonts w:ascii="Verdana" w:hAnsi="Verdana"/>
          <w:sz w:val="22"/>
          <w:szCs w:val="22"/>
        </w:rPr>
        <w:t>that they are</w:t>
      </w:r>
      <w:r w:rsidR="00E266D3">
        <w:rPr>
          <w:rFonts w:ascii="Verdana" w:hAnsi="Verdana"/>
          <w:sz w:val="22"/>
          <w:szCs w:val="22"/>
        </w:rPr>
        <w:t xml:space="preserve"> uncertain</w:t>
      </w:r>
      <w:r w:rsidR="00AF7014" w:rsidRPr="00E83936">
        <w:rPr>
          <w:rFonts w:ascii="Verdana" w:hAnsi="Verdana"/>
          <w:sz w:val="22"/>
          <w:szCs w:val="22"/>
        </w:rPr>
        <w:t>, but, at the same time</w:t>
      </w:r>
      <w:r w:rsidR="00096709" w:rsidRPr="00E83936">
        <w:rPr>
          <w:rFonts w:ascii="Verdana" w:hAnsi="Verdana"/>
          <w:sz w:val="22"/>
          <w:szCs w:val="22"/>
        </w:rPr>
        <w:t xml:space="preserve">, increased </w:t>
      </w:r>
      <w:r w:rsidR="00AF7014" w:rsidRPr="00E83936">
        <w:rPr>
          <w:rFonts w:ascii="Verdana" w:hAnsi="Verdana"/>
          <w:sz w:val="22"/>
          <w:szCs w:val="22"/>
        </w:rPr>
        <w:t xml:space="preserve"> confidence in the estimates ha</w:t>
      </w:r>
      <w:r w:rsidR="00096709" w:rsidRPr="00E83936">
        <w:rPr>
          <w:rFonts w:ascii="Verdana" w:hAnsi="Verdana"/>
          <w:sz w:val="22"/>
          <w:szCs w:val="22"/>
        </w:rPr>
        <w:t xml:space="preserve">ve been asserted, in part because </w:t>
      </w:r>
      <w:r w:rsidR="00AF7014" w:rsidRPr="00E83936">
        <w:rPr>
          <w:rFonts w:ascii="Verdana" w:hAnsi="Verdana"/>
          <w:sz w:val="22"/>
          <w:szCs w:val="22"/>
        </w:rPr>
        <w:t>BIS have developed and refined</w:t>
      </w:r>
      <w:r w:rsidR="00AF7014">
        <w:rPr>
          <w:rFonts w:ascii="Verdana" w:hAnsi="Verdana"/>
          <w:sz w:val="22"/>
          <w:szCs w:val="22"/>
        </w:rPr>
        <w:t xml:space="preserve"> their estimation procedure and also </w:t>
      </w:r>
      <w:r w:rsidR="00096709">
        <w:rPr>
          <w:rFonts w:ascii="Verdana" w:hAnsi="Verdana"/>
          <w:sz w:val="22"/>
          <w:szCs w:val="22"/>
        </w:rPr>
        <w:t xml:space="preserve">because </w:t>
      </w:r>
      <w:r w:rsidR="00AF7014">
        <w:rPr>
          <w:rFonts w:ascii="Verdana" w:hAnsi="Verdana"/>
          <w:sz w:val="22"/>
          <w:szCs w:val="22"/>
        </w:rPr>
        <w:t>the Ins</w:t>
      </w:r>
      <w:r w:rsidR="007054C5">
        <w:rPr>
          <w:rFonts w:ascii="Verdana" w:hAnsi="Verdana"/>
          <w:sz w:val="22"/>
          <w:szCs w:val="22"/>
        </w:rPr>
        <w:t>t</w:t>
      </w:r>
      <w:r w:rsidR="00AF7014">
        <w:rPr>
          <w:rFonts w:ascii="Verdana" w:hAnsi="Verdana"/>
          <w:sz w:val="22"/>
          <w:szCs w:val="22"/>
        </w:rPr>
        <w:t xml:space="preserve">itute for Fiscal Studies </w:t>
      </w:r>
      <w:r w:rsidR="00896F3B">
        <w:rPr>
          <w:rFonts w:ascii="Verdana" w:hAnsi="Verdana"/>
          <w:sz w:val="22"/>
          <w:szCs w:val="22"/>
        </w:rPr>
        <w:t xml:space="preserve">appeared to have come </w:t>
      </w:r>
      <w:r w:rsidR="00AF7014">
        <w:rPr>
          <w:rFonts w:ascii="Verdana" w:hAnsi="Verdana"/>
          <w:sz w:val="22"/>
          <w:szCs w:val="22"/>
        </w:rPr>
        <w:t>up with similar figures.</w:t>
      </w:r>
      <w:r w:rsidR="00A340DC">
        <w:rPr>
          <w:rFonts w:ascii="Verdana" w:hAnsi="Verdana"/>
          <w:sz w:val="22"/>
          <w:szCs w:val="22"/>
        </w:rPr>
        <w:t xml:space="preserve"> </w:t>
      </w:r>
    </w:p>
    <w:p w:rsidR="007054C5" w:rsidRPr="00114032" w:rsidRDefault="007054C5" w:rsidP="006F568F">
      <w:pPr>
        <w:pStyle w:val="ListParagraph"/>
        <w:numPr>
          <w:ilvl w:val="0"/>
          <w:numId w:val="1"/>
        </w:numPr>
        <w:spacing w:after="240"/>
        <w:rPr>
          <w:rFonts w:ascii="Verdana" w:hAnsi="Verdana"/>
          <w:sz w:val="22"/>
          <w:szCs w:val="22"/>
        </w:rPr>
      </w:pPr>
      <w:r>
        <w:rPr>
          <w:rFonts w:ascii="Verdana" w:hAnsi="Verdana"/>
          <w:sz w:val="22"/>
          <w:szCs w:val="22"/>
        </w:rPr>
        <w:t>The release of the loan cost ‘Ready Re</w:t>
      </w:r>
      <w:r w:rsidR="00561473">
        <w:rPr>
          <w:rFonts w:ascii="Verdana" w:hAnsi="Verdana"/>
          <w:sz w:val="22"/>
          <w:szCs w:val="22"/>
        </w:rPr>
        <w:t>cko</w:t>
      </w:r>
      <w:r>
        <w:rPr>
          <w:rFonts w:ascii="Verdana" w:hAnsi="Verdana"/>
          <w:sz w:val="22"/>
          <w:szCs w:val="22"/>
        </w:rPr>
        <w:t xml:space="preserve">ner’ in 2010 represented a new level of openness by Government in sharing the details of the </w:t>
      </w:r>
      <w:r w:rsidR="00096709">
        <w:rPr>
          <w:rFonts w:ascii="Verdana" w:hAnsi="Verdana"/>
          <w:sz w:val="22"/>
          <w:szCs w:val="22"/>
        </w:rPr>
        <w:t>technical work that goes on in support of policy development</w:t>
      </w:r>
      <w:r>
        <w:rPr>
          <w:rFonts w:ascii="Verdana" w:hAnsi="Verdana"/>
          <w:sz w:val="22"/>
          <w:szCs w:val="22"/>
        </w:rPr>
        <w:t>, and with the publication of their cu</w:t>
      </w:r>
      <w:r w:rsidR="00096709">
        <w:rPr>
          <w:rFonts w:ascii="Verdana" w:hAnsi="Verdana"/>
          <w:sz w:val="22"/>
          <w:szCs w:val="22"/>
        </w:rPr>
        <w:t>r</w:t>
      </w:r>
      <w:r>
        <w:rPr>
          <w:rFonts w:ascii="Verdana" w:hAnsi="Verdana"/>
          <w:sz w:val="22"/>
          <w:szCs w:val="22"/>
        </w:rPr>
        <w:t xml:space="preserve">rent model, albeit in a simplified form, that high standard of accountability </w:t>
      </w:r>
      <w:r w:rsidR="00896F3B">
        <w:rPr>
          <w:rFonts w:ascii="Verdana" w:hAnsi="Verdana"/>
          <w:sz w:val="22"/>
          <w:szCs w:val="22"/>
        </w:rPr>
        <w:t xml:space="preserve">and transparency </w:t>
      </w:r>
      <w:r>
        <w:rPr>
          <w:rFonts w:ascii="Verdana" w:hAnsi="Verdana"/>
          <w:sz w:val="22"/>
          <w:szCs w:val="22"/>
        </w:rPr>
        <w:t xml:space="preserve">has been maintained. </w:t>
      </w:r>
      <w:r w:rsidR="00096709">
        <w:rPr>
          <w:rFonts w:ascii="Verdana" w:hAnsi="Verdana"/>
          <w:sz w:val="22"/>
          <w:szCs w:val="22"/>
        </w:rPr>
        <w:t xml:space="preserve">This we applaud. </w:t>
      </w:r>
      <w:r>
        <w:rPr>
          <w:rFonts w:ascii="Verdana" w:hAnsi="Verdana"/>
          <w:sz w:val="22"/>
          <w:szCs w:val="22"/>
        </w:rPr>
        <w:t xml:space="preserve">We also acknowledge the improvements that have been made in the estimation </w:t>
      </w:r>
      <w:r w:rsidR="00561473">
        <w:rPr>
          <w:rFonts w:ascii="Verdana" w:hAnsi="Verdana"/>
          <w:sz w:val="22"/>
          <w:szCs w:val="22"/>
        </w:rPr>
        <w:t>method</w:t>
      </w:r>
      <w:r w:rsidR="00896F3B">
        <w:rPr>
          <w:rFonts w:ascii="Verdana" w:hAnsi="Verdana"/>
          <w:sz w:val="22"/>
          <w:szCs w:val="22"/>
        </w:rPr>
        <w:t xml:space="preserve"> which are apparent from both the simplified model </w:t>
      </w:r>
      <w:r w:rsidR="00896F3B" w:rsidRPr="00114032">
        <w:rPr>
          <w:rFonts w:ascii="Verdana" w:hAnsi="Verdana"/>
          <w:sz w:val="22"/>
          <w:szCs w:val="22"/>
        </w:rPr>
        <w:t>and the descriptions of what the full model does.</w:t>
      </w:r>
    </w:p>
    <w:p w:rsidR="00114032" w:rsidRPr="00114032" w:rsidRDefault="007054C5" w:rsidP="00114032">
      <w:pPr>
        <w:pStyle w:val="ListParagraph"/>
        <w:numPr>
          <w:ilvl w:val="0"/>
          <w:numId w:val="1"/>
        </w:numPr>
        <w:spacing w:after="240"/>
        <w:rPr>
          <w:rFonts w:ascii="Verdana" w:hAnsi="Verdana"/>
          <w:sz w:val="24"/>
          <w:szCs w:val="24"/>
        </w:rPr>
      </w:pPr>
      <w:r w:rsidRPr="00114032">
        <w:rPr>
          <w:rFonts w:ascii="Verdana" w:hAnsi="Verdana"/>
          <w:sz w:val="22"/>
          <w:szCs w:val="22"/>
        </w:rPr>
        <w:t>However</w:t>
      </w:r>
      <w:r w:rsidR="00096709" w:rsidRPr="00114032">
        <w:rPr>
          <w:rFonts w:ascii="Verdana" w:hAnsi="Verdana"/>
          <w:sz w:val="22"/>
          <w:szCs w:val="22"/>
        </w:rPr>
        <w:t>,</w:t>
      </w:r>
      <w:r w:rsidRPr="00114032">
        <w:rPr>
          <w:rFonts w:ascii="Verdana" w:hAnsi="Verdana"/>
          <w:sz w:val="22"/>
          <w:szCs w:val="22"/>
        </w:rPr>
        <w:t xml:space="preserve"> o</w:t>
      </w:r>
      <w:r w:rsidR="00561473" w:rsidRPr="00114032">
        <w:rPr>
          <w:rFonts w:ascii="Verdana" w:hAnsi="Verdana"/>
          <w:sz w:val="22"/>
          <w:szCs w:val="22"/>
        </w:rPr>
        <w:t>u</w:t>
      </w:r>
      <w:r w:rsidRPr="00114032">
        <w:rPr>
          <w:rFonts w:ascii="Verdana" w:hAnsi="Verdana"/>
          <w:sz w:val="22"/>
          <w:szCs w:val="22"/>
        </w:rPr>
        <w:t>r original conclusions were based on an assessment of the inherent difficulty of the est</w:t>
      </w:r>
      <w:r w:rsidR="00096709" w:rsidRPr="00114032">
        <w:rPr>
          <w:rFonts w:ascii="Verdana" w:hAnsi="Verdana"/>
          <w:sz w:val="22"/>
          <w:szCs w:val="22"/>
        </w:rPr>
        <w:t>i</w:t>
      </w:r>
      <w:r w:rsidRPr="00114032">
        <w:rPr>
          <w:rFonts w:ascii="Verdana" w:hAnsi="Verdana"/>
          <w:sz w:val="22"/>
          <w:szCs w:val="22"/>
        </w:rPr>
        <w:t>mation process</w:t>
      </w:r>
      <w:r w:rsidR="00FF4F70">
        <w:rPr>
          <w:rFonts w:ascii="Verdana" w:hAnsi="Verdana"/>
          <w:sz w:val="22"/>
          <w:szCs w:val="22"/>
        </w:rPr>
        <w:t>.</w:t>
      </w:r>
      <w:r w:rsidRPr="00114032">
        <w:rPr>
          <w:rFonts w:ascii="Verdana" w:hAnsi="Verdana"/>
          <w:sz w:val="22"/>
          <w:szCs w:val="22"/>
        </w:rPr>
        <w:t xml:space="preserve"> We found that large parts of the repayments </w:t>
      </w:r>
      <w:r w:rsidR="00096709" w:rsidRPr="00114032">
        <w:rPr>
          <w:rFonts w:ascii="Verdana" w:hAnsi="Verdana"/>
          <w:sz w:val="22"/>
          <w:szCs w:val="22"/>
        </w:rPr>
        <w:t xml:space="preserve">are only expected to </w:t>
      </w:r>
      <w:r w:rsidRPr="00114032">
        <w:rPr>
          <w:rFonts w:ascii="Verdana" w:hAnsi="Verdana"/>
          <w:sz w:val="22"/>
          <w:szCs w:val="22"/>
        </w:rPr>
        <w:t>be received ten o</w:t>
      </w:r>
      <w:r w:rsidR="00096709" w:rsidRPr="00114032">
        <w:rPr>
          <w:rFonts w:ascii="Verdana" w:hAnsi="Verdana"/>
          <w:sz w:val="22"/>
          <w:szCs w:val="22"/>
        </w:rPr>
        <w:t>r</w:t>
      </w:r>
      <w:r w:rsidRPr="00114032">
        <w:rPr>
          <w:rFonts w:ascii="Verdana" w:hAnsi="Verdana"/>
          <w:sz w:val="22"/>
          <w:szCs w:val="22"/>
        </w:rPr>
        <w:t xml:space="preserve"> twenty years after the repayments start in 2016, so that the estimation involves predicting incomes far into the future. It is this inherent difficulty, rather than any failings of those </w:t>
      </w:r>
      <w:r w:rsidR="00096709" w:rsidRPr="00114032">
        <w:rPr>
          <w:rFonts w:ascii="Verdana" w:hAnsi="Verdana"/>
          <w:sz w:val="22"/>
          <w:szCs w:val="22"/>
        </w:rPr>
        <w:t>carrying out the analysis</w:t>
      </w:r>
      <w:r w:rsidR="00896F3B" w:rsidRPr="00114032">
        <w:rPr>
          <w:rFonts w:ascii="Verdana" w:hAnsi="Verdana"/>
          <w:sz w:val="22"/>
          <w:szCs w:val="22"/>
        </w:rPr>
        <w:t>,</w:t>
      </w:r>
      <w:r w:rsidR="00096709" w:rsidRPr="00114032">
        <w:rPr>
          <w:rFonts w:ascii="Verdana" w:hAnsi="Verdana"/>
          <w:sz w:val="22"/>
          <w:szCs w:val="22"/>
        </w:rPr>
        <w:t xml:space="preserve"> that led us to treat the RAB estimates with scepticism. </w:t>
      </w:r>
      <w:r w:rsidR="005932FB" w:rsidRPr="00114032">
        <w:rPr>
          <w:rFonts w:ascii="Verdana" w:hAnsi="Verdana"/>
          <w:sz w:val="22"/>
          <w:szCs w:val="22"/>
        </w:rPr>
        <w:t>There are some findings to support o</w:t>
      </w:r>
      <w:r w:rsidR="00096709" w:rsidRPr="00114032">
        <w:rPr>
          <w:rFonts w:ascii="Verdana" w:hAnsi="Verdana"/>
          <w:sz w:val="22"/>
          <w:szCs w:val="22"/>
        </w:rPr>
        <w:t>ur view that the</w:t>
      </w:r>
      <w:r w:rsidR="00561473" w:rsidRPr="00114032">
        <w:rPr>
          <w:rFonts w:ascii="Verdana" w:hAnsi="Verdana"/>
          <w:sz w:val="22"/>
          <w:szCs w:val="22"/>
        </w:rPr>
        <w:t xml:space="preserve"> RAB estimates </w:t>
      </w:r>
      <w:r w:rsidR="00096709" w:rsidRPr="00114032">
        <w:rPr>
          <w:rFonts w:ascii="Verdana" w:hAnsi="Verdana"/>
          <w:sz w:val="22"/>
          <w:szCs w:val="22"/>
        </w:rPr>
        <w:t>are likely to be optimistic</w:t>
      </w:r>
      <w:r w:rsidR="00896F3B" w:rsidRPr="00114032">
        <w:rPr>
          <w:rFonts w:ascii="Verdana" w:hAnsi="Verdana"/>
          <w:sz w:val="22"/>
          <w:szCs w:val="22"/>
        </w:rPr>
        <w:t xml:space="preserve">, but, still, it is </w:t>
      </w:r>
      <w:r w:rsidR="00096709" w:rsidRPr="00114032">
        <w:rPr>
          <w:rFonts w:ascii="Verdana" w:hAnsi="Verdana"/>
          <w:sz w:val="22"/>
          <w:szCs w:val="22"/>
        </w:rPr>
        <w:t xml:space="preserve">based on </w:t>
      </w:r>
      <w:r w:rsidR="00896F3B" w:rsidRPr="00114032">
        <w:rPr>
          <w:rFonts w:ascii="Verdana" w:hAnsi="Verdana"/>
          <w:sz w:val="22"/>
          <w:szCs w:val="22"/>
        </w:rPr>
        <w:t xml:space="preserve">judgement more than evidence. </w:t>
      </w:r>
      <w:r w:rsidR="00344B11" w:rsidRPr="00114032">
        <w:rPr>
          <w:rFonts w:ascii="Verdana" w:hAnsi="Verdana"/>
          <w:sz w:val="22"/>
          <w:szCs w:val="22"/>
        </w:rPr>
        <w:t>In particular the</w:t>
      </w:r>
      <w:r w:rsidR="00577F00" w:rsidRPr="00114032">
        <w:rPr>
          <w:rFonts w:ascii="Verdana" w:hAnsi="Verdana"/>
          <w:sz w:val="22"/>
          <w:szCs w:val="22"/>
        </w:rPr>
        <w:t xml:space="preserve"> assumption that students entering higher education in 2012 will </w:t>
      </w:r>
      <w:r w:rsidR="007F37EE" w:rsidRPr="00114032">
        <w:rPr>
          <w:rFonts w:ascii="Verdana" w:hAnsi="Verdana"/>
          <w:sz w:val="22"/>
          <w:szCs w:val="22"/>
        </w:rPr>
        <w:t xml:space="preserve">on average </w:t>
      </w:r>
      <w:r w:rsidR="00577F00" w:rsidRPr="00114032">
        <w:rPr>
          <w:rFonts w:ascii="Verdana" w:hAnsi="Verdana"/>
          <w:sz w:val="22"/>
          <w:szCs w:val="22"/>
        </w:rPr>
        <w:t xml:space="preserve">enjoy the growth in earnings </w:t>
      </w:r>
      <w:r w:rsidR="007F37EE" w:rsidRPr="00114032">
        <w:rPr>
          <w:rFonts w:ascii="Verdana" w:hAnsi="Verdana"/>
          <w:sz w:val="22"/>
          <w:szCs w:val="22"/>
        </w:rPr>
        <w:t>over their working lifetime that is assumed in</w:t>
      </w:r>
      <w:r w:rsidR="00FF4F70">
        <w:rPr>
          <w:rFonts w:ascii="Verdana" w:hAnsi="Verdana"/>
          <w:sz w:val="22"/>
          <w:szCs w:val="22"/>
        </w:rPr>
        <w:t xml:space="preserve"> </w:t>
      </w:r>
      <w:r w:rsidR="007F37EE" w:rsidRPr="00114032">
        <w:rPr>
          <w:rFonts w:ascii="Verdana" w:hAnsi="Verdana"/>
          <w:sz w:val="22"/>
          <w:szCs w:val="22"/>
        </w:rPr>
        <w:t>the BIS model, and the further assumption that the dispersion of for</w:t>
      </w:r>
      <w:r w:rsidR="00296EE0" w:rsidRPr="00114032">
        <w:rPr>
          <w:rFonts w:ascii="Verdana" w:hAnsi="Verdana"/>
          <w:sz w:val="22"/>
          <w:szCs w:val="22"/>
        </w:rPr>
        <w:t>mer</w:t>
      </w:r>
      <w:r w:rsidR="007F37EE" w:rsidRPr="00114032">
        <w:rPr>
          <w:rFonts w:ascii="Verdana" w:hAnsi="Verdana"/>
          <w:sz w:val="22"/>
          <w:szCs w:val="22"/>
        </w:rPr>
        <w:t xml:space="preserve"> students</w:t>
      </w:r>
      <w:r w:rsidR="00FF4F70">
        <w:rPr>
          <w:rFonts w:ascii="Verdana" w:hAnsi="Verdana"/>
          <w:sz w:val="22"/>
          <w:szCs w:val="22"/>
        </w:rPr>
        <w:t>’</w:t>
      </w:r>
      <w:r w:rsidR="007F37EE" w:rsidRPr="00114032">
        <w:rPr>
          <w:rFonts w:ascii="Verdana" w:hAnsi="Verdana"/>
          <w:sz w:val="22"/>
          <w:szCs w:val="22"/>
        </w:rPr>
        <w:t xml:space="preserve"> earnings will remain unchanged, seems to us to be </w:t>
      </w:r>
      <w:r w:rsidR="00114032" w:rsidRPr="00114032">
        <w:rPr>
          <w:rFonts w:ascii="Verdana" w:hAnsi="Verdana"/>
          <w:sz w:val="22"/>
          <w:szCs w:val="22"/>
        </w:rPr>
        <w:t>unwarranted.  L</w:t>
      </w:r>
      <w:r w:rsidR="007F37EE" w:rsidRPr="00114032">
        <w:rPr>
          <w:rFonts w:ascii="Verdana" w:hAnsi="Verdana"/>
          <w:sz w:val="22"/>
          <w:szCs w:val="22"/>
        </w:rPr>
        <w:t xml:space="preserve">ower average growth and higher dispersion are more likely, </w:t>
      </w:r>
      <w:r w:rsidR="00114032" w:rsidRPr="00114032">
        <w:rPr>
          <w:rFonts w:ascii="Verdana" w:hAnsi="Verdana"/>
          <w:sz w:val="22"/>
          <w:szCs w:val="22"/>
        </w:rPr>
        <w:t>with the consequence of a higher RAB charge than has been estimated by Government.</w:t>
      </w:r>
    </w:p>
    <w:p w:rsidR="006639CB" w:rsidRPr="00114032" w:rsidRDefault="006639CB" w:rsidP="00114032">
      <w:pPr>
        <w:pStyle w:val="ListParagraph"/>
        <w:spacing w:after="240" w:line="240" w:lineRule="auto"/>
        <w:ind w:left="0"/>
        <w:rPr>
          <w:rFonts w:ascii="Verdana" w:hAnsi="Verdana"/>
          <w:b/>
          <w:sz w:val="24"/>
          <w:szCs w:val="24"/>
        </w:rPr>
      </w:pPr>
      <w:r w:rsidRPr="00114032">
        <w:rPr>
          <w:rFonts w:ascii="Verdana" w:hAnsi="Verdana"/>
          <w:b/>
          <w:sz w:val="24"/>
          <w:szCs w:val="24"/>
        </w:rPr>
        <w:t>References</w:t>
      </w:r>
    </w:p>
    <w:p w:rsidR="00561473" w:rsidRPr="00114032" w:rsidRDefault="006639CB" w:rsidP="0087480E">
      <w:pPr>
        <w:pStyle w:val="ListParagraph"/>
        <w:numPr>
          <w:ilvl w:val="0"/>
          <w:numId w:val="1"/>
        </w:numPr>
        <w:spacing w:after="240"/>
        <w:rPr>
          <w:rFonts w:ascii="Verdana" w:hAnsi="Verdana"/>
          <w:sz w:val="22"/>
          <w:szCs w:val="22"/>
        </w:rPr>
      </w:pPr>
      <w:r w:rsidRPr="00114032">
        <w:rPr>
          <w:rFonts w:ascii="Verdana" w:hAnsi="Verdana"/>
          <w:sz w:val="22"/>
          <w:szCs w:val="22"/>
        </w:rPr>
        <w:t xml:space="preserve">References cited here listed after the </w:t>
      </w:r>
      <w:r w:rsidR="00882CF1" w:rsidRPr="00114032">
        <w:rPr>
          <w:rFonts w:ascii="Verdana" w:hAnsi="Verdana"/>
          <w:sz w:val="22"/>
          <w:szCs w:val="22"/>
        </w:rPr>
        <w:t>m</w:t>
      </w:r>
      <w:r w:rsidRPr="00114032">
        <w:rPr>
          <w:rFonts w:ascii="Verdana" w:hAnsi="Verdana"/>
          <w:sz w:val="22"/>
          <w:szCs w:val="22"/>
        </w:rPr>
        <w:t xml:space="preserve">ain section of the report </w:t>
      </w:r>
      <w:r w:rsidR="00896F3B" w:rsidRPr="00114032">
        <w:rPr>
          <w:rFonts w:ascii="Verdana" w:hAnsi="Verdana"/>
          <w:sz w:val="22"/>
          <w:szCs w:val="22"/>
        </w:rPr>
        <w:t xml:space="preserve"> </w:t>
      </w:r>
    </w:p>
    <w:p w:rsidR="006639CB" w:rsidRDefault="006639CB" w:rsidP="004C7624">
      <w:pPr>
        <w:rPr>
          <w:rFonts w:ascii="Verdana" w:hAnsi="Verdana"/>
          <w:sz w:val="22"/>
          <w:szCs w:val="22"/>
        </w:rPr>
      </w:pPr>
    </w:p>
    <w:p w:rsidR="006639CB" w:rsidRDefault="006639CB" w:rsidP="004C7624">
      <w:pPr>
        <w:rPr>
          <w:rFonts w:ascii="Verdana" w:hAnsi="Verdana"/>
          <w:sz w:val="22"/>
          <w:szCs w:val="22"/>
        </w:rPr>
      </w:pPr>
    </w:p>
    <w:p w:rsidR="006639CB" w:rsidRDefault="006639CB" w:rsidP="004C7624">
      <w:pPr>
        <w:rPr>
          <w:rFonts w:ascii="Verdana" w:hAnsi="Verdana"/>
          <w:sz w:val="22"/>
          <w:szCs w:val="22"/>
        </w:rPr>
      </w:pPr>
    </w:p>
    <w:sectPr w:rsidR="006639CB" w:rsidSect="007C1650">
      <w:pgSz w:w="11906" w:h="16838"/>
      <w:pgMar w:top="1440" w:right="1800" w:bottom="1440" w:left="1800" w:header="720" w:footer="720" w:gutter="0"/>
      <w:paperSrc w:first="264" w:other="264"/>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C4B" w:rsidRDefault="00A47C4B" w:rsidP="00A16F1D">
      <w:pPr>
        <w:spacing w:line="240" w:lineRule="auto"/>
      </w:pPr>
      <w:r>
        <w:separator/>
      </w:r>
    </w:p>
  </w:endnote>
  <w:endnote w:type="continuationSeparator" w:id="0">
    <w:p w:rsidR="00A47C4B" w:rsidRDefault="00A47C4B" w:rsidP="00A16F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C4B" w:rsidRDefault="00A47C4B" w:rsidP="00A16F1D">
      <w:pPr>
        <w:spacing w:line="240" w:lineRule="auto"/>
      </w:pPr>
      <w:r>
        <w:separator/>
      </w:r>
    </w:p>
  </w:footnote>
  <w:footnote w:type="continuationSeparator" w:id="0">
    <w:p w:rsidR="00A47C4B" w:rsidRDefault="00A47C4B" w:rsidP="00A16F1D">
      <w:pPr>
        <w:spacing w:line="240" w:lineRule="auto"/>
      </w:pPr>
      <w:r>
        <w:continuationSeparator/>
      </w:r>
    </w:p>
  </w:footnote>
  <w:footnote w:id="1">
    <w:p w:rsidR="00344B11" w:rsidRDefault="00344B11">
      <w:pPr>
        <w:pStyle w:val="FootnoteText"/>
      </w:pPr>
      <w:r>
        <w:rPr>
          <w:rStyle w:val="FootnoteReference"/>
        </w:rPr>
        <w:footnoteRef/>
      </w:r>
      <w:r>
        <w:t xml:space="preserve"> </w:t>
      </w:r>
      <w:r w:rsidR="003D7BA8">
        <w:t xml:space="preserve">The overall figure assumes 55 per cent females, following the BIS default assumption, </w:t>
      </w:r>
      <w:proofErr w:type="gramStart"/>
      <w:r w:rsidR="003D7BA8">
        <w:t>though</w:t>
      </w:r>
      <w:proofErr w:type="gramEnd"/>
      <w:r w:rsidR="003D7BA8">
        <w:t xml:space="preserve"> based on the numbers of students this does not take into account the differences in completion rates for men and women. If we take a value of 58.3 per cent females (Thompson et al</w:t>
      </w:r>
      <w:proofErr w:type="gramStart"/>
      <w:r w:rsidR="003D7BA8">
        <w:t>,,</w:t>
      </w:r>
      <w:proofErr w:type="gramEnd"/>
      <w:r w:rsidR="003D7BA8">
        <w:t xml:space="preserve"> 2010), then the overall RAB value would increase by about 0.9 percentage point. </w:t>
      </w:r>
    </w:p>
  </w:footnote>
  <w:footnote w:id="2">
    <w:p w:rsidR="00344B11" w:rsidRDefault="00344B11">
      <w:pPr>
        <w:pStyle w:val="FootnoteText"/>
      </w:pPr>
      <w:r>
        <w:rPr>
          <w:rStyle w:val="FootnoteReference"/>
        </w:rPr>
        <w:footnoteRef/>
      </w:r>
      <w:r>
        <w:t xml:space="preserve"> This was how the real average earnings growth was described in the Ready Reckoner documentation, though the calculation was consistent with a value of 1.95 per cent pa. See HEPI, 2010.</w:t>
      </w:r>
    </w:p>
  </w:footnote>
  <w:footnote w:id="3">
    <w:p w:rsidR="00344B11" w:rsidRDefault="00344B11">
      <w:pPr>
        <w:pStyle w:val="FootnoteText"/>
      </w:pPr>
      <w:r>
        <w:rPr>
          <w:rStyle w:val="FootnoteReference"/>
        </w:rPr>
        <w:footnoteRef/>
      </w:r>
      <w:r>
        <w:t xml:space="preserve"> </w:t>
      </w:r>
      <w:r w:rsidR="00143318" w:rsidRPr="00651F5C">
        <w:rPr>
          <w:rFonts w:ascii="Verdana" w:hAnsi="Verdana"/>
          <w:sz w:val="22"/>
          <w:szCs w:val="22"/>
        </w:rPr>
        <w:t xml:space="preserve"> </w:t>
      </w:r>
      <w:r w:rsidR="00143318" w:rsidRPr="00143318">
        <w:rPr>
          <w:rFonts w:cs="Arial"/>
        </w:rPr>
        <w:t xml:space="preserve">OBR, 2012b, page 64, table 3.5. </w:t>
      </w:r>
      <w:r w:rsidR="000667B1" w:rsidRPr="00143318">
        <w:rPr>
          <w:rFonts w:cs="Arial"/>
        </w:rPr>
        <w:t>OBR</w:t>
      </w:r>
      <w:r w:rsidR="000667B1">
        <w:t xml:space="preserve"> publish an assumed c</w:t>
      </w:r>
      <w:r>
        <w:t xml:space="preserve">ash increase in earnings = 4.75 per cent pa, </w:t>
      </w:r>
      <w:r w:rsidR="000667B1">
        <w:t xml:space="preserve">and an </w:t>
      </w:r>
      <w:r>
        <w:t>RPI = 3.40 per cent pa</w:t>
      </w:r>
      <w:r w:rsidR="000667B1">
        <w:t>. This</w:t>
      </w:r>
      <w:r>
        <w:t xml:space="preserve"> implies real increase in earnings of 1.31 per cent pa</w:t>
      </w:r>
      <w:r w:rsidR="000667B1">
        <w:t xml:space="preserve"> if we use the RPI as our deflator</w:t>
      </w:r>
      <w:r>
        <w:t>. NB the</w:t>
      </w:r>
      <w:r w:rsidR="007D312F">
        <w:t xml:space="preserve"> cash increase in earnings was </w:t>
      </w:r>
      <w:r>
        <w:t xml:space="preserve">derived from an assumption </w:t>
      </w:r>
      <w:r w:rsidRPr="00C96D92">
        <w:t xml:space="preserve">labour productivity and </w:t>
      </w:r>
      <w:r>
        <w:t>‘</w:t>
      </w:r>
      <w:r w:rsidRPr="00C96D92">
        <w:t>GDP deflator</w:t>
      </w:r>
      <w:r>
        <w:t xml:space="preserve">’ (2.50 per cent pa). The RPI is used to set interest rates and was also used to allow for inflation in relating the cash and the real earnings growth assumptions in the Ready Reckoner model. </w:t>
      </w:r>
    </w:p>
  </w:footnote>
  <w:footnote w:id="4">
    <w:p w:rsidR="00344B11" w:rsidRDefault="00344B11">
      <w:pPr>
        <w:pStyle w:val="FootnoteText"/>
      </w:pPr>
      <w:r>
        <w:rPr>
          <w:rStyle w:val="FootnoteReference"/>
        </w:rPr>
        <w:footnoteRef/>
      </w:r>
      <w:r>
        <w:t xml:space="preserve"> These are similar to those published by the OBR in their March statement (OBR 2012a</w:t>
      </w:r>
      <w:r w:rsidR="007D312F">
        <w:t xml:space="preserve">, </w:t>
      </w:r>
      <w:r w:rsidR="007D312F" w:rsidRPr="007D312F">
        <w:t>Economic and fiscal outl</w:t>
      </w:r>
      <w:r w:rsidR="007D312F">
        <w:t>ook supplementary fiscal tables</w:t>
      </w:r>
      <w:r w:rsidR="007D312F" w:rsidRPr="007D312F">
        <w:t>, tables 1.4 and 1.5</w:t>
      </w:r>
      <w:r w:rsidR="007D312F">
        <w:t>)</w:t>
      </w:r>
      <w:r w:rsidR="007D312F" w:rsidRPr="007D312F">
        <w:t>. NB the column headings in the model are one year later than those in the OBR tables, so the '2012' column to represent inflation during the 2012-13 year and so the 2012 column contains the 2013Q1 OBR projection.</w:t>
      </w:r>
      <w:r>
        <w:t>)</w:t>
      </w:r>
      <w:r w:rsidR="007D312F">
        <w:t>. B</w:t>
      </w:r>
      <w:r>
        <w:t xml:space="preserve">IS received revised figures, including for 2017, to more decimal places, directly from OBR. </w:t>
      </w:r>
    </w:p>
  </w:footnote>
  <w:footnote w:id="5">
    <w:p w:rsidR="004074BC" w:rsidRDefault="004074BC">
      <w:pPr>
        <w:pStyle w:val="FootnoteText"/>
      </w:pPr>
      <w:r>
        <w:rPr>
          <w:rStyle w:val="FootnoteReference"/>
        </w:rPr>
        <w:footnoteRef/>
      </w:r>
      <w:r>
        <w:t xml:space="preserve"> We carried out a RAB estimate using best fit quadratic curve values with the simplified model. There was no material change to the RAB estimate. </w:t>
      </w:r>
    </w:p>
  </w:footnote>
  <w:footnote w:id="6">
    <w:p w:rsidR="00F01CEB" w:rsidRDefault="00F01CEB" w:rsidP="00882EB8">
      <w:pPr>
        <w:pStyle w:val="FootnoteText"/>
      </w:pPr>
      <w:r>
        <w:rPr>
          <w:rStyle w:val="FootnoteReference"/>
        </w:rPr>
        <w:footnoteRef/>
      </w:r>
      <w:r>
        <w:t xml:space="preserve"> The </w:t>
      </w:r>
      <w:r w:rsidRPr="00F01CEB">
        <w:t>Minister of State for Universities and Science</w:t>
      </w:r>
      <w:r>
        <w:t xml:space="preserve">, David </w:t>
      </w:r>
      <w:proofErr w:type="spellStart"/>
      <w:r>
        <w:t>Willetts</w:t>
      </w:r>
      <w:proofErr w:type="spellEnd"/>
      <w:r w:rsidR="00882EB8">
        <w:t xml:space="preserve"> (</w:t>
      </w:r>
      <w:proofErr w:type="spellStart"/>
      <w:r w:rsidR="00882EB8">
        <w:t>Willetts</w:t>
      </w:r>
      <w:proofErr w:type="spellEnd"/>
      <w:r w:rsidR="006D2647">
        <w:t>,</w:t>
      </w:r>
      <w:r w:rsidR="00882EB8">
        <w:t xml:space="preserve"> 2011) </w:t>
      </w:r>
      <w:r>
        <w:t xml:space="preserve">cited a report by </w:t>
      </w:r>
      <w:r w:rsidR="00882EB8">
        <w:rPr>
          <w:rFonts w:ascii="ArialMT" w:eastAsiaTheme="minorHAnsi" w:hAnsi="ArialMT" w:cs="ArialMT"/>
          <w:lang w:eastAsia="en-US"/>
        </w:rPr>
        <w:t>PricewaterhouseCoopers (</w:t>
      </w:r>
      <w:r w:rsidR="002B3983">
        <w:rPr>
          <w:rFonts w:ascii="ArialMT" w:eastAsiaTheme="minorHAnsi" w:hAnsi="ArialMT" w:cs="ArialMT"/>
          <w:lang w:eastAsia="en-US"/>
        </w:rPr>
        <w:t xml:space="preserve">this was confirmed </w:t>
      </w:r>
      <w:r w:rsidR="00882EB8">
        <w:rPr>
          <w:rFonts w:ascii="ArialMT" w:eastAsiaTheme="minorHAnsi" w:hAnsi="ArialMT" w:cs="ArialMT"/>
          <w:lang w:eastAsia="en-US"/>
        </w:rPr>
        <w:t>to be PWC, 2007) to support his claim that ‘</w:t>
      </w:r>
      <w:r w:rsidR="00882EB8" w:rsidRPr="00882EB8">
        <w:rPr>
          <w:rFonts w:ascii="ArialMT" w:eastAsiaTheme="minorHAnsi" w:hAnsi="ArialMT" w:cs="ArialMT"/>
          <w:lang w:eastAsia="en-US"/>
        </w:rPr>
        <w:t xml:space="preserve">it </w:t>
      </w:r>
      <w:r w:rsidR="00882EB8">
        <w:rPr>
          <w:rFonts w:ascii="ArialMT" w:eastAsiaTheme="minorHAnsi" w:hAnsi="ArialMT" w:cs="ArialMT"/>
          <w:lang w:eastAsia="en-US"/>
        </w:rPr>
        <w:t xml:space="preserve">[the graduate premium] </w:t>
      </w:r>
      <w:r w:rsidR="00882EB8" w:rsidRPr="00882EB8">
        <w:rPr>
          <w:rFonts w:ascii="ArialMT" w:eastAsiaTheme="minorHAnsi" w:hAnsi="ArialMT" w:cs="ArialMT"/>
          <w:lang w:eastAsia="en-US"/>
        </w:rPr>
        <w:t xml:space="preserve">has held </w:t>
      </w:r>
      <w:r w:rsidR="00882EB8">
        <w:rPr>
          <w:rFonts w:ascii="ArialMT" w:eastAsiaTheme="minorHAnsi" w:hAnsi="ArialMT" w:cs="ArialMT"/>
          <w:lang w:eastAsia="en-US"/>
        </w:rPr>
        <w:t>up well over the past few years</w:t>
      </w:r>
      <w:r>
        <w:t>.</w:t>
      </w:r>
      <w:r w:rsidR="00882EB8">
        <w:t>’ The PWC report claims that two studies demonstrate that ‘there has been no erosion of the graduate earnings premium since the mass expansion of higher education’.</w:t>
      </w:r>
      <w:r>
        <w:t xml:space="preserve"> </w:t>
      </w:r>
      <w:r w:rsidR="00882EB8">
        <w:t>The first of these studies (</w:t>
      </w:r>
      <w:proofErr w:type="spellStart"/>
      <w:r w:rsidR="006D2647">
        <w:t>Dearden</w:t>
      </w:r>
      <w:proofErr w:type="spellEnd"/>
      <w:r w:rsidR="006D2647">
        <w:t xml:space="preserve"> et al, 200</w:t>
      </w:r>
      <w:r w:rsidR="00B87D9E">
        <w:t>4</w:t>
      </w:r>
      <w:r w:rsidR="006D2647">
        <w:t>) was based on a cohort aged 18 in 1988, the second (</w:t>
      </w:r>
      <w:r w:rsidR="006D2647">
        <w:rPr>
          <w:rFonts w:ascii="ArialMT" w:eastAsiaTheme="minorHAnsi" w:hAnsi="ArialMT" w:cs="ArialMT"/>
          <w:lang w:eastAsia="en-US"/>
        </w:rPr>
        <w:t xml:space="preserve">McIntosh, 2004) combined different cohorts, the youngest of which were aged 18 in 1988 or 1989. Both studies there refer to cohorts </w:t>
      </w:r>
      <w:r w:rsidR="00B87D9E">
        <w:rPr>
          <w:rFonts w:ascii="ArialMT" w:eastAsiaTheme="minorHAnsi" w:hAnsi="ArialMT" w:cs="ArialMT"/>
          <w:lang w:eastAsia="en-US"/>
        </w:rPr>
        <w:t xml:space="preserve">most of whom entered </w:t>
      </w:r>
      <w:r w:rsidR="00F175C8">
        <w:rPr>
          <w:rFonts w:ascii="ArialMT" w:eastAsiaTheme="minorHAnsi" w:hAnsi="ArialMT" w:cs="ArialMT"/>
          <w:lang w:eastAsia="en-US"/>
        </w:rPr>
        <w:t>higher education</w:t>
      </w:r>
      <w:r w:rsidR="00B87D9E">
        <w:rPr>
          <w:rFonts w:ascii="ArialMT" w:eastAsiaTheme="minorHAnsi" w:hAnsi="ArialMT" w:cs="ArialMT"/>
          <w:lang w:eastAsia="en-US"/>
        </w:rPr>
        <w:t xml:space="preserve"> </w:t>
      </w:r>
      <w:r w:rsidR="006D2647">
        <w:rPr>
          <w:rFonts w:ascii="ArialMT" w:eastAsiaTheme="minorHAnsi" w:hAnsi="ArialMT" w:cs="ArialMT"/>
          <w:lang w:eastAsia="en-US"/>
        </w:rPr>
        <w:t>before the rapid expansion took place</w:t>
      </w:r>
      <w:r w:rsidR="00B87D9E">
        <w:rPr>
          <w:rFonts w:ascii="ArialMT" w:eastAsiaTheme="minorHAnsi" w:hAnsi="ArialMT" w:cs="ArialMT"/>
          <w:lang w:eastAsia="en-US"/>
        </w:rPr>
        <w:t>, or at least was completed</w:t>
      </w:r>
      <w:r w:rsidR="006D2647">
        <w:rPr>
          <w:rFonts w:ascii="ArialMT" w:eastAsiaTheme="minorHAnsi" w:hAnsi="ArialMT" w:cs="ArialMT"/>
          <w:lang w:eastAsia="en-US"/>
        </w:rPr>
        <w:t>.</w:t>
      </w:r>
    </w:p>
  </w:footnote>
  <w:footnote w:id="7">
    <w:p w:rsidR="00B7244B" w:rsidRDefault="00B7244B">
      <w:pPr>
        <w:pStyle w:val="FootnoteText"/>
      </w:pPr>
      <w:r>
        <w:rPr>
          <w:rStyle w:val="FootnoteReference"/>
        </w:rPr>
        <w:footnoteRef/>
      </w:r>
      <w:r>
        <w:t xml:space="preserve"> See Green et al, 2010, and references therein and also O’Leary et al, 2011.</w:t>
      </w:r>
      <w:r w:rsidR="00B1263B">
        <w:t xml:space="preserve"> Much of the literature is concerned to try and isolate the impact of higher education from other factors, to make a ‘like for like’ comparison between those with and without higher education qualifications. But for an assessment of the impact on the RAB, these issues do not concern us. All that matters are the earnings of those who have taken out loans, both absolutely, and relative to average earnings.</w:t>
      </w:r>
    </w:p>
  </w:footnote>
  <w:footnote w:id="8">
    <w:p w:rsidR="00344B11" w:rsidRDefault="00344B11">
      <w:pPr>
        <w:pStyle w:val="FootnoteText"/>
      </w:pPr>
      <w:r>
        <w:rPr>
          <w:rStyle w:val="FootnoteReference"/>
        </w:rPr>
        <w:footnoteRef/>
      </w:r>
      <w:r>
        <w:t xml:space="preserve"> “The independent Institute for Fiscal Studies, however, following a more sophisticated methodology, estimates the resource accounting and budgeting (RAB) charge to be around 30 per cent” </w:t>
      </w:r>
      <w:r w:rsidRPr="00C13FE7">
        <w:t xml:space="preserve"> Minister for Universities and Science, David </w:t>
      </w:r>
      <w:proofErr w:type="spellStart"/>
      <w:r w:rsidRPr="00C13FE7">
        <w:t>Willetts</w:t>
      </w:r>
      <w:proofErr w:type="spellEnd"/>
      <w:r>
        <w:t>, (</w:t>
      </w:r>
      <w:proofErr w:type="spellStart"/>
      <w:r>
        <w:t>Willetts</w:t>
      </w:r>
      <w:proofErr w:type="spellEnd"/>
      <w:r>
        <w:t>, 2012).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F5B5D"/>
    <w:multiLevelType w:val="hybridMultilevel"/>
    <w:tmpl w:val="AAB6A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193E2E"/>
    <w:multiLevelType w:val="multilevel"/>
    <w:tmpl w:val="A2F8A04C"/>
    <w:name w:val="HEFCE4"/>
    <w:lvl w:ilvl="0">
      <w:start w:val="1"/>
      <w:numFmt w:val="decimal"/>
      <w:lvlRestart w:val="0"/>
      <w:lvlText w:val="%1."/>
      <w:lvlJc w:val="left"/>
      <w:pPr>
        <w:tabs>
          <w:tab w:val="num" w:pos="567"/>
        </w:tabs>
        <w:ind w:left="0" w:firstLine="0"/>
      </w:pPr>
      <w:rPr>
        <w:sz w:val="22"/>
        <w:szCs w:val="22"/>
      </w:r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decimal"/>
      <w:lvlText w:val="%4)"/>
      <w:lvlJc w:val="left"/>
      <w:pPr>
        <w:tabs>
          <w:tab w:val="num" w:pos="2268"/>
        </w:tabs>
        <w:ind w:left="1701" w:firstLine="0"/>
      </w:pPr>
    </w:lvl>
    <w:lvl w:ilvl="4">
      <w:start w:val="1"/>
      <w:numFmt w:val="lowerLetter"/>
      <w:lvlText w:val="%5)"/>
      <w:lvlJc w:val="left"/>
      <w:pPr>
        <w:tabs>
          <w:tab w:val="num" w:pos="2835"/>
        </w:tabs>
        <w:ind w:left="2268" w:firstLine="0"/>
      </w:pPr>
    </w:lvl>
    <w:lvl w:ilvl="5">
      <w:start w:val="1"/>
      <w:numFmt w:val="lowerRoman"/>
      <w:lvlText w:val="%6)"/>
      <w:lvlJc w:val="left"/>
      <w:pPr>
        <w:tabs>
          <w:tab w:val="num" w:pos="3402"/>
        </w:tabs>
        <w:ind w:left="2835" w:firstLine="0"/>
      </w:pPr>
    </w:lvl>
    <w:lvl w:ilvl="6">
      <w:start w:val="1"/>
      <w:numFmt w:val="decimal"/>
      <w:lvlText w:val="(%7)"/>
      <w:lvlJc w:val="left"/>
      <w:pPr>
        <w:tabs>
          <w:tab w:val="num" w:pos="3969"/>
        </w:tabs>
        <w:ind w:left="3402" w:firstLine="0"/>
      </w:pPr>
    </w:lvl>
    <w:lvl w:ilvl="7">
      <w:start w:val="1"/>
      <w:numFmt w:val="lowerLetter"/>
      <w:lvlText w:val="(%8)"/>
      <w:lvlJc w:val="left"/>
      <w:pPr>
        <w:tabs>
          <w:tab w:val="num" w:pos="4535"/>
        </w:tabs>
        <w:ind w:left="3969" w:firstLine="0"/>
      </w:pPr>
    </w:lvl>
    <w:lvl w:ilvl="8">
      <w:start w:val="1"/>
      <w:numFmt w:val="lowerRoman"/>
      <w:lvlText w:val="(%9)"/>
      <w:lvlJc w:val="left"/>
      <w:pPr>
        <w:tabs>
          <w:tab w:val="num" w:pos="5102"/>
        </w:tabs>
        <w:ind w:left="4535" w:firstLine="0"/>
      </w:pPr>
    </w:lvl>
  </w:abstractNum>
  <w:abstractNum w:abstractNumId="2">
    <w:nsid w:val="3EE936A4"/>
    <w:multiLevelType w:val="hybridMultilevel"/>
    <w:tmpl w:val="D02EEBD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03F01A0"/>
    <w:multiLevelType w:val="multilevel"/>
    <w:tmpl w:val="23B88BB0"/>
    <w:name w:val="HEFCE42"/>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decimal"/>
      <w:lvlText w:val="%4)"/>
      <w:lvlJc w:val="left"/>
      <w:pPr>
        <w:tabs>
          <w:tab w:val="num" w:pos="2268"/>
        </w:tabs>
        <w:ind w:left="1701" w:firstLine="0"/>
      </w:pPr>
      <w:rPr>
        <w:rFonts w:hint="default"/>
      </w:rPr>
    </w:lvl>
    <w:lvl w:ilvl="4">
      <w:start w:val="1"/>
      <w:numFmt w:val="lowerLetter"/>
      <w:lvlText w:val="%5)"/>
      <w:lvlJc w:val="left"/>
      <w:pPr>
        <w:tabs>
          <w:tab w:val="num" w:pos="2835"/>
        </w:tabs>
        <w:ind w:left="2268" w:firstLine="0"/>
      </w:pPr>
      <w:rPr>
        <w:rFonts w:hint="default"/>
      </w:rPr>
    </w:lvl>
    <w:lvl w:ilvl="5">
      <w:start w:val="1"/>
      <w:numFmt w:val="lowerRoman"/>
      <w:lvlText w:val="%6)"/>
      <w:lvlJc w:val="left"/>
      <w:pPr>
        <w:tabs>
          <w:tab w:val="num" w:pos="3402"/>
        </w:tabs>
        <w:ind w:left="2835" w:firstLine="0"/>
      </w:pPr>
      <w:rPr>
        <w:rFonts w:hint="default"/>
      </w:rPr>
    </w:lvl>
    <w:lvl w:ilvl="6">
      <w:start w:val="1"/>
      <w:numFmt w:val="decimal"/>
      <w:lvlText w:val="(%7)"/>
      <w:lvlJc w:val="left"/>
      <w:pPr>
        <w:tabs>
          <w:tab w:val="num" w:pos="3969"/>
        </w:tabs>
        <w:ind w:left="3402" w:firstLine="0"/>
      </w:pPr>
      <w:rPr>
        <w:rFonts w:hint="default"/>
      </w:rPr>
    </w:lvl>
    <w:lvl w:ilvl="7">
      <w:start w:val="1"/>
      <w:numFmt w:val="lowerLetter"/>
      <w:lvlText w:val="(%8)"/>
      <w:lvlJc w:val="left"/>
      <w:pPr>
        <w:tabs>
          <w:tab w:val="num" w:pos="4535"/>
        </w:tabs>
        <w:ind w:left="3969" w:firstLine="0"/>
      </w:pPr>
      <w:rPr>
        <w:rFonts w:hint="default"/>
      </w:rPr>
    </w:lvl>
    <w:lvl w:ilvl="8">
      <w:start w:val="1"/>
      <w:numFmt w:val="lowerRoman"/>
      <w:lvlText w:val="(%9)"/>
      <w:lvlJc w:val="left"/>
      <w:pPr>
        <w:tabs>
          <w:tab w:val="num" w:pos="5102"/>
        </w:tabs>
        <w:ind w:left="4535" w:firstLine="0"/>
      </w:pPr>
      <w:rPr>
        <w:rFonts w:hint="default"/>
      </w:rPr>
    </w:lvl>
  </w:abstractNum>
  <w:abstractNum w:abstractNumId="4">
    <w:nsid w:val="7BE432FD"/>
    <w:multiLevelType w:val="hybridMultilevel"/>
    <w:tmpl w:val="9C828DA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17D6A"/>
    <w:rsid w:val="00005368"/>
    <w:rsid w:val="00012EE8"/>
    <w:rsid w:val="000278B3"/>
    <w:rsid w:val="00027C87"/>
    <w:rsid w:val="00031129"/>
    <w:rsid w:val="00034FB5"/>
    <w:rsid w:val="0005291E"/>
    <w:rsid w:val="00054556"/>
    <w:rsid w:val="00056BEF"/>
    <w:rsid w:val="00057501"/>
    <w:rsid w:val="00060536"/>
    <w:rsid w:val="00065570"/>
    <w:rsid w:val="000667B1"/>
    <w:rsid w:val="00081E5E"/>
    <w:rsid w:val="0009098E"/>
    <w:rsid w:val="00096709"/>
    <w:rsid w:val="000A0127"/>
    <w:rsid w:val="000A5109"/>
    <w:rsid w:val="000B4DCC"/>
    <w:rsid w:val="000B6E91"/>
    <w:rsid w:val="000C03A8"/>
    <w:rsid w:val="000C0672"/>
    <w:rsid w:val="000D0926"/>
    <w:rsid w:val="000D2461"/>
    <w:rsid w:val="000D690E"/>
    <w:rsid w:val="000E19C9"/>
    <w:rsid w:val="000E40AE"/>
    <w:rsid w:val="000E4806"/>
    <w:rsid w:val="000F07FB"/>
    <w:rsid w:val="000F1D46"/>
    <w:rsid w:val="000F7FE4"/>
    <w:rsid w:val="001060EA"/>
    <w:rsid w:val="00112770"/>
    <w:rsid w:val="001134DF"/>
    <w:rsid w:val="00114032"/>
    <w:rsid w:val="00114CA5"/>
    <w:rsid w:val="0011619C"/>
    <w:rsid w:val="00124B2C"/>
    <w:rsid w:val="00126FFF"/>
    <w:rsid w:val="00134E95"/>
    <w:rsid w:val="00143318"/>
    <w:rsid w:val="00144216"/>
    <w:rsid w:val="001465F8"/>
    <w:rsid w:val="00150057"/>
    <w:rsid w:val="00152366"/>
    <w:rsid w:val="001541DB"/>
    <w:rsid w:val="0015667F"/>
    <w:rsid w:val="001656DC"/>
    <w:rsid w:val="00170D53"/>
    <w:rsid w:val="00185005"/>
    <w:rsid w:val="001859FB"/>
    <w:rsid w:val="00187905"/>
    <w:rsid w:val="00191BA7"/>
    <w:rsid w:val="001965FC"/>
    <w:rsid w:val="001A20AB"/>
    <w:rsid w:val="001A71CA"/>
    <w:rsid w:val="001A7496"/>
    <w:rsid w:val="001B4042"/>
    <w:rsid w:val="001B6902"/>
    <w:rsid w:val="001B74C5"/>
    <w:rsid w:val="001B7A6F"/>
    <w:rsid w:val="001C2D09"/>
    <w:rsid w:val="001D5083"/>
    <w:rsid w:val="001D6F44"/>
    <w:rsid w:val="001F08D6"/>
    <w:rsid w:val="001F4F3A"/>
    <w:rsid w:val="00206EBD"/>
    <w:rsid w:val="002106DC"/>
    <w:rsid w:val="0021077B"/>
    <w:rsid w:val="00211C18"/>
    <w:rsid w:val="00214874"/>
    <w:rsid w:val="00222F0A"/>
    <w:rsid w:val="002243C7"/>
    <w:rsid w:val="00226E3B"/>
    <w:rsid w:val="00234F22"/>
    <w:rsid w:val="00243100"/>
    <w:rsid w:val="00246E9D"/>
    <w:rsid w:val="00247EF1"/>
    <w:rsid w:val="002511C5"/>
    <w:rsid w:val="00252EBF"/>
    <w:rsid w:val="00254345"/>
    <w:rsid w:val="00260690"/>
    <w:rsid w:val="00266E44"/>
    <w:rsid w:val="0027004E"/>
    <w:rsid w:val="00274C27"/>
    <w:rsid w:val="00275BBA"/>
    <w:rsid w:val="002805D7"/>
    <w:rsid w:val="00280675"/>
    <w:rsid w:val="002833E6"/>
    <w:rsid w:val="002859D5"/>
    <w:rsid w:val="00292ECC"/>
    <w:rsid w:val="00296EE0"/>
    <w:rsid w:val="002A1F7C"/>
    <w:rsid w:val="002A6453"/>
    <w:rsid w:val="002A6DDB"/>
    <w:rsid w:val="002B2F43"/>
    <w:rsid w:val="002B3983"/>
    <w:rsid w:val="002B7A4C"/>
    <w:rsid w:val="002D12ED"/>
    <w:rsid w:val="002E1603"/>
    <w:rsid w:val="002E28D1"/>
    <w:rsid w:val="002E6E71"/>
    <w:rsid w:val="002F0897"/>
    <w:rsid w:val="002F7A0C"/>
    <w:rsid w:val="00300F72"/>
    <w:rsid w:val="00301E1B"/>
    <w:rsid w:val="00313D9A"/>
    <w:rsid w:val="00316B92"/>
    <w:rsid w:val="00321564"/>
    <w:rsid w:val="0032591A"/>
    <w:rsid w:val="00326C10"/>
    <w:rsid w:val="003306FA"/>
    <w:rsid w:val="00333A2B"/>
    <w:rsid w:val="00344B11"/>
    <w:rsid w:val="00351396"/>
    <w:rsid w:val="003538B9"/>
    <w:rsid w:val="00361FD4"/>
    <w:rsid w:val="003724EF"/>
    <w:rsid w:val="00373903"/>
    <w:rsid w:val="00373FD4"/>
    <w:rsid w:val="00374A11"/>
    <w:rsid w:val="003777BF"/>
    <w:rsid w:val="0038071D"/>
    <w:rsid w:val="00383486"/>
    <w:rsid w:val="00383588"/>
    <w:rsid w:val="00383770"/>
    <w:rsid w:val="003850A3"/>
    <w:rsid w:val="00387D0D"/>
    <w:rsid w:val="00393482"/>
    <w:rsid w:val="003A0086"/>
    <w:rsid w:val="003A1CA3"/>
    <w:rsid w:val="003A5887"/>
    <w:rsid w:val="003B6192"/>
    <w:rsid w:val="003D371A"/>
    <w:rsid w:val="003D40DF"/>
    <w:rsid w:val="003D5341"/>
    <w:rsid w:val="003D796B"/>
    <w:rsid w:val="003D7BA8"/>
    <w:rsid w:val="003E462E"/>
    <w:rsid w:val="003E4708"/>
    <w:rsid w:val="003F54A5"/>
    <w:rsid w:val="003F7D58"/>
    <w:rsid w:val="00401D68"/>
    <w:rsid w:val="00406C1C"/>
    <w:rsid w:val="004074BC"/>
    <w:rsid w:val="00434E2B"/>
    <w:rsid w:val="00435659"/>
    <w:rsid w:val="004420E7"/>
    <w:rsid w:val="004527E4"/>
    <w:rsid w:val="004608B3"/>
    <w:rsid w:val="00462D66"/>
    <w:rsid w:val="00463A23"/>
    <w:rsid w:val="00467809"/>
    <w:rsid w:val="0047083E"/>
    <w:rsid w:val="00472671"/>
    <w:rsid w:val="004776C3"/>
    <w:rsid w:val="00482F8E"/>
    <w:rsid w:val="00484A69"/>
    <w:rsid w:val="00495389"/>
    <w:rsid w:val="004B6245"/>
    <w:rsid w:val="004C0831"/>
    <w:rsid w:val="004C162D"/>
    <w:rsid w:val="004C367C"/>
    <w:rsid w:val="004C3789"/>
    <w:rsid w:val="004C3E6F"/>
    <w:rsid w:val="004C7624"/>
    <w:rsid w:val="004C7A58"/>
    <w:rsid w:val="004D1D5D"/>
    <w:rsid w:val="004E2151"/>
    <w:rsid w:val="004E3D7F"/>
    <w:rsid w:val="004E5847"/>
    <w:rsid w:val="004E719F"/>
    <w:rsid w:val="004F41FE"/>
    <w:rsid w:val="00500B77"/>
    <w:rsid w:val="0051015B"/>
    <w:rsid w:val="00517D6A"/>
    <w:rsid w:val="00534764"/>
    <w:rsid w:val="005429EC"/>
    <w:rsid w:val="005443D0"/>
    <w:rsid w:val="00544D31"/>
    <w:rsid w:val="0055447E"/>
    <w:rsid w:val="005610DC"/>
    <w:rsid w:val="00561473"/>
    <w:rsid w:val="00563123"/>
    <w:rsid w:val="005674F9"/>
    <w:rsid w:val="00572370"/>
    <w:rsid w:val="00574DF3"/>
    <w:rsid w:val="00577F00"/>
    <w:rsid w:val="005932FB"/>
    <w:rsid w:val="005A2B86"/>
    <w:rsid w:val="005A422A"/>
    <w:rsid w:val="005A69B0"/>
    <w:rsid w:val="005B0241"/>
    <w:rsid w:val="005C4E82"/>
    <w:rsid w:val="005D610C"/>
    <w:rsid w:val="005E1107"/>
    <w:rsid w:val="005E4618"/>
    <w:rsid w:val="005F6EC0"/>
    <w:rsid w:val="006007DC"/>
    <w:rsid w:val="00610C4A"/>
    <w:rsid w:val="006120ED"/>
    <w:rsid w:val="006138B1"/>
    <w:rsid w:val="0062026F"/>
    <w:rsid w:val="00634B17"/>
    <w:rsid w:val="00640A6D"/>
    <w:rsid w:val="00651F5C"/>
    <w:rsid w:val="00652759"/>
    <w:rsid w:val="0065592E"/>
    <w:rsid w:val="006639CB"/>
    <w:rsid w:val="006711AF"/>
    <w:rsid w:val="00673BE7"/>
    <w:rsid w:val="006810B8"/>
    <w:rsid w:val="0069155E"/>
    <w:rsid w:val="006919FE"/>
    <w:rsid w:val="006965A2"/>
    <w:rsid w:val="00697798"/>
    <w:rsid w:val="006A7D8F"/>
    <w:rsid w:val="006B04EE"/>
    <w:rsid w:val="006B441B"/>
    <w:rsid w:val="006B53B0"/>
    <w:rsid w:val="006B5509"/>
    <w:rsid w:val="006D0B5B"/>
    <w:rsid w:val="006D106F"/>
    <w:rsid w:val="006D2647"/>
    <w:rsid w:val="006E05BD"/>
    <w:rsid w:val="006E3B05"/>
    <w:rsid w:val="006F568F"/>
    <w:rsid w:val="006F5725"/>
    <w:rsid w:val="00700F92"/>
    <w:rsid w:val="0070237E"/>
    <w:rsid w:val="007027E2"/>
    <w:rsid w:val="00704785"/>
    <w:rsid w:val="00704AB1"/>
    <w:rsid w:val="007054C5"/>
    <w:rsid w:val="00712E46"/>
    <w:rsid w:val="0072051E"/>
    <w:rsid w:val="0072661C"/>
    <w:rsid w:val="007274A9"/>
    <w:rsid w:val="00731F82"/>
    <w:rsid w:val="00734376"/>
    <w:rsid w:val="007413D8"/>
    <w:rsid w:val="00745F94"/>
    <w:rsid w:val="00752471"/>
    <w:rsid w:val="00752FB1"/>
    <w:rsid w:val="00753213"/>
    <w:rsid w:val="00753E6A"/>
    <w:rsid w:val="00755C06"/>
    <w:rsid w:val="007614B5"/>
    <w:rsid w:val="00765E10"/>
    <w:rsid w:val="00784395"/>
    <w:rsid w:val="007A0984"/>
    <w:rsid w:val="007A1FEA"/>
    <w:rsid w:val="007A3F27"/>
    <w:rsid w:val="007A489B"/>
    <w:rsid w:val="007A53D4"/>
    <w:rsid w:val="007A79E1"/>
    <w:rsid w:val="007B28B4"/>
    <w:rsid w:val="007B4149"/>
    <w:rsid w:val="007B71EB"/>
    <w:rsid w:val="007B77B6"/>
    <w:rsid w:val="007C1650"/>
    <w:rsid w:val="007C2D5A"/>
    <w:rsid w:val="007D312F"/>
    <w:rsid w:val="007F045A"/>
    <w:rsid w:val="007F37EE"/>
    <w:rsid w:val="008035F7"/>
    <w:rsid w:val="00805EED"/>
    <w:rsid w:val="00820F70"/>
    <w:rsid w:val="00832D3F"/>
    <w:rsid w:val="008330BE"/>
    <w:rsid w:val="00836DFC"/>
    <w:rsid w:val="00842147"/>
    <w:rsid w:val="00845BC6"/>
    <w:rsid w:val="008468A5"/>
    <w:rsid w:val="00854257"/>
    <w:rsid w:val="00855C42"/>
    <w:rsid w:val="00861594"/>
    <w:rsid w:val="0086241E"/>
    <w:rsid w:val="00872F3E"/>
    <w:rsid w:val="0087480E"/>
    <w:rsid w:val="0087644B"/>
    <w:rsid w:val="008771EC"/>
    <w:rsid w:val="00882CF1"/>
    <w:rsid w:val="00882EB8"/>
    <w:rsid w:val="0088538C"/>
    <w:rsid w:val="008879B5"/>
    <w:rsid w:val="00887F8D"/>
    <w:rsid w:val="008912FC"/>
    <w:rsid w:val="00896F3B"/>
    <w:rsid w:val="008A54AC"/>
    <w:rsid w:val="008B3A65"/>
    <w:rsid w:val="008B4377"/>
    <w:rsid w:val="008B7052"/>
    <w:rsid w:val="008B72DC"/>
    <w:rsid w:val="008C450A"/>
    <w:rsid w:val="008D7580"/>
    <w:rsid w:val="008E2A20"/>
    <w:rsid w:val="008E46A9"/>
    <w:rsid w:val="008E4C77"/>
    <w:rsid w:val="008F01C0"/>
    <w:rsid w:val="008F04DE"/>
    <w:rsid w:val="008F11EE"/>
    <w:rsid w:val="008F2AF7"/>
    <w:rsid w:val="008F418A"/>
    <w:rsid w:val="0090534D"/>
    <w:rsid w:val="00914CEF"/>
    <w:rsid w:val="00923628"/>
    <w:rsid w:val="00927C3F"/>
    <w:rsid w:val="00935609"/>
    <w:rsid w:val="0093775C"/>
    <w:rsid w:val="0094335A"/>
    <w:rsid w:val="009468F2"/>
    <w:rsid w:val="0094701F"/>
    <w:rsid w:val="0095002A"/>
    <w:rsid w:val="009507EA"/>
    <w:rsid w:val="00951AD2"/>
    <w:rsid w:val="00956BB2"/>
    <w:rsid w:val="00984C72"/>
    <w:rsid w:val="009902C1"/>
    <w:rsid w:val="00993151"/>
    <w:rsid w:val="00995164"/>
    <w:rsid w:val="009A02F3"/>
    <w:rsid w:val="009A07CF"/>
    <w:rsid w:val="009B35BF"/>
    <w:rsid w:val="009B423F"/>
    <w:rsid w:val="009B54B8"/>
    <w:rsid w:val="009B5866"/>
    <w:rsid w:val="009C41D1"/>
    <w:rsid w:val="009C631F"/>
    <w:rsid w:val="009C7A15"/>
    <w:rsid w:val="009D532F"/>
    <w:rsid w:val="009D65E4"/>
    <w:rsid w:val="009E13A7"/>
    <w:rsid w:val="009E2EF3"/>
    <w:rsid w:val="009F3ECF"/>
    <w:rsid w:val="009F7ABF"/>
    <w:rsid w:val="009F7C80"/>
    <w:rsid w:val="00A02B0D"/>
    <w:rsid w:val="00A11E1A"/>
    <w:rsid w:val="00A16A84"/>
    <w:rsid w:val="00A16F1D"/>
    <w:rsid w:val="00A24EFF"/>
    <w:rsid w:val="00A33634"/>
    <w:rsid w:val="00A340DC"/>
    <w:rsid w:val="00A3536E"/>
    <w:rsid w:val="00A36DFE"/>
    <w:rsid w:val="00A47C4B"/>
    <w:rsid w:val="00A53C2B"/>
    <w:rsid w:val="00A545A5"/>
    <w:rsid w:val="00A6009B"/>
    <w:rsid w:val="00A64FB9"/>
    <w:rsid w:val="00A747A0"/>
    <w:rsid w:val="00A800B9"/>
    <w:rsid w:val="00A8122F"/>
    <w:rsid w:val="00A83CC7"/>
    <w:rsid w:val="00A93500"/>
    <w:rsid w:val="00AA1A64"/>
    <w:rsid w:val="00AA54CD"/>
    <w:rsid w:val="00AB097C"/>
    <w:rsid w:val="00AB389C"/>
    <w:rsid w:val="00AC2924"/>
    <w:rsid w:val="00AC3620"/>
    <w:rsid w:val="00AD23B4"/>
    <w:rsid w:val="00AD4206"/>
    <w:rsid w:val="00AD6258"/>
    <w:rsid w:val="00AD6432"/>
    <w:rsid w:val="00AF0FC0"/>
    <w:rsid w:val="00AF44F5"/>
    <w:rsid w:val="00AF4869"/>
    <w:rsid w:val="00AF4EE3"/>
    <w:rsid w:val="00AF7014"/>
    <w:rsid w:val="00AF7C1F"/>
    <w:rsid w:val="00B0030A"/>
    <w:rsid w:val="00B01BFF"/>
    <w:rsid w:val="00B04EEF"/>
    <w:rsid w:val="00B07E2D"/>
    <w:rsid w:val="00B10611"/>
    <w:rsid w:val="00B1263B"/>
    <w:rsid w:val="00B20823"/>
    <w:rsid w:val="00B21EA0"/>
    <w:rsid w:val="00B244D1"/>
    <w:rsid w:val="00B429B1"/>
    <w:rsid w:val="00B43E52"/>
    <w:rsid w:val="00B50E2C"/>
    <w:rsid w:val="00B52C41"/>
    <w:rsid w:val="00B631E1"/>
    <w:rsid w:val="00B63F06"/>
    <w:rsid w:val="00B640FE"/>
    <w:rsid w:val="00B7043A"/>
    <w:rsid w:val="00B7244B"/>
    <w:rsid w:val="00B7677C"/>
    <w:rsid w:val="00B77A22"/>
    <w:rsid w:val="00B83B7E"/>
    <w:rsid w:val="00B87D9E"/>
    <w:rsid w:val="00B9095E"/>
    <w:rsid w:val="00B9348A"/>
    <w:rsid w:val="00B95C93"/>
    <w:rsid w:val="00BC15B2"/>
    <w:rsid w:val="00BD1ADC"/>
    <w:rsid w:val="00BD5953"/>
    <w:rsid w:val="00BD7788"/>
    <w:rsid w:val="00BE2EC6"/>
    <w:rsid w:val="00BF1147"/>
    <w:rsid w:val="00BF165F"/>
    <w:rsid w:val="00BF289B"/>
    <w:rsid w:val="00C00A0B"/>
    <w:rsid w:val="00C00D2A"/>
    <w:rsid w:val="00C05307"/>
    <w:rsid w:val="00C13FE7"/>
    <w:rsid w:val="00C166FA"/>
    <w:rsid w:val="00C23111"/>
    <w:rsid w:val="00C23251"/>
    <w:rsid w:val="00C236BB"/>
    <w:rsid w:val="00C23DB7"/>
    <w:rsid w:val="00C2497A"/>
    <w:rsid w:val="00C303CF"/>
    <w:rsid w:val="00C31729"/>
    <w:rsid w:val="00C5592B"/>
    <w:rsid w:val="00C57364"/>
    <w:rsid w:val="00C65444"/>
    <w:rsid w:val="00C65741"/>
    <w:rsid w:val="00C65DE3"/>
    <w:rsid w:val="00C6610C"/>
    <w:rsid w:val="00C672A0"/>
    <w:rsid w:val="00C70D2F"/>
    <w:rsid w:val="00C75D25"/>
    <w:rsid w:val="00C838EA"/>
    <w:rsid w:val="00C967EB"/>
    <w:rsid w:val="00C96B37"/>
    <w:rsid w:val="00C96D92"/>
    <w:rsid w:val="00CB1951"/>
    <w:rsid w:val="00CB2996"/>
    <w:rsid w:val="00CC3610"/>
    <w:rsid w:val="00CC414F"/>
    <w:rsid w:val="00CC6F3D"/>
    <w:rsid w:val="00CC7FCA"/>
    <w:rsid w:val="00CD009F"/>
    <w:rsid w:val="00CD35B7"/>
    <w:rsid w:val="00CD67B7"/>
    <w:rsid w:val="00CE43BE"/>
    <w:rsid w:val="00CE4EF8"/>
    <w:rsid w:val="00CE5716"/>
    <w:rsid w:val="00CE5C7D"/>
    <w:rsid w:val="00CE6619"/>
    <w:rsid w:val="00CF04EC"/>
    <w:rsid w:val="00CF084E"/>
    <w:rsid w:val="00CF0C05"/>
    <w:rsid w:val="00CF1619"/>
    <w:rsid w:val="00CF416B"/>
    <w:rsid w:val="00CF6C41"/>
    <w:rsid w:val="00D01406"/>
    <w:rsid w:val="00D056DF"/>
    <w:rsid w:val="00D05BD6"/>
    <w:rsid w:val="00D10A67"/>
    <w:rsid w:val="00D14546"/>
    <w:rsid w:val="00D15C27"/>
    <w:rsid w:val="00D165B0"/>
    <w:rsid w:val="00D254DB"/>
    <w:rsid w:val="00D264EA"/>
    <w:rsid w:val="00D2662C"/>
    <w:rsid w:val="00D402F3"/>
    <w:rsid w:val="00D448E2"/>
    <w:rsid w:val="00D501C3"/>
    <w:rsid w:val="00D52A5F"/>
    <w:rsid w:val="00D53FFC"/>
    <w:rsid w:val="00D541EC"/>
    <w:rsid w:val="00D547FD"/>
    <w:rsid w:val="00D62F3F"/>
    <w:rsid w:val="00D63AC8"/>
    <w:rsid w:val="00D8555C"/>
    <w:rsid w:val="00D944E7"/>
    <w:rsid w:val="00DA09B3"/>
    <w:rsid w:val="00DA2502"/>
    <w:rsid w:val="00DA347E"/>
    <w:rsid w:val="00DB1A60"/>
    <w:rsid w:val="00DB4A10"/>
    <w:rsid w:val="00DB6CEF"/>
    <w:rsid w:val="00DC0ECA"/>
    <w:rsid w:val="00DC22C3"/>
    <w:rsid w:val="00DD0A63"/>
    <w:rsid w:val="00DD6246"/>
    <w:rsid w:val="00DD6B8B"/>
    <w:rsid w:val="00DE150E"/>
    <w:rsid w:val="00DE419A"/>
    <w:rsid w:val="00E06780"/>
    <w:rsid w:val="00E074DF"/>
    <w:rsid w:val="00E11F9F"/>
    <w:rsid w:val="00E124DE"/>
    <w:rsid w:val="00E1280F"/>
    <w:rsid w:val="00E21B14"/>
    <w:rsid w:val="00E2288D"/>
    <w:rsid w:val="00E23005"/>
    <w:rsid w:val="00E24D28"/>
    <w:rsid w:val="00E253EB"/>
    <w:rsid w:val="00E25FCD"/>
    <w:rsid w:val="00E266D3"/>
    <w:rsid w:val="00E27EFF"/>
    <w:rsid w:val="00E33952"/>
    <w:rsid w:val="00E33C63"/>
    <w:rsid w:val="00E37579"/>
    <w:rsid w:val="00E412FF"/>
    <w:rsid w:val="00E60855"/>
    <w:rsid w:val="00E6394B"/>
    <w:rsid w:val="00E6788A"/>
    <w:rsid w:val="00E71464"/>
    <w:rsid w:val="00E83936"/>
    <w:rsid w:val="00E85064"/>
    <w:rsid w:val="00E925FD"/>
    <w:rsid w:val="00E9517A"/>
    <w:rsid w:val="00EA032A"/>
    <w:rsid w:val="00EA626C"/>
    <w:rsid w:val="00EB6920"/>
    <w:rsid w:val="00EC2C4C"/>
    <w:rsid w:val="00EC4CEE"/>
    <w:rsid w:val="00ED5218"/>
    <w:rsid w:val="00EE0C73"/>
    <w:rsid w:val="00EE378A"/>
    <w:rsid w:val="00EF7B54"/>
    <w:rsid w:val="00F015BE"/>
    <w:rsid w:val="00F01CEB"/>
    <w:rsid w:val="00F13CE2"/>
    <w:rsid w:val="00F175C8"/>
    <w:rsid w:val="00F325AC"/>
    <w:rsid w:val="00F33E76"/>
    <w:rsid w:val="00F35E0D"/>
    <w:rsid w:val="00F36721"/>
    <w:rsid w:val="00F37854"/>
    <w:rsid w:val="00F5641A"/>
    <w:rsid w:val="00F750A8"/>
    <w:rsid w:val="00F776C0"/>
    <w:rsid w:val="00F8459B"/>
    <w:rsid w:val="00F9430C"/>
    <w:rsid w:val="00FA34CF"/>
    <w:rsid w:val="00FA54FD"/>
    <w:rsid w:val="00FA6CEF"/>
    <w:rsid w:val="00FB7485"/>
    <w:rsid w:val="00FC0EAE"/>
    <w:rsid w:val="00FC43A9"/>
    <w:rsid w:val="00FC48DE"/>
    <w:rsid w:val="00FD12D4"/>
    <w:rsid w:val="00FD2D1A"/>
    <w:rsid w:val="00FE5E40"/>
    <w:rsid w:val="00FF28AC"/>
    <w:rsid w:val="00FF3F39"/>
    <w:rsid w:val="00FF4F70"/>
    <w:rsid w:val="00FF53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unhideWhenUsed/>
    <w:rsid w:val="00A16F1D"/>
    <w:pPr>
      <w:spacing w:line="240" w:lineRule="auto"/>
    </w:pPr>
    <w:rPr>
      <w:sz w:val="20"/>
    </w:rPr>
  </w:style>
  <w:style w:type="character" w:customStyle="1" w:styleId="FootnoteTextChar">
    <w:name w:val="Footnote Text Char"/>
    <w:basedOn w:val="DefaultParagraphFont"/>
    <w:link w:val="FootnoteText"/>
    <w:uiPriority w:val="99"/>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A1F7C"/>
    <w:rPr>
      <w:color w:val="0000FF" w:themeColor="hyperlink"/>
      <w:u w:val="single"/>
    </w:rPr>
  </w:style>
  <w:style w:type="character" w:styleId="FollowedHyperlink">
    <w:name w:val="FollowedHyperlink"/>
    <w:basedOn w:val="DefaultParagraphFont"/>
    <w:uiPriority w:val="99"/>
    <w:semiHidden/>
    <w:unhideWhenUsed/>
    <w:rsid w:val="0088538C"/>
    <w:rPr>
      <w:color w:val="800080" w:themeColor="followedHyperlink"/>
      <w:u w:val="single"/>
    </w:rPr>
  </w:style>
  <w:style w:type="paragraph" w:customStyle="1" w:styleId="Default">
    <w:name w:val="Default"/>
    <w:rsid w:val="00D10A6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1F4F3A"/>
    <w:pPr>
      <w:tabs>
        <w:tab w:val="center" w:pos="4513"/>
        <w:tab w:val="right" w:pos="9026"/>
      </w:tabs>
      <w:spacing w:line="240" w:lineRule="auto"/>
    </w:pPr>
  </w:style>
  <w:style w:type="character" w:customStyle="1" w:styleId="HeaderChar">
    <w:name w:val="Header Char"/>
    <w:basedOn w:val="DefaultParagraphFont"/>
    <w:link w:val="Header"/>
    <w:uiPriority w:val="99"/>
    <w:rsid w:val="001F4F3A"/>
    <w:rPr>
      <w:rFonts w:ascii="Arial" w:eastAsia="Times New Roman" w:hAnsi="Arial" w:cs="Times New Roman"/>
      <w:sz w:val="21"/>
      <w:szCs w:val="20"/>
      <w:lang w:val="en-GB" w:eastAsia="en-GB"/>
    </w:rPr>
  </w:style>
  <w:style w:type="paragraph" w:styleId="Footer">
    <w:name w:val="footer"/>
    <w:basedOn w:val="Normal"/>
    <w:link w:val="FooterChar"/>
    <w:uiPriority w:val="99"/>
    <w:semiHidden/>
    <w:unhideWhenUsed/>
    <w:rsid w:val="001F4F3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F4F3A"/>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631E1"/>
    <w:rPr>
      <w:sz w:val="18"/>
      <w:szCs w:val="18"/>
    </w:rPr>
  </w:style>
  <w:style w:type="paragraph" w:styleId="CommentText">
    <w:name w:val="annotation text"/>
    <w:basedOn w:val="Normal"/>
    <w:link w:val="CommentTextChar"/>
    <w:uiPriority w:val="99"/>
    <w:semiHidden/>
    <w:unhideWhenUsed/>
    <w:rsid w:val="00B631E1"/>
    <w:pPr>
      <w:spacing w:line="240" w:lineRule="auto"/>
    </w:pPr>
    <w:rPr>
      <w:sz w:val="24"/>
      <w:szCs w:val="24"/>
    </w:rPr>
  </w:style>
  <w:style w:type="character" w:customStyle="1" w:styleId="CommentTextChar">
    <w:name w:val="Comment Text Char"/>
    <w:basedOn w:val="DefaultParagraphFont"/>
    <w:link w:val="CommentText"/>
    <w:uiPriority w:val="99"/>
    <w:semiHidden/>
    <w:rsid w:val="00B631E1"/>
    <w:rPr>
      <w:rFonts w:ascii="Arial" w:eastAsia="Times New Roman" w:hAnsi="Arial"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B631E1"/>
    <w:rPr>
      <w:b/>
      <w:bCs/>
      <w:sz w:val="20"/>
      <w:szCs w:val="20"/>
    </w:rPr>
  </w:style>
  <w:style w:type="character" w:customStyle="1" w:styleId="CommentSubjectChar">
    <w:name w:val="Comment Subject Char"/>
    <w:basedOn w:val="CommentTextChar"/>
    <w:link w:val="CommentSubject"/>
    <w:uiPriority w:val="99"/>
    <w:semiHidden/>
    <w:rsid w:val="00B631E1"/>
    <w:rPr>
      <w:rFonts w:ascii="Arial" w:eastAsia="Times New Roman" w:hAnsi="Arial" w:cs="Times New Roman"/>
      <w:b/>
      <w:bCs/>
      <w:sz w:val="20"/>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D6A"/>
    <w:pPr>
      <w:spacing w:after="0" w:line="300" w:lineRule="atLeast"/>
    </w:pPr>
    <w:rPr>
      <w:rFonts w:ascii="Arial" w:eastAsia="Times New Roman" w:hAnsi="Arial" w:cs="Times New Roman"/>
      <w:sz w:val="21"/>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17D6A"/>
    <w:pPr>
      <w:spacing w:after="120" w:line="300" w:lineRule="atLeast"/>
    </w:pPr>
    <w:rPr>
      <w:rFonts w:ascii="Times New Roman" w:eastAsia="Times New Roman" w:hAnsi="Times New Roman"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17D6A"/>
    <w:pPr>
      <w:ind w:left="720"/>
    </w:pPr>
  </w:style>
  <w:style w:type="paragraph" w:styleId="FootnoteText">
    <w:name w:val="footnote text"/>
    <w:basedOn w:val="Normal"/>
    <w:link w:val="FootnoteTextChar"/>
    <w:uiPriority w:val="99"/>
    <w:unhideWhenUsed/>
    <w:rsid w:val="00A16F1D"/>
    <w:pPr>
      <w:spacing w:line="240" w:lineRule="auto"/>
    </w:pPr>
    <w:rPr>
      <w:sz w:val="20"/>
    </w:rPr>
  </w:style>
  <w:style w:type="character" w:customStyle="1" w:styleId="FootnoteTextChar">
    <w:name w:val="Footnote Text Char"/>
    <w:basedOn w:val="DefaultParagraphFont"/>
    <w:link w:val="FootnoteText"/>
    <w:uiPriority w:val="99"/>
    <w:rsid w:val="00A16F1D"/>
    <w:rPr>
      <w:rFonts w:ascii="Arial" w:eastAsia="Times New Roman" w:hAnsi="Arial" w:cs="Times New Roman"/>
      <w:sz w:val="20"/>
      <w:szCs w:val="20"/>
      <w:lang w:val="en-GB" w:eastAsia="en-GB"/>
    </w:rPr>
  </w:style>
  <w:style w:type="character" w:styleId="FootnoteReference">
    <w:name w:val="footnote reference"/>
    <w:basedOn w:val="DefaultParagraphFont"/>
    <w:uiPriority w:val="99"/>
    <w:semiHidden/>
    <w:unhideWhenUsed/>
    <w:rsid w:val="00A16F1D"/>
    <w:rPr>
      <w:vertAlign w:val="superscript"/>
    </w:rPr>
  </w:style>
  <w:style w:type="paragraph" w:styleId="BalloonText">
    <w:name w:val="Balloon Text"/>
    <w:basedOn w:val="Normal"/>
    <w:link w:val="BalloonTextChar"/>
    <w:uiPriority w:val="99"/>
    <w:semiHidden/>
    <w:unhideWhenUsed/>
    <w:rsid w:val="0032156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1564"/>
    <w:rPr>
      <w:rFonts w:ascii="Tahoma" w:eastAsia="Times New Roman" w:hAnsi="Tahoma" w:cs="Tahoma"/>
      <w:sz w:val="16"/>
      <w:szCs w:val="16"/>
      <w:lang w:val="en-GB" w:eastAsia="en-GB"/>
    </w:rPr>
  </w:style>
  <w:style w:type="character" w:styleId="Hyperlink">
    <w:name w:val="Hyperlink"/>
    <w:basedOn w:val="DefaultParagraphFont"/>
    <w:uiPriority w:val="99"/>
    <w:unhideWhenUsed/>
    <w:rsid w:val="002A1F7C"/>
    <w:rPr>
      <w:color w:val="0000FF" w:themeColor="hyperlink"/>
      <w:u w:val="single"/>
    </w:rPr>
  </w:style>
  <w:style w:type="character" w:styleId="FollowedHyperlink">
    <w:name w:val="FollowedHyperlink"/>
    <w:basedOn w:val="DefaultParagraphFont"/>
    <w:uiPriority w:val="99"/>
    <w:semiHidden/>
    <w:unhideWhenUsed/>
    <w:rsid w:val="0088538C"/>
    <w:rPr>
      <w:color w:val="800080" w:themeColor="followedHyperlink"/>
      <w:u w:val="single"/>
    </w:rPr>
  </w:style>
  <w:style w:type="paragraph" w:customStyle="1" w:styleId="Default">
    <w:name w:val="Default"/>
    <w:rsid w:val="00D10A67"/>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1F4F3A"/>
    <w:pPr>
      <w:tabs>
        <w:tab w:val="center" w:pos="4513"/>
        <w:tab w:val="right" w:pos="9026"/>
      </w:tabs>
      <w:spacing w:line="240" w:lineRule="auto"/>
    </w:pPr>
  </w:style>
  <w:style w:type="character" w:customStyle="1" w:styleId="HeaderChar">
    <w:name w:val="Header Char"/>
    <w:basedOn w:val="DefaultParagraphFont"/>
    <w:link w:val="Header"/>
    <w:uiPriority w:val="99"/>
    <w:rsid w:val="001F4F3A"/>
    <w:rPr>
      <w:rFonts w:ascii="Arial" w:eastAsia="Times New Roman" w:hAnsi="Arial" w:cs="Times New Roman"/>
      <w:sz w:val="21"/>
      <w:szCs w:val="20"/>
      <w:lang w:val="en-GB" w:eastAsia="en-GB"/>
    </w:rPr>
  </w:style>
  <w:style w:type="paragraph" w:styleId="Footer">
    <w:name w:val="footer"/>
    <w:basedOn w:val="Normal"/>
    <w:link w:val="FooterChar"/>
    <w:uiPriority w:val="99"/>
    <w:semiHidden/>
    <w:unhideWhenUsed/>
    <w:rsid w:val="001F4F3A"/>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1F4F3A"/>
    <w:rPr>
      <w:rFonts w:ascii="Arial" w:eastAsia="Times New Roman" w:hAnsi="Arial" w:cs="Times New Roman"/>
      <w:sz w:val="21"/>
      <w:szCs w:val="20"/>
      <w:lang w:val="en-GB" w:eastAsia="en-GB"/>
    </w:rPr>
  </w:style>
  <w:style w:type="character" w:styleId="CommentReference">
    <w:name w:val="annotation reference"/>
    <w:basedOn w:val="DefaultParagraphFont"/>
    <w:uiPriority w:val="99"/>
    <w:semiHidden/>
    <w:unhideWhenUsed/>
    <w:rsid w:val="00B631E1"/>
    <w:rPr>
      <w:sz w:val="18"/>
      <w:szCs w:val="18"/>
    </w:rPr>
  </w:style>
  <w:style w:type="paragraph" w:styleId="CommentText">
    <w:name w:val="annotation text"/>
    <w:basedOn w:val="Normal"/>
    <w:link w:val="CommentTextChar"/>
    <w:uiPriority w:val="99"/>
    <w:semiHidden/>
    <w:unhideWhenUsed/>
    <w:rsid w:val="00B631E1"/>
    <w:pPr>
      <w:spacing w:line="240" w:lineRule="auto"/>
    </w:pPr>
    <w:rPr>
      <w:sz w:val="24"/>
      <w:szCs w:val="24"/>
    </w:rPr>
  </w:style>
  <w:style w:type="character" w:customStyle="1" w:styleId="CommentTextChar">
    <w:name w:val="Comment Text Char"/>
    <w:basedOn w:val="DefaultParagraphFont"/>
    <w:link w:val="CommentText"/>
    <w:uiPriority w:val="99"/>
    <w:semiHidden/>
    <w:rsid w:val="00B631E1"/>
    <w:rPr>
      <w:rFonts w:ascii="Arial" w:eastAsia="Times New Roman" w:hAnsi="Arial" w:cs="Times New Roman"/>
      <w:sz w:val="24"/>
      <w:szCs w:val="24"/>
      <w:lang w:val="en-GB" w:eastAsia="en-GB"/>
    </w:rPr>
  </w:style>
  <w:style w:type="paragraph" w:styleId="CommentSubject">
    <w:name w:val="annotation subject"/>
    <w:basedOn w:val="CommentText"/>
    <w:next w:val="CommentText"/>
    <w:link w:val="CommentSubjectChar"/>
    <w:uiPriority w:val="99"/>
    <w:semiHidden/>
    <w:unhideWhenUsed/>
    <w:rsid w:val="00B631E1"/>
    <w:rPr>
      <w:b/>
      <w:bCs/>
      <w:sz w:val="20"/>
      <w:szCs w:val="20"/>
    </w:rPr>
  </w:style>
  <w:style w:type="character" w:customStyle="1" w:styleId="CommentSubjectChar">
    <w:name w:val="Comment Subject Char"/>
    <w:basedOn w:val="CommentTextChar"/>
    <w:link w:val="CommentSubject"/>
    <w:uiPriority w:val="99"/>
    <w:semiHidden/>
    <w:rsid w:val="00B631E1"/>
    <w:rPr>
      <w:rFonts w:ascii="Arial" w:eastAsia="Times New Roman" w:hAnsi="Arial" w:cs="Times New Roman"/>
      <w:b/>
      <w:bCs/>
      <w:sz w:val="20"/>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291655">
      <w:bodyDiv w:val="1"/>
      <w:marLeft w:val="0"/>
      <w:marRight w:val="0"/>
      <w:marTop w:val="0"/>
      <w:marBottom w:val="0"/>
      <w:divBdr>
        <w:top w:val="none" w:sz="0" w:space="0" w:color="auto"/>
        <w:left w:val="none" w:sz="0" w:space="0" w:color="auto"/>
        <w:bottom w:val="none" w:sz="0" w:space="0" w:color="auto"/>
        <w:right w:val="none" w:sz="0" w:space="0" w:color="auto"/>
      </w:divBdr>
    </w:div>
    <w:div w:id="385178065">
      <w:bodyDiv w:val="1"/>
      <w:marLeft w:val="0"/>
      <w:marRight w:val="0"/>
      <w:marTop w:val="0"/>
      <w:marBottom w:val="0"/>
      <w:divBdr>
        <w:top w:val="none" w:sz="0" w:space="0" w:color="auto"/>
        <w:left w:val="none" w:sz="0" w:space="0" w:color="auto"/>
        <w:bottom w:val="none" w:sz="0" w:space="0" w:color="auto"/>
        <w:right w:val="none" w:sz="0" w:space="0" w:color="auto"/>
      </w:divBdr>
    </w:div>
    <w:div w:id="915480456">
      <w:bodyDiv w:val="1"/>
      <w:marLeft w:val="0"/>
      <w:marRight w:val="0"/>
      <w:marTop w:val="0"/>
      <w:marBottom w:val="0"/>
      <w:divBdr>
        <w:top w:val="none" w:sz="0" w:space="0" w:color="auto"/>
        <w:left w:val="none" w:sz="0" w:space="0" w:color="auto"/>
        <w:bottom w:val="none" w:sz="0" w:space="0" w:color="auto"/>
        <w:right w:val="none" w:sz="0" w:space="0" w:color="auto"/>
      </w:divBdr>
    </w:div>
    <w:div w:id="1374385513">
      <w:bodyDiv w:val="1"/>
      <w:marLeft w:val="0"/>
      <w:marRight w:val="0"/>
      <w:marTop w:val="0"/>
      <w:marBottom w:val="0"/>
      <w:divBdr>
        <w:top w:val="none" w:sz="0" w:space="0" w:color="auto"/>
        <w:left w:val="none" w:sz="0" w:space="0" w:color="auto"/>
        <w:bottom w:val="none" w:sz="0" w:space="0" w:color="auto"/>
        <w:right w:val="none" w:sz="0" w:space="0" w:color="auto"/>
      </w:divBdr>
    </w:div>
    <w:div w:id="1404764430">
      <w:bodyDiv w:val="1"/>
      <w:marLeft w:val="0"/>
      <w:marRight w:val="0"/>
      <w:marTop w:val="0"/>
      <w:marBottom w:val="0"/>
      <w:divBdr>
        <w:top w:val="none" w:sz="0" w:space="0" w:color="auto"/>
        <w:left w:val="none" w:sz="0" w:space="0" w:color="auto"/>
        <w:bottom w:val="none" w:sz="0" w:space="0" w:color="auto"/>
        <w:right w:val="none" w:sz="0" w:space="0" w:color="auto"/>
      </w:divBdr>
    </w:div>
    <w:div w:id="1750155546">
      <w:bodyDiv w:val="1"/>
      <w:marLeft w:val="0"/>
      <w:marRight w:val="0"/>
      <w:marTop w:val="0"/>
      <w:marBottom w:val="0"/>
      <w:divBdr>
        <w:top w:val="none" w:sz="0" w:space="0" w:color="auto"/>
        <w:left w:val="none" w:sz="0" w:space="0" w:color="auto"/>
        <w:bottom w:val="none" w:sz="0" w:space="0" w:color="auto"/>
        <w:right w:val="none" w:sz="0" w:space="0" w:color="auto"/>
      </w:divBdr>
    </w:div>
    <w:div w:id="1912422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yperlink" Target="http://www.bis.gov.uk/policies/higher-education/research-analysis"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BIS%20Modelling\Incomes.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BIS%20Modelling\Income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John\John%20Files\Documents\Analysis\HEPI\White%20paper%20follow-up\ONS\Percent%20with%20HE%20qual%20by%20sex%20LFS%20-%20MF.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spPr>
            <a:ln>
              <a:solidFill>
                <a:schemeClr val="tx1"/>
              </a:solidFill>
            </a:ln>
          </c:spPr>
          <c:marker>
            <c:symbol val="none"/>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data'!$D$2:$D$31</c:f>
              <c:numCache>
                <c:formatCode>"£"#,##0</c:formatCode>
                <c:ptCount val="30"/>
                <c:pt idx="0">
                  <c:v>21000</c:v>
                </c:pt>
                <c:pt idx="1">
                  <c:v>21088.760806916431</c:v>
                </c:pt>
                <c:pt idx="2">
                  <c:v>21141.421946080816</c:v>
                </c:pt>
                <c:pt idx="3">
                  <c:v>21249.224078382296</c:v>
                </c:pt>
                <c:pt idx="4">
                  <c:v>21413.057725864131</c:v>
                </c:pt>
                <c:pt idx="5">
                  <c:v>21636.32575389979</c:v>
                </c:pt>
                <c:pt idx="6">
                  <c:v>21918.811631731096</c:v>
                </c:pt>
                <c:pt idx="7">
                  <c:v>22204.985671410461</c:v>
                </c:pt>
                <c:pt idx="8">
                  <c:v>22494.896025921131</c:v>
                </c:pt>
                <c:pt idx="9">
                  <c:v>22788.591476936228</c:v>
                </c:pt>
                <c:pt idx="10">
                  <c:v>23086.121443028071</c:v>
                </c:pt>
                <c:pt idx="11">
                  <c:v>23387.535987980496</c:v>
                </c:pt>
                <c:pt idx="12">
                  <c:v>23692.88582921632</c:v>
                </c:pt>
                <c:pt idx="13">
                  <c:v>24002.222346328897</c:v>
                </c:pt>
                <c:pt idx="14">
                  <c:v>24315.597589728761</c:v>
                </c:pt>
                <c:pt idx="15">
                  <c:v>24633.06428940122</c:v>
                </c:pt>
                <c:pt idx="16">
                  <c:v>24954.675863779281</c:v>
                </c:pt>
                <c:pt idx="17">
                  <c:v>25280.486428731921</c:v>
                </c:pt>
                <c:pt idx="18">
                  <c:v>25610.5508066699</c:v>
                </c:pt>
                <c:pt idx="19">
                  <c:v>25944.924535770526</c:v>
                </c:pt>
                <c:pt idx="20">
                  <c:v>26283.663879322659</c:v>
                </c:pt>
                <c:pt idx="21">
                  <c:v>26626.825835193969</c:v>
                </c:pt>
                <c:pt idx="22">
                  <c:v>26974.468145421637</c:v>
                </c:pt>
                <c:pt idx="23">
                  <c:v>27326.64930592728</c:v>
                </c:pt>
                <c:pt idx="24">
                  <c:v>27683.428576362498</c:v>
                </c:pt>
                <c:pt idx="25">
                  <c:v>28044.865990077098</c:v>
                </c:pt>
                <c:pt idx="26">
                  <c:v>28411.022364222321</c:v>
                </c:pt>
                <c:pt idx="27">
                  <c:v>28781.959309983296</c:v>
                </c:pt>
                <c:pt idx="28">
                  <c:v>29157.739242946984</c:v>
                </c:pt>
                <c:pt idx="29">
                  <c:v>29538.425393605092</c:v>
                </c:pt>
              </c:numCache>
            </c:numRef>
          </c:yVal>
          <c:smooth val="1"/>
        </c:ser>
        <c:ser>
          <c:idx val="1"/>
          <c:order val="1"/>
          <c:spPr>
            <a:ln>
              <a:solidFill>
                <a:schemeClr val="tx1"/>
              </a:solidFill>
            </a:ln>
          </c:spPr>
          <c:marker>
            <c:symbol val="none"/>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data'!$E$2:$E$31</c:f>
              <c:numCache>
                <c:formatCode>"£"#,##0</c:formatCode>
                <c:ptCount val="30"/>
                <c:pt idx="0">
                  <c:v>41000</c:v>
                </c:pt>
                <c:pt idx="1">
                  <c:v>41173.294908741576</c:v>
                </c:pt>
                <c:pt idx="2">
                  <c:v>41276.109513777003</c:v>
                </c:pt>
                <c:pt idx="3">
                  <c:v>41486.580343508482</c:v>
                </c:pt>
                <c:pt idx="4">
                  <c:v>41806.446036211011</c:v>
                </c:pt>
                <c:pt idx="5">
                  <c:v>42242.350281423613</c:v>
                </c:pt>
                <c:pt idx="6">
                  <c:v>42793.870328618003</c:v>
                </c:pt>
                <c:pt idx="7">
                  <c:v>43352.591072753348</c:v>
                </c:pt>
                <c:pt idx="8">
                  <c:v>43918.606526798612</c:v>
                </c:pt>
                <c:pt idx="9">
                  <c:v>44492.011931161775</c:v>
                </c:pt>
                <c:pt idx="10">
                  <c:v>45072.903769721219</c:v>
                </c:pt>
                <c:pt idx="11">
                  <c:v>45661.379786057194</c:v>
                </c:pt>
                <c:pt idx="12">
                  <c:v>46257.538999898643</c:v>
                </c:pt>
                <c:pt idx="13">
                  <c:v>46861.481723784971</c:v>
                </c:pt>
                <c:pt idx="14">
                  <c:v>47473.309579947221</c:v>
                </c:pt>
                <c:pt idx="15">
                  <c:v>48093.125517402383</c:v>
                </c:pt>
                <c:pt idx="16">
                  <c:v>48721.033829283326</c:v>
                </c:pt>
                <c:pt idx="17">
                  <c:v>49357.140170381324</c:v>
                </c:pt>
                <c:pt idx="18">
                  <c:v>50001.551574927013</c:v>
                </c:pt>
                <c:pt idx="19">
                  <c:v>50654.376474599609</c:v>
                </c:pt>
                <c:pt idx="20">
                  <c:v>51315.724716772806</c:v>
                </c:pt>
                <c:pt idx="21">
                  <c:v>51985.707582997587</c:v>
                </c:pt>
                <c:pt idx="22">
                  <c:v>52664.43780772727</c:v>
                </c:pt>
                <c:pt idx="23">
                  <c:v>53352.029597286601</c:v>
                </c:pt>
                <c:pt idx="24">
                  <c:v>54048.598649088679</c:v>
                </c:pt>
                <c:pt idx="25">
                  <c:v>54754.262171102906</c:v>
                </c:pt>
                <c:pt idx="26">
                  <c:v>55469.138901576676</c:v>
                </c:pt>
                <c:pt idx="27">
                  <c:v>56193.349129015078</c:v>
                </c:pt>
                <c:pt idx="28">
                  <c:v>56927.014712421013</c:v>
                </c:pt>
                <c:pt idx="29">
                  <c:v>57670.259101799777</c:v>
                </c:pt>
              </c:numCache>
            </c:numRef>
          </c:yVal>
          <c:smooth val="1"/>
        </c:ser>
        <c:ser>
          <c:idx val="2"/>
          <c:order val="2"/>
          <c:spPr>
            <a:ln>
              <a:noFill/>
            </a:ln>
          </c:spPr>
          <c:marker>
            <c:symbol val="square"/>
            <c:size val="7"/>
            <c:spPr>
              <a:solidFill>
                <a:srgbClr val="00B050"/>
              </a:solidFill>
            </c:spPr>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data'!$F$2:$F$31</c:f>
              <c:numCache>
                <c:formatCode>"£"#,##0</c:formatCode>
                <c:ptCount val="30"/>
                <c:pt idx="0">
                  <c:v>4365.1088003184695</c:v>
                </c:pt>
                <c:pt idx="1">
                  <c:v>6875.9299251345701</c:v>
                </c:pt>
                <c:pt idx="2">
                  <c:v>17040.635648258496</c:v>
                </c:pt>
                <c:pt idx="3">
                  <c:v>15228.802251775212</c:v>
                </c:pt>
                <c:pt idx="4">
                  <c:v>22595.663567184256</c:v>
                </c:pt>
                <c:pt idx="5">
                  <c:v>27392.296667312417</c:v>
                </c:pt>
                <c:pt idx="6">
                  <c:v>27383.563171896916</c:v>
                </c:pt>
                <c:pt idx="7">
                  <c:v>28359.079994345746</c:v>
                </c:pt>
                <c:pt idx="8">
                  <c:v>29593.065022393821</c:v>
                </c:pt>
                <c:pt idx="9">
                  <c:v>28317.92358915252</c:v>
                </c:pt>
                <c:pt idx="10">
                  <c:v>31425.539116709697</c:v>
                </c:pt>
                <c:pt idx="11">
                  <c:v>36699.982578201212</c:v>
                </c:pt>
                <c:pt idx="12">
                  <c:v>37012.796251378211</c:v>
                </c:pt>
                <c:pt idx="13">
                  <c:v>36447.556553592243</c:v>
                </c:pt>
                <c:pt idx="14">
                  <c:v>34837.439482643975</c:v>
                </c:pt>
                <c:pt idx="15">
                  <c:v>36075.984843600687</c:v>
                </c:pt>
                <c:pt idx="16">
                  <c:v>35597.727090374676</c:v>
                </c:pt>
                <c:pt idx="17">
                  <c:v>41013.661635822726</c:v>
                </c:pt>
                <c:pt idx="18">
                  <c:v>47574.670216465012</c:v>
                </c:pt>
                <c:pt idx="19">
                  <c:v>44187.081899696212</c:v>
                </c:pt>
                <c:pt idx="20">
                  <c:v>47132.379770066102</c:v>
                </c:pt>
                <c:pt idx="21">
                  <c:v>45889.060978545436</c:v>
                </c:pt>
                <c:pt idx="22">
                  <c:v>43292.417404976673</c:v>
                </c:pt>
                <c:pt idx="23">
                  <c:v>37782.872311195613</c:v>
                </c:pt>
                <c:pt idx="24">
                  <c:v>49492.010122375257</c:v>
                </c:pt>
                <c:pt idx="25">
                  <c:v>44942.680018103012</c:v>
                </c:pt>
                <c:pt idx="26">
                  <c:v>50693.731923774976</c:v>
                </c:pt>
                <c:pt idx="27">
                  <c:v>40562.172852210686</c:v>
                </c:pt>
                <c:pt idx="28">
                  <c:v>47561.015329684757</c:v>
                </c:pt>
                <c:pt idx="29">
                  <c:v>38477.438637254243</c:v>
                </c:pt>
              </c:numCache>
            </c:numRef>
          </c:yVal>
          <c:smooth val="1"/>
        </c:ser>
        <c:ser>
          <c:idx val="3"/>
          <c:order val="3"/>
          <c:spPr>
            <a:ln>
              <a:noFill/>
            </a:ln>
          </c:spPr>
          <c:marker>
            <c:symbol val="square"/>
            <c:size val="7"/>
            <c:spPr>
              <a:solidFill>
                <a:srgbClr val="FFC000"/>
              </a:solidFill>
            </c:spPr>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data'!$G$2:$G$31</c:f>
              <c:numCache>
                <c:formatCode>"£"#,##0</c:formatCode>
                <c:ptCount val="30"/>
                <c:pt idx="0">
                  <c:v>15589.674286851832</c:v>
                </c:pt>
                <c:pt idx="1">
                  <c:v>19377.620698106497</c:v>
                </c:pt>
                <c:pt idx="2">
                  <c:v>24708.70848763892</c:v>
                </c:pt>
                <c:pt idx="3">
                  <c:v>24945.403435022679</c:v>
                </c:pt>
                <c:pt idx="4">
                  <c:v>31317.273432794489</c:v>
                </c:pt>
                <c:pt idx="5">
                  <c:v>34842.155958246243</c:v>
                </c:pt>
                <c:pt idx="6">
                  <c:v>36834.946297193273</c:v>
                </c:pt>
                <c:pt idx="7">
                  <c:v>39800.944063269861</c:v>
                </c:pt>
                <c:pt idx="8">
                  <c:v>36494.473978617178</c:v>
                </c:pt>
                <c:pt idx="9">
                  <c:v>42000.584230730143</c:v>
                </c:pt>
                <c:pt idx="10">
                  <c:v>48518.719442429036</c:v>
                </c:pt>
                <c:pt idx="11">
                  <c:v>51188.14458097548</c:v>
                </c:pt>
                <c:pt idx="12">
                  <c:v>50124.749384332121</c:v>
                </c:pt>
                <c:pt idx="13">
                  <c:v>55337.321932458333</c:v>
                </c:pt>
                <c:pt idx="14">
                  <c:v>49793.803114607857</c:v>
                </c:pt>
                <c:pt idx="15">
                  <c:v>52113.79411417267</c:v>
                </c:pt>
                <c:pt idx="16">
                  <c:v>53602.928977981195</c:v>
                </c:pt>
                <c:pt idx="17">
                  <c:v>65512.026448136196</c:v>
                </c:pt>
                <c:pt idx="18">
                  <c:v>68848.213723435721</c:v>
                </c:pt>
                <c:pt idx="19">
                  <c:v>62812.708398673836</c:v>
                </c:pt>
                <c:pt idx="20">
                  <c:v>62503.42747817382</c:v>
                </c:pt>
                <c:pt idx="21">
                  <c:v>67713.157516079911</c:v>
                </c:pt>
                <c:pt idx="22">
                  <c:v>60482.320768973856</c:v>
                </c:pt>
                <c:pt idx="23">
                  <c:v>64145.302989125012</c:v>
                </c:pt>
                <c:pt idx="24">
                  <c:v>67122.613612590416</c:v>
                </c:pt>
                <c:pt idx="25">
                  <c:v>67025.082837461348</c:v>
                </c:pt>
                <c:pt idx="26">
                  <c:v>71689.864605845622</c:v>
                </c:pt>
                <c:pt idx="27">
                  <c:v>68033.324855636005</c:v>
                </c:pt>
                <c:pt idx="28">
                  <c:v>65809.961417106344</c:v>
                </c:pt>
                <c:pt idx="29">
                  <c:v>67712.029606301425</c:v>
                </c:pt>
              </c:numCache>
            </c:numRef>
          </c:yVal>
          <c:smooth val="1"/>
        </c:ser>
        <c:ser>
          <c:idx val="4"/>
          <c:order val="4"/>
          <c:spPr>
            <a:ln>
              <a:noFill/>
            </a:ln>
          </c:spPr>
          <c:marker>
            <c:symbol val="square"/>
            <c:size val="7"/>
            <c:spPr>
              <a:solidFill>
                <a:srgbClr val="FF0000"/>
              </a:solidFill>
            </c:spPr>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data'!$H$2:$H$31</c:f>
              <c:numCache>
                <c:formatCode>"£"#,##0</c:formatCode>
                <c:ptCount val="30"/>
                <c:pt idx="0">
                  <c:v>24319.89188748864</c:v>
                </c:pt>
                <c:pt idx="1">
                  <c:v>28128.804239186629</c:v>
                </c:pt>
                <c:pt idx="2">
                  <c:v>32607.41608928152</c:v>
                </c:pt>
                <c:pt idx="3">
                  <c:v>33608.785283706326</c:v>
                </c:pt>
                <c:pt idx="4">
                  <c:v>38991.859564142243</c:v>
                </c:pt>
                <c:pt idx="5">
                  <c:v>45682.889671837598</c:v>
                </c:pt>
                <c:pt idx="6">
                  <c:v>47399.451452489913</c:v>
                </c:pt>
                <c:pt idx="7">
                  <c:v>52476.723904177175</c:v>
                </c:pt>
                <c:pt idx="8">
                  <c:v>52611.611627921156</c:v>
                </c:pt>
                <c:pt idx="9">
                  <c:v>55279.054299037212</c:v>
                </c:pt>
                <c:pt idx="10">
                  <c:v>61912.618026611177</c:v>
                </c:pt>
                <c:pt idx="11">
                  <c:v>79265.939537208338</c:v>
                </c:pt>
                <c:pt idx="12">
                  <c:v>73412.627898249077</c:v>
                </c:pt>
                <c:pt idx="13">
                  <c:v>71760.288670582391</c:v>
                </c:pt>
                <c:pt idx="14">
                  <c:v>63613.149659180599</c:v>
                </c:pt>
                <c:pt idx="15">
                  <c:v>72456.697277535801</c:v>
                </c:pt>
                <c:pt idx="16">
                  <c:v>78326.652135250362</c:v>
                </c:pt>
                <c:pt idx="17">
                  <c:v>83252.411396118972</c:v>
                </c:pt>
                <c:pt idx="18">
                  <c:v>95195.18349934688</c:v>
                </c:pt>
                <c:pt idx="19">
                  <c:v>85309.172639020369</c:v>
                </c:pt>
                <c:pt idx="20">
                  <c:v>84901.999943968971</c:v>
                </c:pt>
                <c:pt idx="21">
                  <c:v>91725.392672845352</c:v>
                </c:pt>
                <c:pt idx="22">
                  <c:v>91209.365871478949</c:v>
                </c:pt>
                <c:pt idx="23">
                  <c:v>86491.089516221386</c:v>
                </c:pt>
                <c:pt idx="24">
                  <c:v>86088.808268714405</c:v>
                </c:pt>
                <c:pt idx="25">
                  <c:v>98718.214425328362</c:v>
                </c:pt>
                <c:pt idx="26">
                  <c:v>89923.219310254441</c:v>
                </c:pt>
                <c:pt idx="27">
                  <c:v>94166.756405578548</c:v>
                </c:pt>
                <c:pt idx="28">
                  <c:v>90388.148244253738</c:v>
                </c:pt>
                <c:pt idx="29">
                  <c:v>92718.493149981601</c:v>
                </c:pt>
              </c:numCache>
            </c:numRef>
          </c:yVal>
          <c:smooth val="1"/>
        </c:ser>
        <c:ser>
          <c:idx val="5"/>
          <c:order val="5"/>
          <c:spPr>
            <a:ln>
              <a:solidFill>
                <a:srgbClr val="00B050"/>
              </a:solidFill>
            </a:ln>
          </c:spPr>
          <c:marker>
            <c:symbol val="none"/>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data'!$I$2:$I$31</c:f>
              <c:numCache>
                <c:formatCode>"£"#,##0</c:formatCode>
                <c:ptCount val="30"/>
                <c:pt idx="0">
                  <c:v>7958.8100881789924</c:v>
                </c:pt>
                <c:pt idx="1">
                  <c:v>11035.072076352895</c:v>
                </c:pt>
                <c:pt idx="2">
                  <c:v>13977.56855224908</c:v>
                </c:pt>
                <c:pt idx="3">
                  <c:v>16786.299515867897</c:v>
                </c:pt>
                <c:pt idx="4">
                  <c:v>19461.264967209299</c:v>
                </c:pt>
                <c:pt idx="5">
                  <c:v>22002.464906273221</c:v>
                </c:pt>
                <c:pt idx="6">
                  <c:v>24409.899333059617</c:v>
                </c:pt>
                <c:pt idx="7">
                  <c:v>26683.568247568619</c:v>
                </c:pt>
                <c:pt idx="8">
                  <c:v>28823.471649800096</c:v>
                </c:pt>
                <c:pt idx="9">
                  <c:v>30829.609539754096</c:v>
                </c:pt>
                <c:pt idx="10">
                  <c:v>32701.981917430716</c:v>
                </c:pt>
                <c:pt idx="11">
                  <c:v>34440.588782829807</c:v>
                </c:pt>
                <c:pt idx="12">
                  <c:v>36045.430135951457</c:v>
                </c:pt>
                <c:pt idx="13">
                  <c:v>37516.505976795597</c:v>
                </c:pt>
                <c:pt idx="14">
                  <c:v>38853.816305362343</c:v>
                </c:pt>
                <c:pt idx="15">
                  <c:v>40057.361121650974</c:v>
                </c:pt>
                <c:pt idx="16">
                  <c:v>41127.140425662976</c:v>
                </c:pt>
                <c:pt idx="17">
                  <c:v>42063.154217398507</c:v>
                </c:pt>
                <c:pt idx="18">
                  <c:v>42865.402496854411</c:v>
                </c:pt>
                <c:pt idx="19">
                  <c:v>43533.885264033786</c:v>
                </c:pt>
                <c:pt idx="20">
                  <c:v>44068.602518935673</c:v>
                </c:pt>
                <c:pt idx="21">
                  <c:v>44469.554261560072</c:v>
                </c:pt>
                <c:pt idx="22">
                  <c:v>44736.740491906996</c:v>
                </c:pt>
                <c:pt idx="23">
                  <c:v>44870.161209976533</c:v>
                </c:pt>
                <c:pt idx="24">
                  <c:v>44869.816415768611</c:v>
                </c:pt>
                <c:pt idx="25">
                  <c:v>44735.706109283128</c:v>
                </c:pt>
                <c:pt idx="26">
                  <c:v>44467.8302905202</c:v>
                </c:pt>
                <c:pt idx="27">
                  <c:v>44066.188959480212</c:v>
                </c:pt>
                <c:pt idx="28">
                  <c:v>43530.782116161936</c:v>
                </c:pt>
                <c:pt idx="29">
                  <c:v>42861.609760565974</c:v>
                </c:pt>
              </c:numCache>
            </c:numRef>
          </c:yVal>
          <c:smooth val="1"/>
        </c:ser>
        <c:ser>
          <c:idx val="6"/>
          <c:order val="6"/>
          <c:spPr>
            <a:ln>
              <a:solidFill>
                <a:srgbClr val="FFC000"/>
              </a:solidFill>
            </a:ln>
          </c:spPr>
          <c:marker>
            <c:symbol val="none"/>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data'!$J$2:$J$31</c:f>
              <c:numCache>
                <c:formatCode>"£"#,##0</c:formatCode>
                <c:ptCount val="30"/>
                <c:pt idx="0">
                  <c:v>16180.137742351553</c:v>
                </c:pt>
                <c:pt idx="1">
                  <c:v>19788.775397250261</c:v>
                </c:pt>
                <c:pt idx="2">
                  <c:v>23267.078019765231</c:v>
                </c:pt>
                <c:pt idx="3">
                  <c:v>26615.045609896297</c:v>
                </c:pt>
                <c:pt idx="4">
                  <c:v>29832.678167643586</c:v>
                </c:pt>
                <c:pt idx="5">
                  <c:v>32919.975693006963</c:v>
                </c:pt>
                <c:pt idx="6">
                  <c:v>35876.938185986379</c:v>
                </c:pt>
                <c:pt idx="7">
                  <c:v>38703.565646581221</c:v>
                </c:pt>
                <c:pt idx="8">
                  <c:v>41399.858074793643</c:v>
                </c:pt>
                <c:pt idx="9">
                  <c:v>43965.815470621375</c:v>
                </c:pt>
                <c:pt idx="10">
                  <c:v>46401.437834065306</c:v>
                </c:pt>
                <c:pt idx="11">
                  <c:v>48706.725165124975</c:v>
                </c:pt>
                <c:pt idx="12">
                  <c:v>50881.677463800974</c:v>
                </c:pt>
                <c:pt idx="13">
                  <c:v>52926.294730093578</c:v>
                </c:pt>
                <c:pt idx="14">
                  <c:v>54840.576964001935</c:v>
                </c:pt>
                <c:pt idx="15">
                  <c:v>56624.524165526185</c:v>
                </c:pt>
                <c:pt idx="16">
                  <c:v>58278.136334666939</c:v>
                </c:pt>
                <c:pt idx="17">
                  <c:v>59801.413471423599</c:v>
                </c:pt>
                <c:pt idx="18">
                  <c:v>61194.35557579701</c:v>
                </c:pt>
                <c:pt idx="19">
                  <c:v>62456.962647785156</c:v>
                </c:pt>
                <c:pt idx="20">
                  <c:v>63589.234687390199</c:v>
                </c:pt>
                <c:pt idx="21">
                  <c:v>64591.171694610748</c:v>
                </c:pt>
                <c:pt idx="22">
                  <c:v>65462.773669448543</c:v>
                </c:pt>
                <c:pt idx="23">
                  <c:v>66204.040611901772</c:v>
                </c:pt>
                <c:pt idx="24">
                  <c:v>66814.972521971198</c:v>
                </c:pt>
                <c:pt idx="25">
                  <c:v>67295.569399656742</c:v>
                </c:pt>
                <c:pt idx="26">
                  <c:v>67645.831244958405</c:v>
                </c:pt>
                <c:pt idx="27">
                  <c:v>67865.758057876068</c:v>
                </c:pt>
                <c:pt idx="28">
                  <c:v>67955.349838409908</c:v>
                </c:pt>
                <c:pt idx="29">
                  <c:v>67914.606586559938</c:v>
                </c:pt>
              </c:numCache>
            </c:numRef>
          </c:yVal>
          <c:smooth val="1"/>
        </c:ser>
        <c:ser>
          <c:idx val="7"/>
          <c:order val="7"/>
          <c:spPr>
            <a:ln>
              <a:solidFill>
                <a:srgbClr val="FF0000"/>
              </a:solidFill>
            </a:ln>
          </c:spPr>
          <c:marker>
            <c:symbol val="none"/>
          </c:marker>
          <c:xVal>
            <c:numRef>
              <c:f>' fig1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 fig1 data'!$K$2:$K$31</c:f>
              <c:numCache>
                <c:formatCode>"£"#,##0</c:formatCode>
                <c:ptCount val="30"/>
                <c:pt idx="0">
                  <c:v>21835.428586004509</c:v>
                </c:pt>
                <c:pt idx="1">
                  <c:v>26781.4576879329</c:v>
                </c:pt>
                <c:pt idx="2">
                  <c:v>31549.003341498697</c:v>
                </c:pt>
                <c:pt idx="3">
                  <c:v>36138.065546701975</c:v>
                </c:pt>
                <c:pt idx="4">
                  <c:v>40548.644303542736</c:v>
                </c:pt>
                <c:pt idx="5">
                  <c:v>44780.739612020931</c:v>
                </c:pt>
                <c:pt idx="6">
                  <c:v>48834.351472136543</c:v>
                </c:pt>
                <c:pt idx="7">
                  <c:v>52709.47988388958</c:v>
                </c:pt>
                <c:pt idx="8">
                  <c:v>56406.124847280036</c:v>
                </c:pt>
                <c:pt idx="9">
                  <c:v>59924.286362308041</c:v>
                </c:pt>
                <c:pt idx="10">
                  <c:v>63263.964428973377</c:v>
                </c:pt>
                <c:pt idx="11">
                  <c:v>66425.15904727616</c:v>
                </c:pt>
                <c:pt idx="12">
                  <c:v>69407.87021721639</c:v>
                </c:pt>
                <c:pt idx="13">
                  <c:v>72212.097938794133</c:v>
                </c:pt>
                <c:pt idx="14">
                  <c:v>74837.842212008938</c:v>
                </c:pt>
                <c:pt idx="15">
                  <c:v>77285.103036861823</c:v>
                </c:pt>
                <c:pt idx="16">
                  <c:v>79553.880413351857</c:v>
                </c:pt>
                <c:pt idx="17">
                  <c:v>81644.174341479229</c:v>
                </c:pt>
                <c:pt idx="18">
                  <c:v>83555.984821244172</c:v>
                </c:pt>
                <c:pt idx="19">
                  <c:v>85289.311852646468</c:v>
                </c:pt>
                <c:pt idx="20">
                  <c:v>86844.155435686407</c:v>
                </c:pt>
                <c:pt idx="21">
                  <c:v>88220.515570363248</c:v>
                </c:pt>
                <c:pt idx="22">
                  <c:v>89418.392256678038</c:v>
                </c:pt>
                <c:pt idx="23">
                  <c:v>90437.785494630487</c:v>
                </c:pt>
                <c:pt idx="24">
                  <c:v>91278.695284219619</c:v>
                </c:pt>
                <c:pt idx="25">
                  <c:v>91941.121625446656</c:v>
                </c:pt>
                <c:pt idx="26">
                  <c:v>92425.064518311032</c:v>
                </c:pt>
                <c:pt idx="27">
                  <c:v>92730.523962812906</c:v>
                </c:pt>
                <c:pt idx="28">
                  <c:v>92857.499958952161</c:v>
                </c:pt>
                <c:pt idx="29">
                  <c:v>92805.992506728318</c:v>
                </c:pt>
              </c:numCache>
            </c:numRef>
          </c:yVal>
          <c:smooth val="1"/>
        </c:ser>
        <c:dLbls>
          <c:showLegendKey val="0"/>
          <c:showVal val="0"/>
          <c:showCatName val="0"/>
          <c:showSerName val="0"/>
          <c:showPercent val="0"/>
          <c:showBubbleSize val="0"/>
        </c:dLbls>
        <c:axId val="37731648"/>
        <c:axId val="46339136"/>
      </c:scatterChart>
      <c:valAx>
        <c:axId val="37731648"/>
        <c:scaling>
          <c:orientation val="minMax"/>
          <c:max val="55"/>
          <c:min val="20"/>
        </c:scaling>
        <c:delete val="0"/>
        <c:axPos val="b"/>
        <c:title>
          <c:tx>
            <c:rich>
              <a:bodyPr/>
              <a:lstStyle/>
              <a:p>
                <a:pPr>
                  <a:defRPr/>
                </a:pPr>
                <a:r>
                  <a:rPr lang="en-GB" sz="1100" b="0" i="0" baseline="0">
                    <a:latin typeface="Verdana" pitchFamily="34" charset="0"/>
                  </a:rPr>
                  <a:t>Age</a:t>
                </a:r>
              </a:p>
            </c:rich>
          </c:tx>
          <c:overlay val="0"/>
        </c:title>
        <c:numFmt formatCode="#,##0" sourceLinked="1"/>
        <c:majorTickMark val="out"/>
        <c:minorTickMark val="none"/>
        <c:tickLblPos val="nextTo"/>
        <c:txPr>
          <a:bodyPr/>
          <a:lstStyle/>
          <a:p>
            <a:pPr>
              <a:defRPr sz="1100" baseline="0">
                <a:latin typeface="Verdana" pitchFamily="34" charset="0"/>
              </a:defRPr>
            </a:pPr>
            <a:endParaRPr lang="en-US"/>
          </a:p>
        </c:txPr>
        <c:crossAx val="46339136"/>
        <c:crosses val="autoZero"/>
        <c:crossBetween val="midCat"/>
      </c:valAx>
      <c:valAx>
        <c:axId val="46339136"/>
        <c:scaling>
          <c:orientation val="minMax"/>
          <c:max val="100000"/>
          <c:min val="0"/>
        </c:scaling>
        <c:delete val="0"/>
        <c:axPos val="l"/>
        <c:majorGridlines/>
        <c:numFmt formatCode="&quot;£&quot;#,##0" sourceLinked="1"/>
        <c:majorTickMark val="out"/>
        <c:minorTickMark val="none"/>
        <c:tickLblPos val="nextTo"/>
        <c:txPr>
          <a:bodyPr/>
          <a:lstStyle/>
          <a:p>
            <a:pPr>
              <a:defRPr sz="1100" baseline="0">
                <a:latin typeface="Verdana" pitchFamily="34" charset="0"/>
              </a:defRPr>
            </a:pPr>
            <a:endParaRPr lang="en-US"/>
          </a:p>
        </c:txPr>
        <c:crossAx val="37731648"/>
        <c:crosses val="autoZero"/>
        <c:crossBetween val="midCat"/>
        <c:majorUnit val="20000"/>
      </c:valAx>
    </c:plotArea>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spPr>
            <a:ln>
              <a:solidFill>
                <a:schemeClr val="tx1"/>
              </a:solidFill>
            </a:ln>
          </c:spPr>
          <c:marker>
            <c:symbol val="none"/>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data'!$D$2:$D$31</c:f>
              <c:numCache>
                <c:formatCode>"£"#,##0</c:formatCode>
                <c:ptCount val="30"/>
                <c:pt idx="0">
                  <c:v>21000</c:v>
                </c:pt>
                <c:pt idx="1">
                  <c:v>21088.760806916431</c:v>
                </c:pt>
                <c:pt idx="2">
                  <c:v>21141.421946080816</c:v>
                </c:pt>
                <c:pt idx="3">
                  <c:v>21249.224078382296</c:v>
                </c:pt>
                <c:pt idx="4">
                  <c:v>21413.057725864131</c:v>
                </c:pt>
                <c:pt idx="5">
                  <c:v>21636.32575389979</c:v>
                </c:pt>
                <c:pt idx="6">
                  <c:v>21918.811631731096</c:v>
                </c:pt>
                <c:pt idx="7">
                  <c:v>22204.985671410461</c:v>
                </c:pt>
                <c:pt idx="8">
                  <c:v>22494.896025921131</c:v>
                </c:pt>
                <c:pt idx="9">
                  <c:v>22788.591476936239</c:v>
                </c:pt>
                <c:pt idx="10">
                  <c:v>23086.121443028071</c:v>
                </c:pt>
                <c:pt idx="11">
                  <c:v>23387.535987980496</c:v>
                </c:pt>
                <c:pt idx="12">
                  <c:v>23692.88582921632</c:v>
                </c:pt>
                <c:pt idx="13">
                  <c:v>24002.222346328897</c:v>
                </c:pt>
                <c:pt idx="14">
                  <c:v>24315.597589728761</c:v>
                </c:pt>
                <c:pt idx="15">
                  <c:v>24633.06428940122</c:v>
                </c:pt>
                <c:pt idx="16">
                  <c:v>24954.675863779281</c:v>
                </c:pt>
                <c:pt idx="17">
                  <c:v>25280.486428731921</c:v>
                </c:pt>
                <c:pt idx="18">
                  <c:v>25610.5508066699</c:v>
                </c:pt>
                <c:pt idx="19">
                  <c:v>25944.924535770526</c:v>
                </c:pt>
                <c:pt idx="20">
                  <c:v>26283.663879322659</c:v>
                </c:pt>
                <c:pt idx="21">
                  <c:v>26626.825835193969</c:v>
                </c:pt>
                <c:pt idx="22">
                  <c:v>26974.468145421622</c:v>
                </c:pt>
                <c:pt idx="23">
                  <c:v>27326.64930592728</c:v>
                </c:pt>
                <c:pt idx="24">
                  <c:v>27683.428576362498</c:v>
                </c:pt>
                <c:pt idx="25">
                  <c:v>28044.865990077098</c:v>
                </c:pt>
                <c:pt idx="26">
                  <c:v>28411.022364222321</c:v>
                </c:pt>
                <c:pt idx="27">
                  <c:v>28781.959309983296</c:v>
                </c:pt>
                <c:pt idx="28">
                  <c:v>29157.739242947002</c:v>
                </c:pt>
                <c:pt idx="29">
                  <c:v>29538.425393605081</c:v>
                </c:pt>
              </c:numCache>
            </c:numRef>
          </c:yVal>
          <c:smooth val="1"/>
        </c:ser>
        <c:ser>
          <c:idx val="1"/>
          <c:order val="1"/>
          <c:spPr>
            <a:ln>
              <a:solidFill>
                <a:prstClr val="black"/>
              </a:solidFill>
            </a:ln>
          </c:spPr>
          <c:marker>
            <c:symbol val="none"/>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data'!$E$2:$E$31</c:f>
              <c:numCache>
                <c:formatCode>"£"#,##0</c:formatCode>
                <c:ptCount val="30"/>
                <c:pt idx="0">
                  <c:v>41000</c:v>
                </c:pt>
                <c:pt idx="1">
                  <c:v>41173.294908741576</c:v>
                </c:pt>
                <c:pt idx="2">
                  <c:v>41276.109513777003</c:v>
                </c:pt>
                <c:pt idx="3">
                  <c:v>41486.580343508482</c:v>
                </c:pt>
                <c:pt idx="4">
                  <c:v>41806.446036211011</c:v>
                </c:pt>
                <c:pt idx="5">
                  <c:v>42242.350281423613</c:v>
                </c:pt>
                <c:pt idx="6">
                  <c:v>42793.870328618003</c:v>
                </c:pt>
                <c:pt idx="7">
                  <c:v>43352.591072753348</c:v>
                </c:pt>
                <c:pt idx="8">
                  <c:v>43918.606526798612</c:v>
                </c:pt>
                <c:pt idx="9">
                  <c:v>44492.011931161775</c:v>
                </c:pt>
                <c:pt idx="10">
                  <c:v>45072.903769721219</c:v>
                </c:pt>
                <c:pt idx="11">
                  <c:v>45661.379786057194</c:v>
                </c:pt>
                <c:pt idx="12">
                  <c:v>46257.538999898643</c:v>
                </c:pt>
                <c:pt idx="13">
                  <c:v>46861.481723784971</c:v>
                </c:pt>
                <c:pt idx="14">
                  <c:v>47473.309579947207</c:v>
                </c:pt>
                <c:pt idx="15">
                  <c:v>48093.125517402383</c:v>
                </c:pt>
                <c:pt idx="16">
                  <c:v>48721.033829283326</c:v>
                </c:pt>
                <c:pt idx="17">
                  <c:v>49357.140170381324</c:v>
                </c:pt>
                <c:pt idx="18">
                  <c:v>50001.551574927013</c:v>
                </c:pt>
                <c:pt idx="19">
                  <c:v>50654.376474599609</c:v>
                </c:pt>
                <c:pt idx="20">
                  <c:v>51315.724716772806</c:v>
                </c:pt>
                <c:pt idx="21">
                  <c:v>51985.707582997587</c:v>
                </c:pt>
                <c:pt idx="22">
                  <c:v>52664.43780772727</c:v>
                </c:pt>
                <c:pt idx="23">
                  <c:v>53352.029597286601</c:v>
                </c:pt>
                <c:pt idx="24">
                  <c:v>54048.598649088679</c:v>
                </c:pt>
                <c:pt idx="25">
                  <c:v>54754.262171102906</c:v>
                </c:pt>
                <c:pt idx="26">
                  <c:v>55469.138901576676</c:v>
                </c:pt>
                <c:pt idx="27">
                  <c:v>56193.349129015078</c:v>
                </c:pt>
                <c:pt idx="28">
                  <c:v>56927.014712421013</c:v>
                </c:pt>
                <c:pt idx="29">
                  <c:v>57670.259101799777</c:v>
                </c:pt>
              </c:numCache>
            </c:numRef>
          </c:yVal>
          <c:smooth val="1"/>
        </c:ser>
        <c:ser>
          <c:idx val="2"/>
          <c:order val="2"/>
          <c:spPr>
            <a:ln>
              <a:noFill/>
            </a:ln>
          </c:spPr>
          <c:marker>
            <c:symbol val="square"/>
            <c:size val="7"/>
            <c:spPr>
              <a:solidFill>
                <a:srgbClr val="00B050"/>
              </a:solidFill>
            </c:spPr>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data'!$F$2:$F$31</c:f>
              <c:numCache>
                <c:formatCode>"£"#,##0</c:formatCode>
                <c:ptCount val="30"/>
                <c:pt idx="0">
                  <c:v>6859.4566862147449</c:v>
                </c:pt>
                <c:pt idx="1">
                  <c:v>9376.2680797289431</c:v>
                </c:pt>
                <c:pt idx="2">
                  <c:v>17213.981688715034</c:v>
                </c:pt>
                <c:pt idx="3">
                  <c:v>17645.744462654529</c:v>
                </c:pt>
                <c:pt idx="4">
                  <c:v>16622.756599147757</c:v>
                </c:pt>
                <c:pt idx="5">
                  <c:v>14677.598396548045</c:v>
                </c:pt>
                <c:pt idx="6">
                  <c:v>22492.009961504897</c:v>
                </c:pt>
                <c:pt idx="7">
                  <c:v>12986.876677183427</c:v>
                </c:pt>
                <c:pt idx="8">
                  <c:v>17312.369643899096</c:v>
                </c:pt>
                <c:pt idx="9">
                  <c:v>8731.2387081378802</c:v>
                </c:pt>
                <c:pt idx="10">
                  <c:v>15697.859853506829</c:v>
                </c:pt>
                <c:pt idx="11">
                  <c:v>11220.378026269267</c:v>
                </c:pt>
                <c:pt idx="12">
                  <c:v>14653.072168256334</c:v>
                </c:pt>
                <c:pt idx="13">
                  <c:v>4958.5821463188431</c:v>
                </c:pt>
                <c:pt idx="14">
                  <c:v>10151.03452008201</c:v>
                </c:pt>
                <c:pt idx="15">
                  <c:v>10633.255536446241</c:v>
                </c:pt>
                <c:pt idx="16">
                  <c:v>0</c:v>
                </c:pt>
                <c:pt idx="17">
                  <c:v>8130.3708241123704</c:v>
                </c:pt>
                <c:pt idx="18">
                  <c:v>4302.8149836482598</c:v>
                </c:pt>
                <c:pt idx="19">
                  <c:v>18533.437613081762</c:v>
                </c:pt>
                <c:pt idx="20">
                  <c:v>3675.8355106637609</c:v>
                </c:pt>
                <c:pt idx="21">
                  <c:v>19354.893415192921</c:v>
                </c:pt>
                <c:pt idx="22">
                  <c:v>11317.33859618538</c:v>
                </c:pt>
                <c:pt idx="23">
                  <c:v>16985.331584646716</c:v>
                </c:pt>
                <c:pt idx="24">
                  <c:v>17200.212130367658</c:v>
                </c:pt>
                <c:pt idx="25">
                  <c:v>15392.65313641998</c:v>
                </c:pt>
                <c:pt idx="26">
                  <c:v>18365.715288294581</c:v>
                </c:pt>
                <c:pt idx="27">
                  <c:v>19553.260720991158</c:v>
                </c:pt>
                <c:pt idx="28">
                  <c:v>24376.075044963061</c:v>
                </c:pt>
                <c:pt idx="29">
                  <c:v>8445.6449205923909</c:v>
                </c:pt>
              </c:numCache>
            </c:numRef>
          </c:yVal>
          <c:smooth val="1"/>
        </c:ser>
        <c:ser>
          <c:idx val="3"/>
          <c:order val="3"/>
          <c:spPr>
            <a:ln>
              <a:noFill/>
            </a:ln>
          </c:spPr>
          <c:marker>
            <c:symbol val="square"/>
            <c:size val="7"/>
            <c:spPr>
              <a:solidFill>
                <a:srgbClr val="FFC000"/>
              </a:solidFill>
            </c:spPr>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data'!$G$2:$G$31</c:f>
              <c:numCache>
                <c:formatCode>"£"#,##0</c:formatCode>
                <c:ptCount val="30"/>
                <c:pt idx="0">
                  <c:v>16836.848229799831</c:v>
                </c:pt>
                <c:pt idx="1">
                  <c:v>19377.620698106497</c:v>
                </c:pt>
                <c:pt idx="2">
                  <c:v>24512.29897095649</c:v>
                </c:pt>
                <c:pt idx="3">
                  <c:v>23130.293635370152</c:v>
                </c:pt>
                <c:pt idx="4">
                  <c:v>27590.989591251771</c:v>
                </c:pt>
                <c:pt idx="5">
                  <c:v>27434.770092078659</c:v>
                </c:pt>
                <c:pt idx="6">
                  <c:v>33310.681195576435</c:v>
                </c:pt>
                <c:pt idx="7">
                  <c:v>31300.139490332283</c:v>
                </c:pt>
                <c:pt idx="8">
                  <c:v>33870.82824971759</c:v>
                </c:pt>
                <c:pt idx="9">
                  <c:v>32557.499856706898</c:v>
                </c:pt>
                <c:pt idx="10">
                  <c:v>33996.460985270605</c:v>
                </c:pt>
                <c:pt idx="11">
                  <c:v>29803.573236622386</c:v>
                </c:pt>
                <c:pt idx="12">
                  <c:v>33377.024541276602</c:v>
                </c:pt>
                <c:pt idx="13">
                  <c:v>31539.63784377059</c:v>
                </c:pt>
                <c:pt idx="14">
                  <c:v>34226.598811373602</c:v>
                </c:pt>
                <c:pt idx="15">
                  <c:v>36639.969663708136</c:v>
                </c:pt>
                <c:pt idx="16">
                  <c:v>25293.008625734521</c:v>
                </c:pt>
                <c:pt idx="17">
                  <c:v>29984.44077046528</c:v>
                </c:pt>
                <c:pt idx="18">
                  <c:v>30444.441328571291</c:v>
                </c:pt>
                <c:pt idx="19">
                  <c:v>40961.30406486048</c:v>
                </c:pt>
                <c:pt idx="20">
                  <c:v>31448.689880199261</c:v>
                </c:pt>
                <c:pt idx="21">
                  <c:v>40599.648714681825</c:v>
                </c:pt>
                <c:pt idx="22">
                  <c:v>34614.50783924901</c:v>
                </c:pt>
                <c:pt idx="23">
                  <c:v>38519.634632333131</c:v>
                </c:pt>
                <c:pt idx="24">
                  <c:v>40766.423318762107</c:v>
                </c:pt>
                <c:pt idx="25">
                  <c:v>40226.133841164985</c:v>
                </c:pt>
                <c:pt idx="26">
                  <c:v>35495.935593611299</c:v>
                </c:pt>
                <c:pt idx="27">
                  <c:v>47352.787964644725</c:v>
                </c:pt>
                <c:pt idx="28">
                  <c:v>45475.428427010476</c:v>
                </c:pt>
                <c:pt idx="29">
                  <c:v>40373.946083731586</c:v>
                </c:pt>
              </c:numCache>
            </c:numRef>
          </c:yVal>
          <c:smooth val="1"/>
        </c:ser>
        <c:ser>
          <c:idx val="4"/>
          <c:order val="4"/>
          <c:spPr>
            <a:ln>
              <a:noFill/>
            </a:ln>
          </c:spPr>
          <c:marker>
            <c:symbol val="square"/>
            <c:size val="7"/>
            <c:spPr>
              <a:solidFill>
                <a:srgbClr val="FF0000"/>
              </a:solidFill>
            </c:spPr>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data'!$H$2:$H$31</c:f>
              <c:numCache>
                <c:formatCode>"£"#,##0</c:formatCode>
                <c:ptCount val="30"/>
                <c:pt idx="0">
                  <c:v>23072.717944540498</c:v>
                </c:pt>
                <c:pt idx="1">
                  <c:v>25628.466084592845</c:v>
                </c:pt>
                <c:pt idx="2">
                  <c:v>31525.175949278029</c:v>
                </c:pt>
                <c:pt idx="3">
                  <c:v>31116.92308686515</c:v>
                </c:pt>
                <c:pt idx="4">
                  <c:v>32691.497650378697</c:v>
                </c:pt>
                <c:pt idx="5">
                  <c:v>36528.702186080976</c:v>
                </c:pt>
                <c:pt idx="6">
                  <c:v>41885.602597872203</c:v>
                </c:pt>
                <c:pt idx="7">
                  <c:v>42229.622751870986</c:v>
                </c:pt>
                <c:pt idx="8">
                  <c:v>42279.390411298613</c:v>
                </c:pt>
                <c:pt idx="9">
                  <c:v>45893.390057752833</c:v>
                </c:pt>
                <c:pt idx="10">
                  <c:v>46652.617488683107</c:v>
                </c:pt>
                <c:pt idx="11">
                  <c:v>45925.065334057806</c:v>
                </c:pt>
                <c:pt idx="12">
                  <c:v>46362.380419461013</c:v>
                </c:pt>
                <c:pt idx="13">
                  <c:v>45866.881998688681</c:v>
                </c:pt>
                <c:pt idx="14">
                  <c:v>48471.189833391603</c:v>
                </c:pt>
                <c:pt idx="15">
                  <c:v>51826.879654779841</c:v>
                </c:pt>
                <c:pt idx="16">
                  <c:v>52272.043701334507</c:v>
                </c:pt>
                <c:pt idx="17">
                  <c:v>51222.689249182673</c:v>
                </c:pt>
                <c:pt idx="18">
                  <c:v>54070.891642087176</c:v>
                </c:pt>
                <c:pt idx="19">
                  <c:v>59474.514124902998</c:v>
                </c:pt>
                <c:pt idx="20">
                  <c:v>57269.601661089298</c:v>
                </c:pt>
                <c:pt idx="21">
                  <c:v>56216.526750082325</c:v>
                </c:pt>
                <c:pt idx="22">
                  <c:v>55988.831562265455</c:v>
                </c:pt>
                <c:pt idx="23">
                  <c:v>59542.167624275426</c:v>
                </c:pt>
                <c:pt idx="24">
                  <c:v>57460.366271987543</c:v>
                </c:pt>
                <c:pt idx="25">
                  <c:v>65831.211360139263</c:v>
                </c:pt>
                <c:pt idx="26">
                  <c:v>59983.454604057013</c:v>
                </c:pt>
                <c:pt idx="27">
                  <c:v>64179.3446124232</c:v>
                </c:pt>
                <c:pt idx="28">
                  <c:v>62969.472442608225</c:v>
                </c:pt>
                <c:pt idx="29">
                  <c:v>61781.728603898628</c:v>
                </c:pt>
              </c:numCache>
            </c:numRef>
          </c:yVal>
          <c:smooth val="1"/>
        </c:ser>
        <c:ser>
          <c:idx val="5"/>
          <c:order val="5"/>
          <c:spPr>
            <a:ln>
              <a:solidFill>
                <a:srgbClr val="00B050"/>
              </a:solidFill>
            </a:ln>
          </c:spPr>
          <c:marker>
            <c:symbol val="none"/>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data'!$I$2:$I$31</c:f>
              <c:numCache>
                <c:formatCode>"£"#,##0</c:formatCode>
                <c:ptCount val="30"/>
                <c:pt idx="0">
                  <c:v>15930.243766148355</c:v>
                </c:pt>
                <c:pt idx="1">
                  <c:v>15224.28187495879</c:v>
                </c:pt>
                <c:pt idx="2">
                  <c:v>14573.997859780799</c:v>
                </c:pt>
                <c:pt idx="3">
                  <c:v>13979.391720614509</c:v>
                </c:pt>
                <c:pt idx="4">
                  <c:v>13440.463457459658</c:v>
                </c:pt>
                <c:pt idx="5">
                  <c:v>12957.213070316435</c:v>
                </c:pt>
                <c:pt idx="6">
                  <c:v>12529.64055918439</c:v>
                </c:pt>
                <c:pt idx="7">
                  <c:v>12157.745924063924</c:v>
                </c:pt>
                <c:pt idx="8">
                  <c:v>11841.52916495518</c:v>
                </c:pt>
                <c:pt idx="9">
                  <c:v>11580.99028185783</c:v>
                </c:pt>
                <c:pt idx="10">
                  <c:v>11376.129274771994</c:v>
                </c:pt>
                <c:pt idx="11">
                  <c:v>11226.946143697538</c:v>
                </c:pt>
                <c:pt idx="12">
                  <c:v>11133.440888634846</c:v>
                </c:pt>
                <c:pt idx="13">
                  <c:v>11095.613509583489</c:v>
                </c:pt>
                <c:pt idx="14">
                  <c:v>11113.464006543689</c:v>
                </c:pt>
                <c:pt idx="15">
                  <c:v>11186.99237951539</c:v>
                </c:pt>
                <c:pt idx="16">
                  <c:v>11316.19862849858</c:v>
                </c:pt>
                <c:pt idx="17">
                  <c:v>11501.08275349328</c:v>
                </c:pt>
                <c:pt idx="18">
                  <c:v>11741.644754499606</c:v>
                </c:pt>
                <c:pt idx="19">
                  <c:v>12037.884631517209</c:v>
                </c:pt>
                <c:pt idx="20">
                  <c:v>12389.802384546429</c:v>
                </c:pt>
                <c:pt idx="21">
                  <c:v>12797.398013586997</c:v>
                </c:pt>
                <c:pt idx="22">
                  <c:v>13260.67151863941</c:v>
                </c:pt>
                <c:pt idx="23">
                  <c:v>13779.622899703149</c:v>
                </c:pt>
                <c:pt idx="24">
                  <c:v>14354.25215677841</c:v>
                </c:pt>
                <c:pt idx="25">
                  <c:v>14984.559289865167</c:v>
                </c:pt>
                <c:pt idx="26">
                  <c:v>15670.54429896343</c:v>
                </c:pt>
                <c:pt idx="27">
                  <c:v>16412.207184073432</c:v>
                </c:pt>
                <c:pt idx="28">
                  <c:v>17209.547945194521</c:v>
                </c:pt>
                <c:pt idx="29">
                  <c:v>18062.566582327261</c:v>
                </c:pt>
              </c:numCache>
            </c:numRef>
          </c:yVal>
          <c:smooth val="1"/>
        </c:ser>
        <c:ser>
          <c:idx val="6"/>
          <c:order val="6"/>
          <c:spPr>
            <a:ln>
              <a:solidFill>
                <a:srgbClr val="FFC000"/>
              </a:solidFill>
            </a:ln>
          </c:spPr>
          <c:marker>
            <c:symbol val="none"/>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data'!$J$2:$J$31</c:f>
              <c:numCache>
                <c:formatCode>"£"#,##0</c:formatCode>
                <c:ptCount val="30"/>
                <c:pt idx="0">
                  <c:v>22314.545895055569</c:v>
                </c:pt>
                <c:pt idx="1">
                  <c:v>23193.961529758421</c:v>
                </c:pt>
                <c:pt idx="2">
                  <c:v>24058.372087670497</c:v>
                </c:pt>
                <c:pt idx="3">
                  <c:v>24907.777568791858</c:v>
                </c:pt>
                <c:pt idx="4">
                  <c:v>25742.17797312246</c:v>
                </c:pt>
                <c:pt idx="5">
                  <c:v>26561.573300662301</c:v>
                </c:pt>
                <c:pt idx="6">
                  <c:v>27365.96355141138</c:v>
                </c:pt>
                <c:pt idx="7">
                  <c:v>28155.34872536972</c:v>
                </c:pt>
                <c:pt idx="8">
                  <c:v>28929.728822537301</c:v>
                </c:pt>
                <c:pt idx="9">
                  <c:v>29689.103842914101</c:v>
                </c:pt>
                <c:pt idx="10">
                  <c:v>30433.473786500141</c:v>
                </c:pt>
                <c:pt idx="11">
                  <c:v>31162.838653295417</c:v>
                </c:pt>
                <c:pt idx="12">
                  <c:v>31877.198443299971</c:v>
                </c:pt>
                <c:pt idx="13">
                  <c:v>32576.55315651375</c:v>
                </c:pt>
                <c:pt idx="14">
                  <c:v>33260.902792936773</c:v>
                </c:pt>
                <c:pt idx="15">
                  <c:v>33930.247352568986</c:v>
                </c:pt>
                <c:pt idx="16">
                  <c:v>34584.586835410613</c:v>
                </c:pt>
                <c:pt idx="17">
                  <c:v>35223.921241461176</c:v>
                </c:pt>
                <c:pt idx="18">
                  <c:v>35848.250570721277</c:v>
                </c:pt>
                <c:pt idx="19">
                  <c:v>36457.574823190611</c:v>
                </c:pt>
                <c:pt idx="20">
                  <c:v>37051.893998868996</c:v>
                </c:pt>
                <c:pt idx="21">
                  <c:v>37631.208097756731</c:v>
                </c:pt>
                <c:pt idx="22">
                  <c:v>38195.517119853677</c:v>
                </c:pt>
                <c:pt idx="23">
                  <c:v>38744.821065159878</c:v>
                </c:pt>
                <c:pt idx="24">
                  <c:v>39279.119933675327</c:v>
                </c:pt>
                <c:pt idx="25">
                  <c:v>39798.413725400023</c:v>
                </c:pt>
                <c:pt idx="26">
                  <c:v>40302.702440333698</c:v>
                </c:pt>
                <c:pt idx="27">
                  <c:v>40791.986078477756</c:v>
                </c:pt>
                <c:pt idx="28">
                  <c:v>41266.264639829533</c:v>
                </c:pt>
                <c:pt idx="29">
                  <c:v>41725.538124391198</c:v>
                </c:pt>
              </c:numCache>
            </c:numRef>
          </c:yVal>
          <c:smooth val="1"/>
        </c:ser>
        <c:ser>
          <c:idx val="7"/>
          <c:order val="7"/>
          <c:spPr>
            <a:ln>
              <a:solidFill>
                <a:srgbClr val="FF0000"/>
              </a:solidFill>
            </a:ln>
          </c:spPr>
          <c:marker>
            <c:symbol val="none"/>
          </c:marker>
          <c:xVal>
            <c:numRef>
              <c:f>'fig 1b data'!$B$2:$B$31</c:f>
              <c:numCache>
                <c:formatCode>#,##0</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'fig 1b data'!$K$2:$K$31</c:f>
              <c:numCache>
                <c:formatCode>"£"#,##0</c:formatCode>
                <c:ptCount val="30"/>
                <c:pt idx="0">
                  <c:v>25603.141826725336</c:v>
                </c:pt>
                <c:pt idx="1">
                  <c:v>27796.284874955301</c:v>
                </c:pt>
                <c:pt idx="2">
                  <c:v>29923.93725000248</c:v>
                </c:pt>
                <c:pt idx="3">
                  <c:v>31986.098951866956</c:v>
                </c:pt>
                <c:pt idx="4">
                  <c:v>33982.769980548575</c:v>
                </c:pt>
                <c:pt idx="5">
                  <c:v>35913.950336048481</c:v>
                </c:pt>
                <c:pt idx="6">
                  <c:v>37779.640018364211</c:v>
                </c:pt>
                <c:pt idx="7">
                  <c:v>39579.839027497743</c:v>
                </c:pt>
                <c:pt idx="8">
                  <c:v>41314.547363448612</c:v>
                </c:pt>
                <c:pt idx="9">
                  <c:v>42983.765026216577</c:v>
                </c:pt>
                <c:pt idx="10">
                  <c:v>44587.492015802141</c:v>
                </c:pt>
                <c:pt idx="11">
                  <c:v>46125.728332204853</c:v>
                </c:pt>
                <c:pt idx="12">
                  <c:v>47598.473975425011</c:v>
                </c:pt>
                <c:pt idx="13">
                  <c:v>49005.728945462077</c:v>
                </c:pt>
                <c:pt idx="14">
                  <c:v>50347.493242316596</c:v>
                </c:pt>
                <c:pt idx="15">
                  <c:v>51623.766865988408</c:v>
                </c:pt>
                <c:pt idx="16">
                  <c:v>52834.549816478073</c:v>
                </c:pt>
                <c:pt idx="17">
                  <c:v>53979.842093783911</c:v>
                </c:pt>
                <c:pt idx="18">
                  <c:v>55059.643697907537</c:v>
                </c:pt>
                <c:pt idx="19">
                  <c:v>56073.954628849067</c:v>
                </c:pt>
                <c:pt idx="20">
                  <c:v>57022.774886606596</c:v>
                </c:pt>
                <c:pt idx="21">
                  <c:v>57906.104471182138</c:v>
                </c:pt>
                <c:pt idx="22">
                  <c:v>58723.943382574886</c:v>
                </c:pt>
                <c:pt idx="23">
                  <c:v>59476.291620784235</c:v>
                </c:pt>
                <c:pt idx="24">
                  <c:v>60163.149185811919</c:v>
                </c:pt>
                <c:pt idx="25">
                  <c:v>60784.516077657012</c:v>
                </c:pt>
                <c:pt idx="26">
                  <c:v>61340.392296318743</c:v>
                </c:pt>
                <c:pt idx="27">
                  <c:v>61830.777841797826</c:v>
                </c:pt>
                <c:pt idx="28">
                  <c:v>62255.67271409426</c:v>
                </c:pt>
                <c:pt idx="29">
                  <c:v>62615.076913208213</c:v>
                </c:pt>
              </c:numCache>
            </c:numRef>
          </c:yVal>
          <c:smooth val="1"/>
        </c:ser>
        <c:dLbls>
          <c:showLegendKey val="0"/>
          <c:showVal val="0"/>
          <c:showCatName val="0"/>
          <c:showSerName val="0"/>
          <c:showPercent val="0"/>
          <c:showBubbleSize val="0"/>
        </c:dLbls>
        <c:axId val="71506688"/>
        <c:axId val="71507264"/>
      </c:scatterChart>
      <c:valAx>
        <c:axId val="71506688"/>
        <c:scaling>
          <c:orientation val="minMax"/>
          <c:max val="55"/>
          <c:min val="20"/>
        </c:scaling>
        <c:delete val="0"/>
        <c:axPos val="b"/>
        <c:title>
          <c:tx>
            <c:rich>
              <a:bodyPr/>
              <a:lstStyle/>
              <a:p>
                <a:pPr>
                  <a:defRPr/>
                </a:pPr>
                <a:r>
                  <a:rPr lang="en-GB" sz="1100" b="0" i="0" baseline="0">
                    <a:latin typeface="Verdana" pitchFamily="34" charset="0"/>
                  </a:rPr>
                  <a:t>Age</a:t>
                </a:r>
              </a:p>
            </c:rich>
          </c:tx>
          <c:overlay val="0"/>
        </c:title>
        <c:numFmt formatCode="#,##0" sourceLinked="1"/>
        <c:majorTickMark val="out"/>
        <c:minorTickMark val="none"/>
        <c:tickLblPos val="nextTo"/>
        <c:txPr>
          <a:bodyPr/>
          <a:lstStyle/>
          <a:p>
            <a:pPr>
              <a:defRPr sz="1100" baseline="0">
                <a:latin typeface="Verdana" pitchFamily="34" charset="0"/>
              </a:defRPr>
            </a:pPr>
            <a:endParaRPr lang="en-US"/>
          </a:p>
        </c:txPr>
        <c:crossAx val="71507264"/>
        <c:crosses val="autoZero"/>
        <c:crossBetween val="midCat"/>
      </c:valAx>
      <c:valAx>
        <c:axId val="71507264"/>
        <c:scaling>
          <c:orientation val="minMax"/>
          <c:max val="100000"/>
          <c:min val="0"/>
        </c:scaling>
        <c:delete val="0"/>
        <c:axPos val="l"/>
        <c:majorGridlines/>
        <c:numFmt formatCode="&quot;£&quot;#,##0" sourceLinked="1"/>
        <c:majorTickMark val="out"/>
        <c:minorTickMark val="none"/>
        <c:tickLblPos val="nextTo"/>
        <c:txPr>
          <a:bodyPr/>
          <a:lstStyle/>
          <a:p>
            <a:pPr>
              <a:defRPr sz="1100" baseline="0">
                <a:latin typeface="Verdana" pitchFamily="34" charset="0"/>
              </a:defRPr>
            </a:pPr>
            <a:endParaRPr lang="en-US"/>
          </a:p>
        </c:txPr>
        <c:crossAx val="71506688"/>
        <c:crosses val="autoZero"/>
        <c:crossBetween val="midCat"/>
        <c:majorUnit val="20000"/>
      </c:valAx>
      <c:spPr>
        <a:ln>
          <a:noFill/>
        </a:ln>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tx>
            <c:v>Men</c:v>
          </c:tx>
          <c:marker>
            <c:symbol val="none"/>
          </c:marker>
          <c:xVal>
            <c:numRef>
              <c:f>'Annex A fig 2 data'!$H$9:$H$38</c:f>
              <c:numCache>
                <c:formatCode>General</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'Annex A fig 2 data'!$N$9:$N$38</c:f>
              <c:numCache>
                <c:formatCode>0%</c:formatCode>
                <c:ptCount val="30"/>
                <c:pt idx="0">
                  <c:v>0.21363160362778411</c:v>
                </c:pt>
                <c:pt idx="1">
                  <c:v>0.24692862660377868</c:v>
                </c:pt>
                <c:pt idx="2">
                  <c:v>0.27568853128637238</c:v>
                </c:pt>
                <c:pt idx="3">
                  <c:v>0.30015224764585252</c:v>
                </c:pt>
                <c:pt idx="4">
                  <c:v>0.32056070565250827</c:v>
                </c:pt>
                <c:pt idx="5">
                  <c:v>0.33715483527662626</c:v>
                </c:pt>
                <c:pt idx="6">
                  <c:v>0.3501755664884949</c:v>
                </c:pt>
                <c:pt idx="7">
                  <c:v>0.35986382925840554</c:v>
                </c:pt>
                <c:pt idx="8">
                  <c:v>0.36646055355664198</c:v>
                </c:pt>
                <c:pt idx="9">
                  <c:v>0.37020666935349567</c:v>
                </c:pt>
                <c:pt idx="10">
                  <c:v>0.3713431066192539</c:v>
                </c:pt>
                <c:pt idx="11">
                  <c:v>0.37011079532420493</c:v>
                </c:pt>
                <c:pt idx="12">
                  <c:v>0.36675066543863583</c:v>
                </c:pt>
                <c:pt idx="13">
                  <c:v>0.36150364693283532</c:v>
                </c:pt>
                <c:pt idx="14">
                  <c:v>0.35461066977709238</c:v>
                </c:pt>
                <c:pt idx="15">
                  <c:v>0.34631266394169419</c:v>
                </c:pt>
                <c:pt idx="16">
                  <c:v>0.33685055939692954</c:v>
                </c:pt>
                <c:pt idx="17">
                  <c:v>0.32646528611308673</c:v>
                </c:pt>
                <c:pt idx="18">
                  <c:v>0.31539777406045455</c:v>
                </c:pt>
                <c:pt idx="19">
                  <c:v>0.30388895320932052</c:v>
                </c:pt>
                <c:pt idx="20">
                  <c:v>0.29217975352997078</c:v>
                </c:pt>
                <c:pt idx="21">
                  <c:v>0.28051110499269738</c:v>
                </c:pt>
                <c:pt idx="22">
                  <c:v>0.26912393756778652</c:v>
                </c:pt>
                <c:pt idx="23">
                  <c:v>0.25825918122552771</c:v>
                </c:pt>
                <c:pt idx="24">
                  <c:v>0.24815776593620642</c:v>
                </c:pt>
                <c:pt idx="25">
                  <c:v>0.23906062167011388</c:v>
                </c:pt>
                <c:pt idx="26">
                  <c:v>0.231208678397536</c:v>
                </c:pt>
                <c:pt idx="27">
                  <c:v>0.22484286608875939</c:v>
                </c:pt>
                <c:pt idx="28">
                  <c:v>0.22020411471407897</c:v>
                </c:pt>
                <c:pt idx="29">
                  <c:v>0.21753335424377609</c:v>
                </c:pt>
              </c:numCache>
            </c:numRef>
          </c:yVal>
          <c:smooth val="0"/>
        </c:ser>
        <c:ser>
          <c:idx val="1"/>
          <c:order val="1"/>
          <c:tx>
            <c:v>Women</c:v>
          </c:tx>
          <c:marker>
            <c:symbol val="none"/>
          </c:marker>
          <c:xVal>
            <c:numRef>
              <c:f>'Annex A fig 2 data'!$H$9:$H$38</c:f>
              <c:numCache>
                <c:formatCode>General</c:formatCode>
                <c:ptCount val="30"/>
                <c:pt idx="0">
                  <c:v>22</c:v>
                </c:pt>
                <c:pt idx="1">
                  <c:v>23</c:v>
                </c:pt>
                <c:pt idx="2">
                  <c:v>24</c:v>
                </c:pt>
                <c:pt idx="3">
                  <c:v>25</c:v>
                </c:pt>
                <c:pt idx="4">
                  <c:v>26</c:v>
                </c:pt>
                <c:pt idx="5">
                  <c:v>27</c:v>
                </c:pt>
                <c:pt idx="6">
                  <c:v>28</c:v>
                </c:pt>
                <c:pt idx="7">
                  <c:v>29</c:v>
                </c:pt>
                <c:pt idx="8">
                  <c:v>30</c:v>
                </c:pt>
                <c:pt idx="9">
                  <c:v>31</c:v>
                </c:pt>
                <c:pt idx="10">
                  <c:v>32</c:v>
                </c:pt>
                <c:pt idx="11">
                  <c:v>33</c:v>
                </c:pt>
                <c:pt idx="12">
                  <c:v>34</c:v>
                </c:pt>
                <c:pt idx="13">
                  <c:v>35</c:v>
                </c:pt>
                <c:pt idx="14">
                  <c:v>36</c:v>
                </c:pt>
                <c:pt idx="15">
                  <c:v>37</c:v>
                </c:pt>
                <c:pt idx="16">
                  <c:v>38</c:v>
                </c:pt>
                <c:pt idx="17">
                  <c:v>39</c:v>
                </c:pt>
                <c:pt idx="18">
                  <c:v>40</c:v>
                </c:pt>
                <c:pt idx="19">
                  <c:v>41</c:v>
                </c:pt>
                <c:pt idx="20">
                  <c:v>42</c:v>
                </c:pt>
                <c:pt idx="21">
                  <c:v>43</c:v>
                </c:pt>
                <c:pt idx="22">
                  <c:v>44</c:v>
                </c:pt>
                <c:pt idx="23">
                  <c:v>45</c:v>
                </c:pt>
                <c:pt idx="24">
                  <c:v>46</c:v>
                </c:pt>
                <c:pt idx="25">
                  <c:v>47</c:v>
                </c:pt>
                <c:pt idx="26">
                  <c:v>48</c:v>
                </c:pt>
                <c:pt idx="27">
                  <c:v>49</c:v>
                </c:pt>
                <c:pt idx="28">
                  <c:v>50</c:v>
                </c:pt>
                <c:pt idx="29">
                  <c:v>51</c:v>
                </c:pt>
              </c:numCache>
            </c:numRef>
          </c:xVal>
          <c:yVal>
            <c:numRef>
              <c:f>'Annex A fig 2 data'!$O$9:$O$38</c:f>
              <c:numCache>
                <c:formatCode>0%</c:formatCode>
                <c:ptCount val="30"/>
                <c:pt idx="0">
                  <c:v>0.25565719409386789</c:v>
                </c:pt>
                <c:pt idx="1">
                  <c:v>0.29000449560554664</c:v>
                </c:pt>
                <c:pt idx="2">
                  <c:v>0.31933033853990528</c:v>
                </c:pt>
                <c:pt idx="3">
                  <c:v>0.3439042473621679</c:v>
                </c:pt>
                <c:pt idx="4">
                  <c:v>0.36399574653755451</c:v>
                </c:pt>
                <c:pt idx="5">
                  <c:v>0.37987436053129076</c:v>
                </c:pt>
                <c:pt idx="6">
                  <c:v>0.39180961380859547</c:v>
                </c:pt>
                <c:pt idx="7">
                  <c:v>0.40007103083469331</c:v>
                </c:pt>
                <c:pt idx="8">
                  <c:v>0.40492813607480538</c:v>
                </c:pt>
                <c:pt idx="9">
                  <c:v>0.40665045399415511</c:v>
                </c:pt>
                <c:pt idx="10">
                  <c:v>0.40550750905796473</c:v>
                </c:pt>
                <c:pt idx="11">
                  <c:v>0.40176882573145534</c:v>
                </c:pt>
                <c:pt idx="12">
                  <c:v>0.39570392847985103</c:v>
                </c:pt>
                <c:pt idx="13">
                  <c:v>0.38758234176837292</c:v>
                </c:pt>
                <c:pt idx="14">
                  <c:v>0.37767359006224477</c:v>
                </c:pt>
                <c:pt idx="15">
                  <c:v>0.3662471978266858</c:v>
                </c:pt>
                <c:pt idx="16">
                  <c:v>0.3535726895269215</c:v>
                </c:pt>
                <c:pt idx="17">
                  <c:v>0.33991958962817626</c:v>
                </c:pt>
                <c:pt idx="18">
                  <c:v>0.32555742259566584</c:v>
                </c:pt>
                <c:pt idx="19">
                  <c:v>0.31075571289461701</c:v>
                </c:pt>
                <c:pt idx="20">
                  <c:v>0.29578398499025194</c:v>
                </c:pt>
                <c:pt idx="21">
                  <c:v>0.28091176334779255</c:v>
                </c:pt>
                <c:pt idx="22">
                  <c:v>0.26640857243246074</c:v>
                </c:pt>
                <c:pt idx="23">
                  <c:v>0.25254393670947772</c:v>
                </c:pt>
                <c:pt idx="24">
                  <c:v>0.23958738064406912</c:v>
                </c:pt>
                <c:pt idx="25">
                  <c:v>0.22780842870145479</c:v>
                </c:pt>
                <c:pt idx="26">
                  <c:v>0.21747660534685886</c:v>
                </c:pt>
                <c:pt idx="27">
                  <c:v>0.20886143504550311</c:v>
                </c:pt>
                <c:pt idx="28">
                  <c:v>0.20223244226260892</c:v>
                </c:pt>
                <c:pt idx="29">
                  <c:v>0.19785915146339825</c:v>
                </c:pt>
              </c:numCache>
            </c:numRef>
          </c:yVal>
          <c:smooth val="0"/>
        </c:ser>
        <c:dLbls>
          <c:showLegendKey val="0"/>
          <c:showVal val="0"/>
          <c:showCatName val="0"/>
          <c:showSerName val="0"/>
          <c:showPercent val="0"/>
          <c:showBubbleSize val="0"/>
        </c:dLbls>
        <c:axId val="124421248"/>
        <c:axId val="124421824"/>
      </c:scatterChart>
      <c:valAx>
        <c:axId val="124421248"/>
        <c:scaling>
          <c:orientation val="minMax"/>
          <c:max val="55"/>
          <c:min val="20"/>
        </c:scaling>
        <c:delete val="0"/>
        <c:axPos val="b"/>
        <c:title>
          <c:tx>
            <c:rich>
              <a:bodyPr/>
              <a:lstStyle/>
              <a:p>
                <a:pPr>
                  <a:defRPr sz="1100" b="0" i="0" baseline="0">
                    <a:latin typeface="Verdana" pitchFamily="34" charset="0"/>
                  </a:defRPr>
                </a:pPr>
                <a:r>
                  <a:rPr lang="en-GB" sz="1100" b="0" i="0" baseline="0">
                    <a:latin typeface="Verdana" pitchFamily="34" charset="0"/>
                  </a:rPr>
                  <a:t>Age</a:t>
                </a:r>
              </a:p>
            </c:rich>
          </c:tx>
          <c:overlay val="0"/>
        </c:title>
        <c:numFmt formatCode="General" sourceLinked="1"/>
        <c:majorTickMark val="out"/>
        <c:minorTickMark val="none"/>
        <c:tickLblPos val="nextTo"/>
        <c:txPr>
          <a:bodyPr/>
          <a:lstStyle/>
          <a:p>
            <a:pPr>
              <a:defRPr sz="1100" baseline="0">
                <a:latin typeface="Verdana" pitchFamily="34" charset="0"/>
              </a:defRPr>
            </a:pPr>
            <a:endParaRPr lang="en-US"/>
          </a:p>
        </c:txPr>
        <c:crossAx val="124421824"/>
        <c:crosses val="autoZero"/>
        <c:crossBetween val="midCat"/>
        <c:majorUnit val="5"/>
      </c:valAx>
      <c:valAx>
        <c:axId val="124421824"/>
        <c:scaling>
          <c:orientation val="minMax"/>
          <c:max val="0.45"/>
          <c:min val="0.2"/>
        </c:scaling>
        <c:delete val="0"/>
        <c:axPos val="l"/>
        <c:majorGridlines/>
        <c:title>
          <c:tx>
            <c:rich>
              <a:bodyPr rot="-5400000" vert="horz"/>
              <a:lstStyle/>
              <a:p>
                <a:pPr>
                  <a:defRPr sz="1100" b="0" i="0" baseline="0">
                    <a:latin typeface="Verdana" pitchFamily="34" charset="0"/>
                  </a:defRPr>
                </a:pPr>
                <a:r>
                  <a:rPr lang="en-GB" sz="1100" b="0" i="0" baseline="0">
                    <a:latin typeface="Verdana" pitchFamily="34" charset="0"/>
                  </a:rPr>
                  <a:t>Percentage with HE qualification</a:t>
                </a:r>
              </a:p>
            </c:rich>
          </c:tx>
          <c:overlay val="0"/>
        </c:title>
        <c:numFmt formatCode="0%" sourceLinked="1"/>
        <c:majorTickMark val="out"/>
        <c:minorTickMark val="none"/>
        <c:tickLblPos val="nextTo"/>
        <c:txPr>
          <a:bodyPr/>
          <a:lstStyle/>
          <a:p>
            <a:pPr>
              <a:defRPr sz="1100" baseline="0">
                <a:latin typeface="Verdana" pitchFamily="34" charset="0"/>
              </a:defRPr>
            </a:pPr>
            <a:endParaRPr lang="en-US"/>
          </a:p>
        </c:txPr>
        <c:crossAx val="124421248"/>
        <c:crosses val="autoZero"/>
        <c:crossBetween val="midCat"/>
        <c:majorUnit val="0.05"/>
      </c:valAx>
      <c:spPr>
        <a:ln>
          <a:noFill/>
        </a:ln>
      </c:spPr>
    </c:plotArea>
    <c:legend>
      <c:legendPos val="r"/>
      <c:overlay val="0"/>
      <c:txPr>
        <a:bodyPr/>
        <a:lstStyle/>
        <a:p>
          <a:pPr>
            <a:defRPr sz="1100" baseline="0">
              <a:latin typeface="Verdana" pitchFamily="34" charset="0"/>
            </a:defRPr>
          </a:pPr>
          <a:endParaRPr lang="en-US"/>
        </a:p>
      </c:txPr>
    </c:legend>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9B3D5-384E-4FF1-BEEA-9CBF3273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5014</Words>
  <Characters>28583</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PeteB</cp:lastModifiedBy>
  <cp:revision>2</cp:revision>
  <cp:lastPrinted>2012-09-13T12:48:00Z</cp:lastPrinted>
  <dcterms:created xsi:type="dcterms:W3CDTF">2012-10-24T13:03:00Z</dcterms:created>
  <dcterms:modified xsi:type="dcterms:W3CDTF">2012-10-24T13:03:00Z</dcterms:modified>
</cp:coreProperties>
</file>