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D6A" w:rsidRPr="00282EEE" w:rsidRDefault="00BE0BC9" w:rsidP="00517D6A">
      <w:pPr>
        <w:spacing w:after="240"/>
        <w:rPr>
          <w:rFonts w:ascii="Verdana" w:hAnsi="Verdana"/>
          <w:b/>
          <w:sz w:val="24"/>
          <w:szCs w:val="24"/>
        </w:rPr>
      </w:pPr>
      <w:bookmarkStart w:id="0" w:name="_GoBack"/>
      <w:bookmarkEnd w:id="0"/>
      <w:r>
        <w:rPr>
          <w:rFonts w:ascii="Verdana" w:hAnsi="Verdana"/>
          <w:b/>
          <w:sz w:val="24"/>
          <w:szCs w:val="24"/>
        </w:rPr>
        <w:t xml:space="preserve">Annex </w:t>
      </w:r>
      <w:r w:rsidR="00C65CF6">
        <w:rPr>
          <w:rFonts w:ascii="Verdana" w:hAnsi="Verdana"/>
          <w:b/>
          <w:sz w:val="24"/>
          <w:szCs w:val="24"/>
        </w:rPr>
        <w:t>B</w:t>
      </w:r>
      <w:r w:rsidR="00B37964">
        <w:rPr>
          <w:rFonts w:ascii="Verdana" w:hAnsi="Verdana"/>
          <w:b/>
          <w:sz w:val="24"/>
          <w:szCs w:val="24"/>
        </w:rPr>
        <w:t>:</w:t>
      </w:r>
      <w:r>
        <w:rPr>
          <w:rFonts w:ascii="Verdana" w:hAnsi="Verdana"/>
          <w:b/>
          <w:sz w:val="24"/>
          <w:szCs w:val="24"/>
        </w:rPr>
        <w:t xml:space="preserve"> </w:t>
      </w:r>
      <w:r w:rsidR="00C65CF6">
        <w:rPr>
          <w:rFonts w:ascii="Verdana" w:hAnsi="Verdana"/>
          <w:b/>
          <w:sz w:val="24"/>
          <w:szCs w:val="24"/>
        </w:rPr>
        <w:t>Tuition fees, inflation and public spending</w:t>
      </w:r>
    </w:p>
    <w:p w:rsidR="00A91D8E" w:rsidRDefault="00C65CF6" w:rsidP="00720EB8">
      <w:pPr>
        <w:numPr>
          <w:ilvl w:val="0"/>
          <w:numId w:val="1"/>
        </w:numPr>
        <w:spacing w:after="240"/>
        <w:rPr>
          <w:rFonts w:ascii="Verdana" w:hAnsi="Verdana"/>
          <w:sz w:val="22"/>
          <w:szCs w:val="22"/>
        </w:rPr>
      </w:pPr>
      <w:r>
        <w:rPr>
          <w:rFonts w:ascii="Verdana" w:hAnsi="Verdana"/>
          <w:sz w:val="22"/>
          <w:szCs w:val="22"/>
        </w:rPr>
        <w:t xml:space="preserve">Undergraduate tuition fees are included in the collection of goods and services used to calculate the Retail Price Index (RPI) and the Consumer Price Index (CPI) measures of inflation. </w:t>
      </w:r>
      <w:r w:rsidR="006E6C01">
        <w:rPr>
          <w:rFonts w:ascii="Verdana" w:hAnsi="Verdana"/>
          <w:sz w:val="22"/>
          <w:szCs w:val="22"/>
        </w:rPr>
        <w:t xml:space="preserve">A rise in tuition fees will therefore increase inflation, and this will increases public spending on welfare payments and public sector pensions which are linked to the </w:t>
      </w:r>
      <w:r w:rsidR="00AF0109">
        <w:rPr>
          <w:rFonts w:ascii="Verdana" w:hAnsi="Verdana"/>
          <w:sz w:val="22"/>
          <w:szCs w:val="22"/>
        </w:rPr>
        <w:t>CPI</w:t>
      </w:r>
      <w:r w:rsidR="00A91D8E">
        <w:rPr>
          <w:rFonts w:ascii="Verdana" w:hAnsi="Verdana"/>
          <w:sz w:val="22"/>
          <w:szCs w:val="22"/>
        </w:rPr>
        <w:t>.</w:t>
      </w:r>
    </w:p>
    <w:p w:rsidR="000B1AE9" w:rsidRPr="000B1AE9" w:rsidRDefault="000B1AE9" w:rsidP="00720EB8">
      <w:pPr>
        <w:spacing w:after="240"/>
        <w:rPr>
          <w:rFonts w:ascii="Verdana" w:hAnsi="Verdana"/>
          <w:b/>
          <w:sz w:val="22"/>
          <w:szCs w:val="22"/>
        </w:rPr>
      </w:pPr>
      <w:r w:rsidRPr="000B1AE9">
        <w:rPr>
          <w:rFonts w:ascii="Verdana" w:hAnsi="Verdana"/>
          <w:b/>
          <w:sz w:val="22"/>
          <w:szCs w:val="22"/>
        </w:rPr>
        <w:t>£2.2 billion pa estimate</w:t>
      </w:r>
    </w:p>
    <w:p w:rsidR="00AE62D3" w:rsidRDefault="00AE62D3" w:rsidP="00720EB8">
      <w:pPr>
        <w:numPr>
          <w:ilvl w:val="0"/>
          <w:numId w:val="1"/>
        </w:numPr>
        <w:spacing w:before="240" w:after="240"/>
        <w:rPr>
          <w:rFonts w:ascii="Verdana" w:hAnsi="Verdana"/>
          <w:sz w:val="22"/>
          <w:szCs w:val="22"/>
        </w:rPr>
      </w:pPr>
      <w:r>
        <w:rPr>
          <w:rFonts w:ascii="Verdana" w:hAnsi="Verdana"/>
          <w:sz w:val="22"/>
          <w:szCs w:val="22"/>
        </w:rPr>
        <w:t>Simon Ward estimated that the resulting increased public expenditure would be £2.2 billion pa (Ward, 2011). The calculation was as follows:-</w:t>
      </w:r>
    </w:p>
    <w:p w:rsidR="00AE62D3" w:rsidRDefault="00AE62D3" w:rsidP="00720EB8">
      <w:pPr>
        <w:spacing w:before="240" w:after="240"/>
        <w:rPr>
          <w:rFonts w:ascii="Verdana" w:hAnsi="Verdana"/>
          <w:sz w:val="22"/>
          <w:szCs w:val="22"/>
        </w:rPr>
      </w:pPr>
      <w:r>
        <w:rPr>
          <w:rFonts w:ascii="Verdana" w:hAnsi="Verdana"/>
          <w:sz w:val="22"/>
          <w:szCs w:val="22"/>
        </w:rPr>
        <w:t>2011 fees = £3375</w:t>
      </w:r>
    </w:p>
    <w:p w:rsidR="00AE62D3" w:rsidRDefault="00AE62D3" w:rsidP="00720EB8">
      <w:pPr>
        <w:spacing w:before="240" w:after="240"/>
        <w:rPr>
          <w:rFonts w:ascii="Verdana" w:hAnsi="Verdana"/>
          <w:sz w:val="22"/>
          <w:szCs w:val="22"/>
        </w:rPr>
      </w:pPr>
      <w:r>
        <w:rPr>
          <w:rFonts w:ascii="Verdana" w:hAnsi="Verdana"/>
          <w:sz w:val="22"/>
          <w:szCs w:val="22"/>
        </w:rPr>
        <w:t>2</w:t>
      </w:r>
      <w:r w:rsidR="00EC63BF">
        <w:rPr>
          <w:rFonts w:ascii="Verdana" w:hAnsi="Verdana"/>
          <w:sz w:val="22"/>
          <w:szCs w:val="22"/>
        </w:rPr>
        <w:t>0</w:t>
      </w:r>
      <w:r>
        <w:rPr>
          <w:rFonts w:ascii="Verdana" w:hAnsi="Verdana"/>
          <w:sz w:val="22"/>
          <w:szCs w:val="22"/>
        </w:rPr>
        <w:t>12 fees less waivers = £8200 (Estimate from Research Fortnight)</w:t>
      </w:r>
    </w:p>
    <w:p w:rsidR="00AE62D3" w:rsidRDefault="00AE62D3" w:rsidP="00720EB8">
      <w:pPr>
        <w:spacing w:before="240" w:after="240"/>
        <w:rPr>
          <w:rFonts w:ascii="Verdana" w:hAnsi="Verdana"/>
          <w:sz w:val="22"/>
          <w:szCs w:val="22"/>
        </w:rPr>
      </w:pPr>
      <w:r>
        <w:rPr>
          <w:rFonts w:ascii="Verdana" w:hAnsi="Verdana"/>
          <w:sz w:val="22"/>
          <w:szCs w:val="22"/>
        </w:rPr>
        <w:t>Fee rise = 143%</w:t>
      </w:r>
    </w:p>
    <w:p w:rsidR="00AE62D3" w:rsidRDefault="00AE62D3" w:rsidP="00720EB8">
      <w:pPr>
        <w:spacing w:before="240" w:after="240"/>
        <w:rPr>
          <w:rFonts w:ascii="Verdana" w:hAnsi="Verdana"/>
          <w:sz w:val="22"/>
          <w:szCs w:val="22"/>
        </w:rPr>
      </w:pPr>
      <w:r>
        <w:rPr>
          <w:rFonts w:ascii="Verdana" w:hAnsi="Verdana"/>
          <w:sz w:val="22"/>
          <w:szCs w:val="22"/>
        </w:rPr>
        <w:t>U</w:t>
      </w:r>
      <w:r w:rsidR="008455C8">
        <w:rPr>
          <w:rFonts w:ascii="Verdana" w:hAnsi="Verdana"/>
          <w:sz w:val="22"/>
          <w:szCs w:val="22"/>
        </w:rPr>
        <w:t>G</w:t>
      </w:r>
      <w:r>
        <w:rPr>
          <w:rFonts w:ascii="Verdana" w:hAnsi="Verdana"/>
          <w:sz w:val="22"/>
          <w:szCs w:val="22"/>
        </w:rPr>
        <w:t xml:space="preserve"> tuition fee CPI weight = </w:t>
      </w:r>
      <w:r w:rsidR="008455C8">
        <w:rPr>
          <w:rFonts w:ascii="Verdana" w:hAnsi="Verdana"/>
          <w:sz w:val="22"/>
          <w:szCs w:val="22"/>
        </w:rPr>
        <w:t>0.45% (Unpublished, supplied by ONS)</w:t>
      </w:r>
    </w:p>
    <w:p w:rsidR="00AE62D3" w:rsidRDefault="008455C8" w:rsidP="00720EB8">
      <w:pPr>
        <w:spacing w:before="240" w:after="240"/>
        <w:rPr>
          <w:rFonts w:ascii="Verdana" w:hAnsi="Verdana"/>
          <w:sz w:val="22"/>
          <w:szCs w:val="22"/>
        </w:rPr>
      </w:pPr>
      <w:r>
        <w:rPr>
          <w:rFonts w:ascii="Verdana" w:hAnsi="Verdana"/>
          <w:sz w:val="22"/>
          <w:szCs w:val="22"/>
        </w:rPr>
        <w:t>Inflation impact = 0.64% (Ward quotes 0.65%)</w:t>
      </w:r>
    </w:p>
    <w:p w:rsidR="00AE62D3" w:rsidRDefault="008455C8" w:rsidP="00720EB8">
      <w:pPr>
        <w:spacing w:before="240" w:after="240"/>
        <w:rPr>
          <w:rFonts w:ascii="Verdana" w:hAnsi="Verdana"/>
          <w:sz w:val="22"/>
          <w:szCs w:val="22"/>
        </w:rPr>
      </w:pPr>
      <w:r>
        <w:rPr>
          <w:rFonts w:ascii="Verdana" w:hAnsi="Verdana"/>
          <w:sz w:val="22"/>
          <w:szCs w:val="22"/>
        </w:rPr>
        <w:t xml:space="preserve">Spending impact = (0.64 / 0.25) x 0.9 = </w:t>
      </w:r>
      <w:r w:rsidR="00EC63BF">
        <w:rPr>
          <w:rFonts w:ascii="Verdana" w:hAnsi="Verdana"/>
          <w:sz w:val="22"/>
          <w:szCs w:val="22"/>
        </w:rPr>
        <w:t>£</w:t>
      </w:r>
      <w:r>
        <w:rPr>
          <w:rFonts w:ascii="Verdana" w:hAnsi="Verdana"/>
          <w:sz w:val="22"/>
          <w:szCs w:val="22"/>
        </w:rPr>
        <w:t>2.3 billion pa (2015-16 prices)</w:t>
      </w:r>
      <w:r w:rsidR="0080245E">
        <w:rPr>
          <w:rFonts w:ascii="Verdana" w:hAnsi="Verdana"/>
          <w:sz w:val="22"/>
          <w:szCs w:val="22"/>
        </w:rPr>
        <w:t xml:space="preserve"> (Ward quotes </w:t>
      </w:r>
      <w:r w:rsidR="00EC63BF">
        <w:rPr>
          <w:rFonts w:ascii="Verdana" w:hAnsi="Verdana"/>
          <w:sz w:val="22"/>
          <w:szCs w:val="22"/>
        </w:rPr>
        <w:t>£</w:t>
      </w:r>
      <w:r w:rsidR="0080245E">
        <w:rPr>
          <w:rFonts w:ascii="Verdana" w:hAnsi="Verdana"/>
          <w:sz w:val="22"/>
          <w:szCs w:val="22"/>
        </w:rPr>
        <w:t>2.2 billion pa)</w:t>
      </w:r>
    </w:p>
    <w:p w:rsidR="00AE62D3" w:rsidRDefault="008216AA" w:rsidP="00720EB8">
      <w:pPr>
        <w:numPr>
          <w:ilvl w:val="0"/>
          <w:numId w:val="1"/>
        </w:numPr>
        <w:spacing w:before="240" w:after="240"/>
        <w:rPr>
          <w:rFonts w:ascii="Verdana" w:hAnsi="Verdana"/>
          <w:sz w:val="22"/>
          <w:szCs w:val="22"/>
        </w:rPr>
      </w:pPr>
      <w:r>
        <w:rPr>
          <w:rFonts w:ascii="Verdana" w:hAnsi="Verdana"/>
          <w:sz w:val="22"/>
          <w:szCs w:val="22"/>
        </w:rPr>
        <w:t>The final part of the calculation is based on an OBR estimate of the effect on public expenditure of an oil price rise.</w:t>
      </w:r>
    </w:p>
    <w:p w:rsidR="007E4F1F" w:rsidRDefault="00C65CF6" w:rsidP="00720EB8">
      <w:pPr>
        <w:numPr>
          <w:ilvl w:val="0"/>
          <w:numId w:val="1"/>
        </w:numPr>
        <w:autoSpaceDE w:val="0"/>
        <w:autoSpaceDN w:val="0"/>
        <w:adjustRightInd w:val="0"/>
        <w:spacing w:before="240" w:after="240"/>
        <w:rPr>
          <w:rFonts w:ascii="Verdana" w:hAnsi="Verdana"/>
          <w:sz w:val="22"/>
          <w:szCs w:val="22"/>
        </w:rPr>
      </w:pPr>
      <w:r w:rsidRPr="007E4F1F">
        <w:rPr>
          <w:rFonts w:ascii="Verdana" w:hAnsi="Verdana"/>
          <w:sz w:val="22"/>
          <w:szCs w:val="22"/>
        </w:rPr>
        <w:t xml:space="preserve"> </w:t>
      </w:r>
      <w:r w:rsidR="008216AA" w:rsidRPr="007E4F1F">
        <w:rPr>
          <w:rFonts w:ascii="Verdana" w:hAnsi="Verdana"/>
          <w:sz w:val="22"/>
          <w:szCs w:val="22"/>
        </w:rPr>
        <w:t xml:space="preserve">The fee less waiver estimate is close to what we have concluded, and the UG tuition fee CPI weight is </w:t>
      </w:r>
      <w:r w:rsidR="00AF0109">
        <w:rPr>
          <w:rFonts w:ascii="Verdana" w:hAnsi="Verdana"/>
          <w:sz w:val="22"/>
          <w:szCs w:val="22"/>
        </w:rPr>
        <w:t>equal to what we have calculated using data that</w:t>
      </w:r>
      <w:r w:rsidR="008216AA" w:rsidRPr="007E4F1F">
        <w:rPr>
          <w:rFonts w:ascii="Verdana" w:hAnsi="Verdana"/>
          <w:sz w:val="22"/>
          <w:szCs w:val="22"/>
        </w:rPr>
        <w:t xml:space="preserve"> OBS have supplied to us. The difficulty with the inflation calculation is that the old fee levels will remain for continuing students, so that the fee rise will not take full effect for more than three years. </w:t>
      </w:r>
      <w:r w:rsidR="00B61F22" w:rsidRPr="007E4F1F">
        <w:rPr>
          <w:rFonts w:ascii="Verdana" w:hAnsi="Verdana"/>
          <w:sz w:val="22"/>
          <w:szCs w:val="22"/>
        </w:rPr>
        <w:t>This means that the percentage fee rise will decrease year on year. However, we are advised by ONS that the timing of the re-weighting o</w:t>
      </w:r>
      <w:r w:rsidR="00AF0109">
        <w:rPr>
          <w:rFonts w:ascii="Verdana" w:hAnsi="Verdana"/>
          <w:sz w:val="22"/>
          <w:szCs w:val="22"/>
        </w:rPr>
        <w:t>f</w:t>
      </w:r>
      <w:r w:rsidR="00B61F22" w:rsidRPr="007E4F1F">
        <w:rPr>
          <w:rFonts w:ascii="Verdana" w:hAnsi="Verdana"/>
          <w:sz w:val="22"/>
          <w:szCs w:val="22"/>
        </w:rPr>
        <w:t xml:space="preserve"> university fees used in the CPI calculation </w:t>
      </w:r>
      <w:r w:rsidR="00306ED0">
        <w:rPr>
          <w:rFonts w:ascii="Verdana" w:hAnsi="Verdana"/>
          <w:sz w:val="22"/>
          <w:szCs w:val="22"/>
        </w:rPr>
        <w:t>is</w:t>
      </w:r>
      <w:r w:rsidR="00B61F22" w:rsidRPr="007E4F1F">
        <w:rPr>
          <w:rFonts w:ascii="Verdana" w:hAnsi="Verdana"/>
          <w:sz w:val="22"/>
          <w:szCs w:val="22"/>
        </w:rPr>
        <w:t xml:space="preserve"> soon enough to allow for this, so that, potentially, the full impact of the fees rises should eventually work</w:t>
      </w:r>
      <w:r w:rsidR="00260FC8" w:rsidRPr="007E4F1F">
        <w:rPr>
          <w:rFonts w:ascii="Verdana" w:hAnsi="Verdana"/>
          <w:sz w:val="22"/>
          <w:szCs w:val="22"/>
        </w:rPr>
        <w:t xml:space="preserve"> through. There are, however, other reasons why the impact of fee increases may not have an impact after the rise in 2012.</w:t>
      </w:r>
    </w:p>
    <w:p w:rsidR="000B1AE9" w:rsidRDefault="007E4F1F" w:rsidP="00720EB8">
      <w:pPr>
        <w:numPr>
          <w:ilvl w:val="0"/>
          <w:numId w:val="1"/>
        </w:numPr>
        <w:autoSpaceDE w:val="0"/>
        <w:autoSpaceDN w:val="0"/>
        <w:adjustRightInd w:val="0"/>
        <w:spacing w:before="240" w:after="240"/>
        <w:rPr>
          <w:rFonts w:ascii="Verdana" w:hAnsi="Verdana"/>
          <w:sz w:val="22"/>
          <w:szCs w:val="22"/>
        </w:rPr>
      </w:pPr>
      <w:r w:rsidRPr="007E4F1F">
        <w:rPr>
          <w:rFonts w:ascii="Verdana" w:hAnsi="Verdana"/>
          <w:sz w:val="22"/>
          <w:szCs w:val="22"/>
        </w:rPr>
        <w:t xml:space="preserve"> </w:t>
      </w:r>
      <w:r w:rsidR="00260FC8" w:rsidRPr="007E4F1F">
        <w:rPr>
          <w:rFonts w:ascii="Verdana" w:hAnsi="Verdana"/>
          <w:sz w:val="22"/>
          <w:szCs w:val="22"/>
        </w:rPr>
        <w:t xml:space="preserve">Firstly, it has been suggested to us that the </w:t>
      </w:r>
      <w:r w:rsidRPr="007E4F1F">
        <w:rPr>
          <w:rFonts w:ascii="Verdana" w:hAnsi="Verdana"/>
          <w:sz w:val="22"/>
          <w:szCs w:val="22"/>
        </w:rPr>
        <w:t xml:space="preserve">Monetary Policy Committee will take measures to counter the inflationary effects of the increase in tuition fees. This question was raised at </w:t>
      </w:r>
      <w:r w:rsidR="007D273E">
        <w:rPr>
          <w:rFonts w:ascii="Verdana" w:hAnsi="Verdana"/>
          <w:sz w:val="22"/>
          <w:szCs w:val="22"/>
        </w:rPr>
        <w:t xml:space="preserve">a </w:t>
      </w:r>
      <w:r w:rsidRPr="007E4F1F">
        <w:rPr>
          <w:rFonts w:ascii="Verdana" w:hAnsi="Verdana"/>
          <w:sz w:val="22"/>
          <w:szCs w:val="22"/>
        </w:rPr>
        <w:t>Quarterly Inflation Report question and answer session (Treasury, 2011)</w:t>
      </w:r>
      <w:r w:rsidR="001B1FC6">
        <w:rPr>
          <w:rFonts w:ascii="Verdana" w:hAnsi="Verdana"/>
          <w:sz w:val="22"/>
          <w:szCs w:val="22"/>
        </w:rPr>
        <w:t>. T</w:t>
      </w:r>
      <w:r w:rsidRPr="007E4F1F">
        <w:rPr>
          <w:rFonts w:ascii="Verdana" w:hAnsi="Verdana"/>
          <w:sz w:val="22"/>
          <w:szCs w:val="22"/>
        </w:rPr>
        <w:t xml:space="preserve">he response was unclear, but the comment from </w:t>
      </w:r>
      <w:proofErr w:type="spellStart"/>
      <w:r w:rsidRPr="007E4F1F">
        <w:rPr>
          <w:rFonts w:ascii="Verdana" w:eastAsiaTheme="minorHAnsi" w:hAnsi="Verdana" w:cs="Arial"/>
          <w:sz w:val="22"/>
          <w:szCs w:val="22"/>
          <w:lang w:eastAsia="en-US"/>
        </w:rPr>
        <w:t>Mervyn</w:t>
      </w:r>
      <w:proofErr w:type="spellEnd"/>
      <w:r w:rsidRPr="007E4F1F">
        <w:rPr>
          <w:rFonts w:ascii="Verdana" w:eastAsiaTheme="minorHAnsi" w:hAnsi="Verdana" w:cs="Arial"/>
          <w:sz w:val="22"/>
          <w:szCs w:val="22"/>
          <w:lang w:eastAsia="en-US"/>
        </w:rPr>
        <w:t xml:space="preserve"> King that ‘I don't think this is the most important factor confronting monetary policy at present’ suggests </w:t>
      </w:r>
      <w:r w:rsidRPr="007E4F1F">
        <w:rPr>
          <w:rFonts w:ascii="Verdana" w:eastAsiaTheme="minorHAnsi" w:hAnsi="Verdana" w:cs="Arial"/>
          <w:sz w:val="22"/>
          <w:szCs w:val="22"/>
          <w:lang w:eastAsia="en-US"/>
        </w:rPr>
        <w:lastRenderedPageBreak/>
        <w:t>they will not take speci</w:t>
      </w:r>
      <w:r>
        <w:rPr>
          <w:rFonts w:ascii="Verdana" w:eastAsiaTheme="minorHAnsi" w:hAnsi="Verdana" w:cs="Arial"/>
          <w:sz w:val="22"/>
          <w:szCs w:val="22"/>
          <w:lang w:eastAsia="en-US"/>
        </w:rPr>
        <w:t>fic</w:t>
      </w:r>
      <w:r w:rsidRPr="007E4F1F">
        <w:rPr>
          <w:rFonts w:ascii="Verdana" w:eastAsiaTheme="minorHAnsi" w:hAnsi="Verdana" w:cs="Arial"/>
          <w:sz w:val="22"/>
          <w:szCs w:val="22"/>
          <w:lang w:eastAsia="en-US"/>
        </w:rPr>
        <w:t xml:space="preserve"> measures. </w:t>
      </w:r>
      <w:r w:rsidR="00B61F22" w:rsidRPr="007E4F1F">
        <w:rPr>
          <w:rFonts w:ascii="Verdana" w:hAnsi="Verdana"/>
          <w:sz w:val="22"/>
          <w:szCs w:val="22"/>
        </w:rPr>
        <w:t xml:space="preserve"> </w:t>
      </w:r>
      <w:r>
        <w:rPr>
          <w:rFonts w:ascii="Verdana" w:hAnsi="Verdana"/>
          <w:sz w:val="22"/>
          <w:szCs w:val="22"/>
        </w:rPr>
        <w:t>Secondly, there ha</w:t>
      </w:r>
      <w:r w:rsidR="00C401A6">
        <w:rPr>
          <w:rFonts w:ascii="Verdana" w:hAnsi="Verdana"/>
          <w:sz w:val="22"/>
          <w:szCs w:val="22"/>
        </w:rPr>
        <w:t>s</w:t>
      </w:r>
      <w:r>
        <w:rPr>
          <w:rFonts w:ascii="Verdana" w:hAnsi="Verdana"/>
          <w:sz w:val="22"/>
          <w:szCs w:val="22"/>
        </w:rPr>
        <w:t xml:space="preserve"> been speculation that the </w:t>
      </w:r>
      <w:r w:rsidR="000B1AE9">
        <w:rPr>
          <w:rFonts w:ascii="Verdana" w:hAnsi="Verdana"/>
          <w:sz w:val="22"/>
          <w:szCs w:val="22"/>
        </w:rPr>
        <w:t xml:space="preserve">planned </w:t>
      </w:r>
      <w:r>
        <w:rPr>
          <w:rFonts w:ascii="Verdana" w:hAnsi="Verdana"/>
          <w:sz w:val="22"/>
          <w:szCs w:val="22"/>
        </w:rPr>
        <w:t>further £10 billion savings in the welfare budget will include removing the link between levels of welfare payments and inflation</w:t>
      </w:r>
      <w:r w:rsidR="000B1AE9">
        <w:rPr>
          <w:rFonts w:ascii="Verdana" w:hAnsi="Verdana"/>
          <w:sz w:val="22"/>
          <w:szCs w:val="22"/>
        </w:rPr>
        <w:t xml:space="preserve">. This, if implemented, would not affect the impact of the 2012 fee rises, but it would probably remove the impact for subsequent years. </w:t>
      </w:r>
    </w:p>
    <w:p w:rsidR="00C401A6" w:rsidRDefault="000B1AE9" w:rsidP="00720EB8">
      <w:pPr>
        <w:numPr>
          <w:ilvl w:val="0"/>
          <w:numId w:val="1"/>
        </w:numPr>
        <w:autoSpaceDE w:val="0"/>
        <w:autoSpaceDN w:val="0"/>
        <w:adjustRightInd w:val="0"/>
        <w:spacing w:before="240" w:after="240"/>
        <w:rPr>
          <w:rFonts w:ascii="Verdana" w:hAnsi="Verdana"/>
          <w:sz w:val="22"/>
          <w:szCs w:val="22"/>
        </w:rPr>
      </w:pPr>
      <w:r>
        <w:rPr>
          <w:rFonts w:ascii="Verdana" w:hAnsi="Verdana"/>
          <w:sz w:val="22"/>
          <w:szCs w:val="22"/>
        </w:rPr>
        <w:t xml:space="preserve">The final part of the calculation, using the OBR estimates of the effect of </w:t>
      </w:r>
      <w:r w:rsidR="001B1FC6">
        <w:rPr>
          <w:rFonts w:ascii="Verdana" w:hAnsi="Verdana"/>
          <w:sz w:val="22"/>
          <w:szCs w:val="22"/>
        </w:rPr>
        <w:t xml:space="preserve">oil </w:t>
      </w:r>
      <w:r>
        <w:rPr>
          <w:rFonts w:ascii="Verdana" w:hAnsi="Verdana"/>
          <w:sz w:val="22"/>
          <w:szCs w:val="22"/>
        </w:rPr>
        <w:t xml:space="preserve">inflation on public expenditure does not seem credible. The </w:t>
      </w:r>
      <w:r w:rsidR="0032717C">
        <w:rPr>
          <w:rFonts w:ascii="Verdana" w:hAnsi="Verdana"/>
          <w:sz w:val="22"/>
          <w:szCs w:val="22"/>
        </w:rPr>
        <w:t xml:space="preserve">OBR report cited </w:t>
      </w:r>
      <w:r w:rsidR="001B1FC6">
        <w:rPr>
          <w:rFonts w:ascii="Verdana" w:hAnsi="Verdana"/>
          <w:sz w:val="22"/>
          <w:szCs w:val="22"/>
        </w:rPr>
        <w:t>is not completely clear as to what the spending impact is</w:t>
      </w:r>
      <w:r w:rsidR="00EC63BF">
        <w:rPr>
          <w:rFonts w:ascii="Verdana" w:hAnsi="Verdana"/>
          <w:sz w:val="22"/>
          <w:szCs w:val="22"/>
        </w:rPr>
        <w:t>.</w:t>
      </w:r>
      <w:r w:rsidR="001B1FC6">
        <w:rPr>
          <w:rFonts w:ascii="Verdana" w:hAnsi="Verdana"/>
          <w:sz w:val="22"/>
          <w:szCs w:val="22"/>
        </w:rPr>
        <w:t xml:space="preserve"> Whatever OBR intended</w:t>
      </w:r>
      <w:r w:rsidR="00601848">
        <w:rPr>
          <w:rFonts w:ascii="Verdana" w:hAnsi="Verdana"/>
          <w:sz w:val="22"/>
          <w:szCs w:val="22"/>
        </w:rPr>
        <w:t>,</w:t>
      </w:r>
      <w:r w:rsidR="001B1FC6">
        <w:rPr>
          <w:rFonts w:ascii="Verdana" w:hAnsi="Verdana"/>
          <w:sz w:val="22"/>
          <w:szCs w:val="22"/>
        </w:rPr>
        <w:t xml:space="preserve"> a £0.9 billion impact from 0.25 per cent inflation </w:t>
      </w:r>
      <w:r w:rsidR="0032717C">
        <w:rPr>
          <w:rFonts w:ascii="Verdana" w:hAnsi="Verdana"/>
          <w:sz w:val="22"/>
          <w:szCs w:val="22"/>
        </w:rPr>
        <w:t>implies a</w:t>
      </w:r>
      <w:r w:rsidR="00F04AE6">
        <w:rPr>
          <w:rFonts w:ascii="Verdana" w:hAnsi="Verdana"/>
          <w:sz w:val="22"/>
          <w:szCs w:val="22"/>
        </w:rPr>
        <w:t xml:space="preserve"> total CPI linked expenditure of </w:t>
      </w:r>
      <w:r w:rsidR="00F30A88">
        <w:rPr>
          <w:rFonts w:ascii="Verdana" w:hAnsi="Verdana"/>
          <w:sz w:val="22"/>
          <w:szCs w:val="22"/>
        </w:rPr>
        <w:t xml:space="preserve">£360 billion pa which is much greater than the planned figures </w:t>
      </w:r>
      <w:r w:rsidR="00E40C6B">
        <w:rPr>
          <w:rStyle w:val="FootnoteReference"/>
          <w:rFonts w:ascii="Verdana" w:hAnsi="Verdana"/>
          <w:sz w:val="22"/>
          <w:szCs w:val="22"/>
        </w:rPr>
        <w:footnoteReference w:id="1"/>
      </w:r>
      <w:r w:rsidR="00F30A88">
        <w:rPr>
          <w:rFonts w:ascii="Verdana" w:hAnsi="Verdana"/>
          <w:sz w:val="22"/>
          <w:szCs w:val="22"/>
        </w:rPr>
        <w:t xml:space="preserve"> even if State Pensions are included. (State Pensions would only be included if inflation is higher than the increase in average earnings or </w:t>
      </w:r>
      <w:r w:rsidR="00C401A6">
        <w:rPr>
          <w:rFonts w:ascii="Verdana" w:hAnsi="Verdana"/>
          <w:sz w:val="22"/>
          <w:szCs w:val="22"/>
        </w:rPr>
        <w:t>2.5 per cent, whichever is the largest.)</w:t>
      </w:r>
    </w:p>
    <w:p w:rsidR="00C401A6" w:rsidRPr="00C401A6" w:rsidRDefault="00C401A6" w:rsidP="00720EB8">
      <w:pPr>
        <w:autoSpaceDE w:val="0"/>
        <w:autoSpaceDN w:val="0"/>
        <w:adjustRightInd w:val="0"/>
        <w:spacing w:before="240" w:after="240"/>
        <w:rPr>
          <w:rFonts w:ascii="Verdana" w:hAnsi="Verdana"/>
          <w:b/>
          <w:sz w:val="22"/>
          <w:szCs w:val="22"/>
        </w:rPr>
      </w:pPr>
      <w:r w:rsidRPr="00C401A6">
        <w:rPr>
          <w:rFonts w:ascii="Verdana" w:hAnsi="Verdana"/>
          <w:b/>
          <w:sz w:val="22"/>
          <w:szCs w:val="22"/>
        </w:rPr>
        <w:t xml:space="preserve">Revised estimate </w:t>
      </w:r>
    </w:p>
    <w:p w:rsidR="00C401A6" w:rsidRDefault="00C401A6" w:rsidP="00720EB8">
      <w:pPr>
        <w:numPr>
          <w:ilvl w:val="0"/>
          <w:numId w:val="1"/>
        </w:numPr>
        <w:spacing w:after="240"/>
        <w:rPr>
          <w:rFonts w:ascii="Verdana" w:hAnsi="Verdana"/>
          <w:sz w:val="22"/>
          <w:szCs w:val="22"/>
        </w:rPr>
      </w:pPr>
      <w:r>
        <w:rPr>
          <w:rFonts w:ascii="Verdana" w:hAnsi="Verdana"/>
          <w:sz w:val="22"/>
          <w:szCs w:val="22"/>
        </w:rPr>
        <w:t>We have taken the basic approach used by Simon Ward, using revised parameter</w:t>
      </w:r>
      <w:r w:rsidR="00784F6E">
        <w:rPr>
          <w:rFonts w:ascii="Verdana" w:hAnsi="Verdana"/>
          <w:sz w:val="22"/>
          <w:szCs w:val="22"/>
        </w:rPr>
        <w:t>s</w:t>
      </w:r>
      <w:r>
        <w:rPr>
          <w:rFonts w:ascii="Verdana" w:hAnsi="Verdana"/>
          <w:sz w:val="22"/>
          <w:szCs w:val="22"/>
        </w:rPr>
        <w:t>.</w:t>
      </w:r>
      <w:r w:rsidR="00601848">
        <w:rPr>
          <w:rFonts w:ascii="Verdana" w:hAnsi="Verdana"/>
          <w:sz w:val="22"/>
          <w:szCs w:val="22"/>
        </w:rPr>
        <w:t xml:space="preserve"> (NB all calculations made to full precis</w:t>
      </w:r>
      <w:r w:rsidR="007D273E">
        <w:rPr>
          <w:rFonts w:ascii="Verdana" w:hAnsi="Verdana"/>
          <w:sz w:val="22"/>
          <w:szCs w:val="22"/>
        </w:rPr>
        <w:t>i</w:t>
      </w:r>
      <w:r w:rsidR="00601848">
        <w:rPr>
          <w:rFonts w:ascii="Verdana" w:hAnsi="Verdana"/>
          <w:sz w:val="22"/>
          <w:szCs w:val="22"/>
        </w:rPr>
        <w:t>on. Figures shown are rounded.)</w:t>
      </w:r>
    </w:p>
    <w:p w:rsidR="00613ED1" w:rsidRDefault="00613ED1" w:rsidP="00720EB8">
      <w:pPr>
        <w:spacing w:after="240"/>
        <w:rPr>
          <w:rFonts w:ascii="Verdana" w:hAnsi="Verdana"/>
          <w:sz w:val="22"/>
          <w:szCs w:val="22"/>
          <w:u w:val="single"/>
        </w:rPr>
      </w:pPr>
      <w:r w:rsidRPr="00613ED1">
        <w:rPr>
          <w:rFonts w:ascii="Verdana" w:hAnsi="Verdana"/>
          <w:sz w:val="22"/>
          <w:szCs w:val="22"/>
          <w:u w:val="single"/>
        </w:rPr>
        <w:t>Fee rise</w:t>
      </w:r>
    </w:p>
    <w:p w:rsidR="00C401A6" w:rsidRPr="00C401A6" w:rsidRDefault="00C401A6" w:rsidP="00720EB8">
      <w:pPr>
        <w:pStyle w:val="ListParagraph"/>
        <w:spacing w:before="240" w:after="240"/>
        <w:ind w:left="0"/>
        <w:rPr>
          <w:rFonts w:ascii="Verdana" w:hAnsi="Verdana"/>
          <w:sz w:val="22"/>
          <w:szCs w:val="22"/>
        </w:rPr>
      </w:pPr>
      <w:r w:rsidRPr="00C401A6">
        <w:rPr>
          <w:rFonts w:ascii="Verdana" w:hAnsi="Verdana"/>
          <w:sz w:val="22"/>
          <w:szCs w:val="22"/>
        </w:rPr>
        <w:t>2011 fees = £3375</w:t>
      </w:r>
    </w:p>
    <w:p w:rsidR="00C401A6" w:rsidRPr="00C401A6" w:rsidRDefault="00C401A6" w:rsidP="00720EB8">
      <w:pPr>
        <w:pStyle w:val="ListParagraph"/>
        <w:spacing w:before="240" w:after="240"/>
        <w:ind w:left="0"/>
        <w:rPr>
          <w:rFonts w:ascii="Verdana" w:hAnsi="Verdana"/>
          <w:sz w:val="22"/>
          <w:szCs w:val="22"/>
        </w:rPr>
      </w:pPr>
      <w:r w:rsidRPr="00C401A6">
        <w:rPr>
          <w:rFonts w:ascii="Verdana" w:hAnsi="Verdana"/>
          <w:sz w:val="22"/>
          <w:szCs w:val="22"/>
        </w:rPr>
        <w:t>2912 fees less waivers = £82</w:t>
      </w:r>
      <w:r w:rsidR="00E13559">
        <w:rPr>
          <w:rFonts w:ascii="Verdana" w:hAnsi="Verdana"/>
          <w:sz w:val="22"/>
          <w:szCs w:val="22"/>
        </w:rPr>
        <w:t xml:space="preserve">34 </w:t>
      </w:r>
      <w:r w:rsidRPr="00C401A6">
        <w:rPr>
          <w:rFonts w:ascii="Verdana" w:hAnsi="Verdana"/>
          <w:sz w:val="22"/>
          <w:szCs w:val="22"/>
        </w:rPr>
        <w:t>(</w:t>
      </w:r>
      <w:r w:rsidR="00392342">
        <w:rPr>
          <w:rFonts w:ascii="Verdana" w:hAnsi="Verdana"/>
          <w:sz w:val="22"/>
          <w:szCs w:val="22"/>
        </w:rPr>
        <w:t>HEPI estimate</w:t>
      </w:r>
      <w:r w:rsidRPr="00C401A6">
        <w:rPr>
          <w:rFonts w:ascii="Verdana" w:hAnsi="Verdana"/>
          <w:sz w:val="22"/>
          <w:szCs w:val="22"/>
        </w:rPr>
        <w:t>)</w:t>
      </w:r>
    </w:p>
    <w:p w:rsidR="00C401A6" w:rsidRDefault="00C401A6" w:rsidP="00720EB8">
      <w:pPr>
        <w:pStyle w:val="ListParagraph"/>
        <w:spacing w:before="240" w:after="240"/>
        <w:ind w:left="0"/>
        <w:rPr>
          <w:rFonts w:ascii="Verdana" w:hAnsi="Verdana"/>
          <w:sz w:val="22"/>
          <w:szCs w:val="22"/>
        </w:rPr>
      </w:pPr>
      <w:r w:rsidRPr="00C401A6">
        <w:rPr>
          <w:rFonts w:ascii="Verdana" w:hAnsi="Verdana"/>
          <w:sz w:val="22"/>
          <w:szCs w:val="22"/>
        </w:rPr>
        <w:t>Fee rise = 14</w:t>
      </w:r>
      <w:r w:rsidR="00E13559">
        <w:rPr>
          <w:rFonts w:ascii="Verdana" w:hAnsi="Verdana"/>
          <w:sz w:val="22"/>
          <w:szCs w:val="22"/>
        </w:rPr>
        <w:t>4</w:t>
      </w:r>
      <w:r w:rsidRPr="00C401A6">
        <w:rPr>
          <w:rFonts w:ascii="Verdana" w:hAnsi="Verdana"/>
          <w:sz w:val="22"/>
          <w:szCs w:val="22"/>
        </w:rPr>
        <w:t>%</w:t>
      </w:r>
    </w:p>
    <w:p w:rsidR="00613ED1" w:rsidRPr="00613ED1" w:rsidRDefault="00613ED1" w:rsidP="00720EB8">
      <w:pPr>
        <w:pStyle w:val="ListParagraph"/>
        <w:spacing w:before="240" w:after="240"/>
        <w:ind w:left="0"/>
        <w:rPr>
          <w:rFonts w:ascii="Verdana" w:hAnsi="Verdana"/>
          <w:sz w:val="22"/>
          <w:szCs w:val="22"/>
          <w:u w:val="single"/>
        </w:rPr>
      </w:pPr>
      <w:r w:rsidRPr="00613ED1">
        <w:rPr>
          <w:rFonts w:ascii="Verdana" w:hAnsi="Verdana"/>
          <w:sz w:val="22"/>
          <w:szCs w:val="22"/>
          <w:u w:val="single"/>
        </w:rPr>
        <w:t>Weight</w:t>
      </w:r>
    </w:p>
    <w:p w:rsidR="00613ED1" w:rsidRDefault="00613ED1" w:rsidP="00720EB8">
      <w:pPr>
        <w:pStyle w:val="ListParagraph"/>
        <w:spacing w:before="240" w:after="240"/>
        <w:ind w:left="0"/>
        <w:rPr>
          <w:rFonts w:ascii="Verdana" w:hAnsi="Verdana"/>
          <w:sz w:val="22"/>
          <w:szCs w:val="22"/>
        </w:rPr>
      </w:pPr>
      <w:r w:rsidRPr="00613ED1">
        <w:rPr>
          <w:rFonts w:ascii="Verdana" w:hAnsi="Verdana"/>
          <w:sz w:val="22"/>
          <w:szCs w:val="22"/>
        </w:rPr>
        <w:t>University Tuition Fees - UK Student</w:t>
      </w:r>
      <w:r>
        <w:rPr>
          <w:rFonts w:ascii="Verdana" w:hAnsi="Verdana"/>
          <w:sz w:val="22"/>
          <w:szCs w:val="22"/>
        </w:rPr>
        <w:t xml:space="preserve"> = 0.649 (code 440239</w:t>
      </w:r>
      <w:r w:rsidR="00E45F61">
        <w:rPr>
          <w:rFonts w:ascii="Verdana" w:hAnsi="Verdana"/>
          <w:sz w:val="22"/>
          <w:szCs w:val="22"/>
        </w:rPr>
        <w:t xml:space="preserve">, </w:t>
      </w:r>
      <w:r>
        <w:rPr>
          <w:rFonts w:ascii="Verdana" w:hAnsi="Verdana"/>
          <w:sz w:val="22"/>
          <w:szCs w:val="22"/>
        </w:rPr>
        <w:t>ONS reference table ‘CPI weighting framework 2012)</w:t>
      </w:r>
    </w:p>
    <w:p w:rsidR="00392342" w:rsidRPr="00C401A6" w:rsidRDefault="00E45F61" w:rsidP="00720EB8">
      <w:pPr>
        <w:pStyle w:val="ListParagraph"/>
        <w:spacing w:before="240" w:after="240"/>
        <w:ind w:left="0"/>
        <w:rPr>
          <w:rFonts w:ascii="Verdana" w:hAnsi="Verdana"/>
          <w:sz w:val="22"/>
          <w:szCs w:val="22"/>
        </w:rPr>
      </w:pPr>
      <w:r>
        <w:rPr>
          <w:rFonts w:ascii="Verdana" w:hAnsi="Verdana"/>
          <w:sz w:val="22"/>
          <w:szCs w:val="22"/>
        </w:rPr>
        <w:t xml:space="preserve">UG fraction = </w:t>
      </w:r>
      <w:r w:rsidR="00E80708">
        <w:rPr>
          <w:rFonts w:ascii="Verdana" w:hAnsi="Verdana"/>
          <w:sz w:val="22"/>
          <w:szCs w:val="22"/>
        </w:rPr>
        <w:t>75</w:t>
      </w:r>
      <w:r>
        <w:rPr>
          <w:rFonts w:ascii="Verdana" w:hAnsi="Verdana"/>
          <w:sz w:val="22"/>
          <w:szCs w:val="22"/>
        </w:rPr>
        <w:t>% (ONS communication, NB includes part-time)</w:t>
      </w:r>
      <w:r w:rsidR="00392342">
        <w:rPr>
          <w:rFonts w:ascii="Verdana" w:hAnsi="Verdana"/>
          <w:sz w:val="22"/>
          <w:szCs w:val="22"/>
        </w:rPr>
        <w:t xml:space="preserve"> </w:t>
      </w:r>
    </w:p>
    <w:p w:rsidR="00C401A6" w:rsidRPr="00C401A6" w:rsidRDefault="00E45F61" w:rsidP="00720EB8">
      <w:pPr>
        <w:pStyle w:val="ListParagraph"/>
        <w:spacing w:before="240" w:after="240"/>
        <w:ind w:left="0"/>
        <w:rPr>
          <w:rFonts w:ascii="Verdana" w:hAnsi="Verdana"/>
          <w:sz w:val="22"/>
          <w:szCs w:val="22"/>
        </w:rPr>
      </w:pPr>
      <w:r>
        <w:rPr>
          <w:rFonts w:ascii="Verdana" w:hAnsi="Verdana"/>
          <w:sz w:val="22"/>
          <w:szCs w:val="22"/>
        </w:rPr>
        <w:t xml:space="preserve">High fee domicile and </w:t>
      </w:r>
      <w:r w:rsidR="007D273E">
        <w:rPr>
          <w:rFonts w:ascii="Verdana" w:hAnsi="Verdana"/>
          <w:sz w:val="22"/>
          <w:szCs w:val="22"/>
        </w:rPr>
        <w:t xml:space="preserve">country of </w:t>
      </w:r>
      <w:r>
        <w:rPr>
          <w:rFonts w:ascii="Verdana" w:hAnsi="Verdana"/>
          <w:sz w:val="22"/>
          <w:szCs w:val="22"/>
        </w:rPr>
        <w:t>institution combination</w:t>
      </w:r>
      <w:r w:rsidR="00601848">
        <w:rPr>
          <w:rFonts w:ascii="Verdana" w:hAnsi="Verdana"/>
          <w:sz w:val="22"/>
          <w:szCs w:val="22"/>
        </w:rPr>
        <w:t>s</w:t>
      </w:r>
      <w:r>
        <w:rPr>
          <w:rFonts w:ascii="Verdana" w:hAnsi="Verdana"/>
          <w:sz w:val="22"/>
          <w:szCs w:val="22"/>
        </w:rPr>
        <w:t xml:space="preserve"> </w:t>
      </w:r>
      <w:r w:rsidR="00C401A6" w:rsidRPr="00C401A6">
        <w:rPr>
          <w:rFonts w:ascii="Verdana" w:hAnsi="Verdana"/>
          <w:sz w:val="22"/>
          <w:szCs w:val="22"/>
        </w:rPr>
        <w:t xml:space="preserve">= </w:t>
      </w:r>
      <w:r w:rsidR="00C53FD0">
        <w:rPr>
          <w:rFonts w:ascii="Verdana" w:hAnsi="Verdana"/>
          <w:sz w:val="22"/>
          <w:szCs w:val="22"/>
        </w:rPr>
        <w:t>93</w:t>
      </w:r>
      <w:r>
        <w:rPr>
          <w:rFonts w:ascii="Verdana" w:hAnsi="Verdana"/>
          <w:sz w:val="22"/>
          <w:szCs w:val="22"/>
        </w:rPr>
        <w:t>% (</w:t>
      </w:r>
      <w:r w:rsidR="00C53FD0">
        <w:rPr>
          <w:rFonts w:ascii="Verdana" w:hAnsi="Verdana"/>
          <w:sz w:val="22"/>
          <w:szCs w:val="22"/>
        </w:rPr>
        <w:t>Based on HESA first year FT UG 2010-11 numbers</w:t>
      </w:r>
      <w:r w:rsidR="00306ED0">
        <w:rPr>
          <w:rFonts w:ascii="Verdana" w:hAnsi="Verdana"/>
          <w:sz w:val="22"/>
          <w:szCs w:val="22"/>
        </w:rPr>
        <w:t>)</w:t>
      </w:r>
    </w:p>
    <w:p w:rsidR="00E45F61" w:rsidRDefault="00E45F61" w:rsidP="00720EB8">
      <w:pPr>
        <w:pStyle w:val="ListParagraph"/>
        <w:spacing w:before="240" w:after="240"/>
        <w:ind w:left="0"/>
        <w:rPr>
          <w:rFonts w:ascii="Verdana" w:hAnsi="Verdana"/>
          <w:sz w:val="22"/>
          <w:szCs w:val="22"/>
        </w:rPr>
      </w:pPr>
      <w:r>
        <w:rPr>
          <w:rFonts w:ascii="Verdana" w:hAnsi="Verdana"/>
          <w:sz w:val="22"/>
          <w:szCs w:val="22"/>
        </w:rPr>
        <w:t xml:space="preserve">UG high fee weight </w:t>
      </w:r>
      <w:r w:rsidR="00C401A6" w:rsidRPr="00C401A6">
        <w:rPr>
          <w:rFonts w:ascii="Verdana" w:hAnsi="Verdana"/>
          <w:sz w:val="22"/>
          <w:szCs w:val="22"/>
        </w:rPr>
        <w:t>Inflation impac</w:t>
      </w:r>
      <w:r w:rsidR="00C53FD0">
        <w:rPr>
          <w:rFonts w:ascii="Verdana" w:hAnsi="Verdana"/>
          <w:sz w:val="22"/>
          <w:szCs w:val="22"/>
        </w:rPr>
        <w:t xml:space="preserve">t = </w:t>
      </w:r>
      <w:r w:rsidR="00601848">
        <w:rPr>
          <w:rFonts w:ascii="Verdana" w:hAnsi="Verdana"/>
          <w:sz w:val="22"/>
          <w:szCs w:val="22"/>
        </w:rPr>
        <w:t xml:space="preserve">0.649 x 75% x 93% = </w:t>
      </w:r>
      <w:r w:rsidR="00C53FD0">
        <w:rPr>
          <w:rFonts w:ascii="Verdana" w:hAnsi="Verdana"/>
          <w:sz w:val="22"/>
          <w:szCs w:val="22"/>
        </w:rPr>
        <w:t>0.45</w:t>
      </w:r>
      <w:r w:rsidR="00C401A6" w:rsidRPr="00C401A6">
        <w:rPr>
          <w:rFonts w:ascii="Verdana" w:hAnsi="Verdana"/>
          <w:sz w:val="22"/>
          <w:szCs w:val="22"/>
        </w:rPr>
        <w:t xml:space="preserve">% </w:t>
      </w:r>
    </w:p>
    <w:p w:rsidR="00E45F61" w:rsidRDefault="00E45F61" w:rsidP="00720EB8">
      <w:pPr>
        <w:pStyle w:val="ListParagraph"/>
        <w:spacing w:before="240" w:after="240"/>
        <w:ind w:left="0"/>
        <w:rPr>
          <w:rFonts w:ascii="Verdana" w:hAnsi="Verdana"/>
          <w:sz w:val="22"/>
          <w:szCs w:val="22"/>
          <w:u w:val="single"/>
        </w:rPr>
      </w:pPr>
      <w:r w:rsidRPr="00E45F61">
        <w:rPr>
          <w:rFonts w:ascii="Verdana" w:hAnsi="Verdana"/>
          <w:sz w:val="22"/>
          <w:szCs w:val="22"/>
          <w:u w:val="single"/>
        </w:rPr>
        <w:t>Inflation impact</w:t>
      </w:r>
    </w:p>
    <w:p w:rsidR="00E45F61" w:rsidRDefault="00E45F61" w:rsidP="00720EB8">
      <w:pPr>
        <w:pStyle w:val="ListParagraph"/>
        <w:spacing w:before="240" w:after="240"/>
        <w:ind w:left="0"/>
        <w:rPr>
          <w:rFonts w:ascii="Verdana" w:hAnsi="Verdana"/>
          <w:sz w:val="22"/>
          <w:szCs w:val="22"/>
        </w:rPr>
      </w:pPr>
      <w:r w:rsidRPr="00E45F61">
        <w:rPr>
          <w:rFonts w:ascii="Verdana" w:hAnsi="Verdana"/>
          <w:sz w:val="22"/>
          <w:szCs w:val="22"/>
        </w:rPr>
        <w:t>Long term (3+ years)</w:t>
      </w:r>
      <w:r>
        <w:rPr>
          <w:rFonts w:ascii="Verdana" w:hAnsi="Verdana"/>
          <w:sz w:val="22"/>
          <w:szCs w:val="22"/>
        </w:rPr>
        <w:t xml:space="preserve"> </w:t>
      </w:r>
      <w:r w:rsidR="00E80708">
        <w:rPr>
          <w:rFonts w:ascii="Verdana" w:hAnsi="Verdana"/>
          <w:sz w:val="22"/>
          <w:szCs w:val="22"/>
        </w:rPr>
        <w:t xml:space="preserve">= </w:t>
      </w:r>
      <w:r w:rsidR="00E92CA1">
        <w:rPr>
          <w:rFonts w:ascii="Verdana" w:hAnsi="Verdana"/>
          <w:sz w:val="22"/>
          <w:szCs w:val="22"/>
        </w:rPr>
        <w:t>1.4</w:t>
      </w:r>
      <w:r w:rsidR="00E13559">
        <w:rPr>
          <w:rFonts w:ascii="Verdana" w:hAnsi="Verdana"/>
          <w:sz w:val="22"/>
          <w:szCs w:val="22"/>
        </w:rPr>
        <w:t>4</w:t>
      </w:r>
      <w:r w:rsidR="00E92CA1">
        <w:rPr>
          <w:rFonts w:ascii="Verdana" w:hAnsi="Verdana"/>
          <w:sz w:val="22"/>
          <w:szCs w:val="22"/>
        </w:rPr>
        <w:t xml:space="preserve"> x 0.</w:t>
      </w:r>
      <w:r w:rsidR="00C53FD0">
        <w:rPr>
          <w:rFonts w:ascii="Verdana" w:hAnsi="Verdana"/>
          <w:sz w:val="22"/>
          <w:szCs w:val="22"/>
        </w:rPr>
        <w:t>45</w:t>
      </w:r>
      <w:r w:rsidR="00E92CA1">
        <w:rPr>
          <w:rFonts w:ascii="Verdana" w:hAnsi="Verdana"/>
          <w:sz w:val="22"/>
          <w:szCs w:val="22"/>
        </w:rPr>
        <w:t xml:space="preserve">% = </w:t>
      </w:r>
      <w:r w:rsidR="00E80708">
        <w:rPr>
          <w:rFonts w:ascii="Verdana" w:hAnsi="Verdana"/>
          <w:sz w:val="22"/>
          <w:szCs w:val="22"/>
        </w:rPr>
        <w:t>0.</w:t>
      </w:r>
      <w:r w:rsidR="00C53FD0">
        <w:rPr>
          <w:rFonts w:ascii="Verdana" w:hAnsi="Verdana"/>
          <w:sz w:val="22"/>
          <w:szCs w:val="22"/>
        </w:rPr>
        <w:t>6</w:t>
      </w:r>
      <w:r w:rsidR="00E13559">
        <w:rPr>
          <w:rFonts w:ascii="Verdana" w:hAnsi="Verdana"/>
          <w:sz w:val="22"/>
          <w:szCs w:val="22"/>
        </w:rPr>
        <w:t>5</w:t>
      </w:r>
      <w:r w:rsidR="00E80708">
        <w:rPr>
          <w:rFonts w:ascii="Verdana" w:hAnsi="Verdana"/>
          <w:sz w:val="22"/>
          <w:szCs w:val="22"/>
        </w:rPr>
        <w:t>%</w:t>
      </w:r>
    </w:p>
    <w:p w:rsidR="00601848" w:rsidRDefault="00E80708" w:rsidP="00720EB8">
      <w:pPr>
        <w:pStyle w:val="ListParagraph"/>
        <w:spacing w:before="240" w:after="240"/>
        <w:ind w:left="0"/>
        <w:rPr>
          <w:rFonts w:ascii="Verdana" w:hAnsi="Verdana"/>
          <w:sz w:val="22"/>
          <w:szCs w:val="22"/>
        </w:rPr>
      </w:pPr>
      <w:r>
        <w:rPr>
          <w:rFonts w:ascii="Verdana" w:hAnsi="Verdana"/>
          <w:sz w:val="22"/>
          <w:szCs w:val="22"/>
        </w:rPr>
        <w:lastRenderedPageBreak/>
        <w:t>2012 only = 0.</w:t>
      </w:r>
      <w:r w:rsidR="00C53FD0">
        <w:rPr>
          <w:rFonts w:ascii="Verdana" w:hAnsi="Verdana"/>
          <w:sz w:val="22"/>
          <w:szCs w:val="22"/>
        </w:rPr>
        <w:t>2</w:t>
      </w:r>
      <w:r w:rsidR="00306ED0">
        <w:rPr>
          <w:rFonts w:ascii="Verdana" w:hAnsi="Verdana"/>
          <w:sz w:val="22"/>
          <w:szCs w:val="22"/>
        </w:rPr>
        <w:t>4</w:t>
      </w:r>
      <w:r>
        <w:rPr>
          <w:rFonts w:ascii="Verdana" w:hAnsi="Verdana"/>
          <w:sz w:val="22"/>
          <w:szCs w:val="22"/>
        </w:rPr>
        <w:t>% (</w:t>
      </w:r>
      <w:r w:rsidR="00601848">
        <w:rPr>
          <w:rFonts w:ascii="Verdana" w:hAnsi="Verdana"/>
          <w:sz w:val="22"/>
          <w:szCs w:val="22"/>
        </w:rPr>
        <w:t>A</w:t>
      </w:r>
      <w:r>
        <w:rPr>
          <w:rFonts w:ascii="Verdana" w:hAnsi="Verdana"/>
          <w:sz w:val="22"/>
          <w:szCs w:val="22"/>
        </w:rPr>
        <w:t>ssume</w:t>
      </w:r>
      <w:r w:rsidR="00601848">
        <w:rPr>
          <w:rFonts w:ascii="Verdana" w:hAnsi="Verdana"/>
          <w:sz w:val="22"/>
          <w:szCs w:val="22"/>
        </w:rPr>
        <w:t>s</w:t>
      </w:r>
      <w:r>
        <w:rPr>
          <w:rFonts w:ascii="Verdana" w:hAnsi="Verdana"/>
          <w:sz w:val="22"/>
          <w:szCs w:val="22"/>
        </w:rPr>
        <w:t xml:space="preserve"> </w:t>
      </w:r>
      <w:r w:rsidR="00601848">
        <w:rPr>
          <w:rFonts w:ascii="Verdana" w:hAnsi="Verdana"/>
          <w:sz w:val="22"/>
          <w:szCs w:val="22"/>
        </w:rPr>
        <w:t>36.6 per cent starters, based HESA first year and total FT UG English HEI home student numbers)</w:t>
      </w:r>
    </w:p>
    <w:p w:rsidR="00E80708" w:rsidRPr="00E45F61" w:rsidRDefault="00E80708" w:rsidP="00720EB8">
      <w:pPr>
        <w:pStyle w:val="ListParagraph"/>
        <w:spacing w:before="240" w:after="240"/>
        <w:ind w:left="0"/>
        <w:rPr>
          <w:rFonts w:ascii="Verdana" w:hAnsi="Verdana"/>
          <w:sz w:val="22"/>
          <w:szCs w:val="22"/>
        </w:rPr>
      </w:pPr>
      <w:r>
        <w:rPr>
          <w:rFonts w:ascii="Verdana" w:hAnsi="Verdana"/>
          <w:sz w:val="22"/>
          <w:szCs w:val="22"/>
        </w:rPr>
        <w:t xml:space="preserve">This is </w:t>
      </w:r>
      <w:r w:rsidR="00306ED0">
        <w:rPr>
          <w:rFonts w:ascii="Verdana" w:hAnsi="Verdana"/>
          <w:sz w:val="22"/>
          <w:szCs w:val="22"/>
        </w:rPr>
        <w:t xml:space="preserve">higher than </w:t>
      </w:r>
      <w:r>
        <w:rPr>
          <w:rFonts w:ascii="Verdana" w:hAnsi="Verdana"/>
          <w:sz w:val="22"/>
          <w:szCs w:val="22"/>
        </w:rPr>
        <w:t>the OBR estimate of 0.2%</w:t>
      </w:r>
      <w:r w:rsidR="005B5558">
        <w:rPr>
          <w:rStyle w:val="FootnoteReference"/>
          <w:rFonts w:ascii="Verdana" w:hAnsi="Verdana"/>
          <w:sz w:val="22"/>
          <w:szCs w:val="22"/>
        </w:rPr>
        <w:footnoteReference w:id="2"/>
      </w:r>
      <w:r>
        <w:rPr>
          <w:rFonts w:ascii="Verdana" w:hAnsi="Verdana"/>
          <w:sz w:val="22"/>
          <w:szCs w:val="22"/>
        </w:rPr>
        <w:t xml:space="preserve"> (OBR</w:t>
      </w:r>
      <w:r w:rsidR="0080245E">
        <w:rPr>
          <w:rFonts w:ascii="Verdana" w:hAnsi="Verdana"/>
          <w:sz w:val="22"/>
          <w:szCs w:val="22"/>
        </w:rPr>
        <w:t>,</w:t>
      </w:r>
      <w:r>
        <w:rPr>
          <w:rFonts w:ascii="Verdana" w:hAnsi="Verdana"/>
          <w:sz w:val="22"/>
          <w:szCs w:val="22"/>
        </w:rPr>
        <w:t xml:space="preserve"> 201</w:t>
      </w:r>
      <w:r w:rsidR="0080245E">
        <w:rPr>
          <w:rFonts w:ascii="Verdana" w:hAnsi="Verdana"/>
          <w:sz w:val="22"/>
          <w:szCs w:val="22"/>
        </w:rPr>
        <w:t>1</w:t>
      </w:r>
      <w:r w:rsidR="00306ED0">
        <w:rPr>
          <w:rFonts w:ascii="Verdana" w:hAnsi="Verdana"/>
          <w:sz w:val="22"/>
          <w:szCs w:val="22"/>
        </w:rPr>
        <w:t>). They give no details but were probably using a lower fee assumption. A fee assumption of £7500</w:t>
      </w:r>
      <w:r w:rsidR="0080245E">
        <w:rPr>
          <w:rFonts w:ascii="Verdana" w:hAnsi="Verdana"/>
          <w:sz w:val="22"/>
          <w:szCs w:val="22"/>
        </w:rPr>
        <w:t>, as assumed in the White Paper,</w:t>
      </w:r>
      <w:r w:rsidR="00306ED0">
        <w:rPr>
          <w:rFonts w:ascii="Verdana" w:hAnsi="Verdana"/>
          <w:sz w:val="22"/>
          <w:szCs w:val="22"/>
        </w:rPr>
        <w:t xml:space="preserve"> would give a value of 0.20%.</w:t>
      </w:r>
    </w:p>
    <w:p w:rsidR="00E80708" w:rsidRPr="00E80708" w:rsidRDefault="00C401A6" w:rsidP="00720EB8">
      <w:pPr>
        <w:pStyle w:val="ListParagraph"/>
        <w:spacing w:before="240" w:after="240"/>
        <w:ind w:left="0"/>
        <w:rPr>
          <w:rFonts w:ascii="Verdana" w:hAnsi="Verdana"/>
          <w:sz w:val="22"/>
          <w:szCs w:val="22"/>
          <w:u w:val="single"/>
        </w:rPr>
      </w:pPr>
      <w:r w:rsidRPr="00E80708">
        <w:rPr>
          <w:rFonts w:ascii="Verdana" w:hAnsi="Verdana"/>
          <w:sz w:val="22"/>
          <w:szCs w:val="22"/>
          <w:u w:val="single"/>
        </w:rPr>
        <w:t xml:space="preserve">Spending impact </w:t>
      </w:r>
    </w:p>
    <w:p w:rsidR="00C401A6" w:rsidRDefault="00E80708" w:rsidP="00720EB8">
      <w:pPr>
        <w:pStyle w:val="ListParagraph"/>
        <w:spacing w:before="240" w:after="240"/>
        <w:ind w:left="0"/>
        <w:rPr>
          <w:rFonts w:ascii="Verdana" w:hAnsi="Verdana"/>
          <w:sz w:val="22"/>
          <w:szCs w:val="22"/>
        </w:rPr>
      </w:pPr>
      <w:r>
        <w:rPr>
          <w:rFonts w:ascii="Verdana" w:hAnsi="Verdana"/>
          <w:sz w:val="22"/>
          <w:szCs w:val="22"/>
        </w:rPr>
        <w:t xml:space="preserve">Long term (3+ years) = </w:t>
      </w:r>
      <w:r w:rsidR="00E92CA1">
        <w:rPr>
          <w:rFonts w:ascii="Verdana" w:hAnsi="Verdana"/>
          <w:sz w:val="22"/>
          <w:szCs w:val="22"/>
        </w:rPr>
        <w:t>0.</w:t>
      </w:r>
      <w:r w:rsidR="00C53FD0">
        <w:rPr>
          <w:rFonts w:ascii="Verdana" w:hAnsi="Verdana"/>
          <w:sz w:val="22"/>
          <w:szCs w:val="22"/>
        </w:rPr>
        <w:t>6</w:t>
      </w:r>
      <w:r w:rsidR="00E13559">
        <w:rPr>
          <w:rFonts w:ascii="Verdana" w:hAnsi="Verdana"/>
          <w:sz w:val="22"/>
          <w:szCs w:val="22"/>
        </w:rPr>
        <w:t>5</w:t>
      </w:r>
      <w:r w:rsidR="00E92CA1">
        <w:rPr>
          <w:rFonts w:ascii="Verdana" w:hAnsi="Verdana"/>
          <w:sz w:val="22"/>
          <w:szCs w:val="22"/>
        </w:rPr>
        <w:t xml:space="preserve"> x 1.75 = </w:t>
      </w:r>
      <w:r w:rsidR="00306ED0">
        <w:rPr>
          <w:rFonts w:ascii="Verdana" w:hAnsi="Verdana"/>
          <w:sz w:val="22"/>
          <w:szCs w:val="22"/>
        </w:rPr>
        <w:t>£</w:t>
      </w:r>
      <w:r w:rsidR="00C53FD0">
        <w:rPr>
          <w:rFonts w:ascii="Verdana" w:hAnsi="Verdana"/>
          <w:sz w:val="22"/>
          <w:szCs w:val="22"/>
        </w:rPr>
        <w:t>1</w:t>
      </w:r>
      <w:r w:rsidR="00E92CA1">
        <w:rPr>
          <w:rFonts w:ascii="Verdana" w:hAnsi="Verdana"/>
          <w:sz w:val="22"/>
          <w:szCs w:val="22"/>
        </w:rPr>
        <w:t>.</w:t>
      </w:r>
      <w:r w:rsidR="00C53FD0">
        <w:rPr>
          <w:rFonts w:ascii="Verdana" w:hAnsi="Verdana"/>
          <w:sz w:val="22"/>
          <w:szCs w:val="22"/>
        </w:rPr>
        <w:t>1</w:t>
      </w:r>
      <w:r w:rsidR="00E13559">
        <w:rPr>
          <w:rFonts w:ascii="Verdana" w:hAnsi="Verdana"/>
          <w:sz w:val="22"/>
          <w:szCs w:val="22"/>
        </w:rPr>
        <w:t>4</w:t>
      </w:r>
      <w:r w:rsidR="00E92CA1">
        <w:rPr>
          <w:rFonts w:ascii="Verdana" w:hAnsi="Verdana"/>
          <w:sz w:val="22"/>
          <w:szCs w:val="22"/>
        </w:rPr>
        <w:t xml:space="preserve"> billion pa</w:t>
      </w:r>
    </w:p>
    <w:p w:rsidR="00E92CA1" w:rsidRDefault="00E92CA1" w:rsidP="00720EB8">
      <w:pPr>
        <w:pStyle w:val="ListParagraph"/>
        <w:spacing w:before="240" w:after="240"/>
        <w:ind w:left="0"/>
        <w:rPr>
          <w:rFonts w:ascii="Verdana" w:hAnsi="Verdana"/>
          <w:sz w:val="22"/>
          <w:szCs w:val="22"/>
        </w:rPr>
      </w:pPr>
      <w:r>
        <w:rPr>
          <w:rFonts w:ascii="Verdana" w:hAnsi="Verdana"/>
          <w:sz w:val="22"/>
          <w:szCs w:val="22"/>
        </w:rPr>
        <w:t xml:space="preserve">2012 only = </w:t>
      </w:r>
      <w:r w:rsidR="00601848">
        <w:rPr>
          <w:rFonts w:ascii="Verdana" w:hAnsi="Verdana"/>
          <w:sz w:val="22"/>
          <w:szCs w:val="22"/>
        </w:rPr>
        <w:t>0.24 x 1.75</w:t>
      </w:r>
      <w:r w:rsidR="0015254C">
        <w:rPr>
          <w:rFonts w:ascii="Verdana" w:hAnsi="Verdana"/>
          <w:sz w:val="22"/>
          <w:szCs w:val="22"/>
        </w:rPr>
        <w:t xml:space="preserve"> = </w:t>
      </w:r>
      <w:r w:rsidR="00E13559">
        <w:rPr>
          <w:rFonts w:ascii="Verdana" w:hAnsi="Verdana"/>
          <w:sz w:val="22"/>
          <w:szCs w:val="22"/>
        </w:rPr>
        <w:t>£0.</w:t>
      </w:r>
      <w:r w:rsidR="0015254C">
        <w:rPr>
          <w:rFonts w:ascii="Verdana" w:hAnsi="Verdana"/>
          <w:sz w:val="22"/>
          <w:szCs w:val="22"/>
        </w:rPr>
        <w:t>42</w:t>
      </w:r>
      <w:r>
        <w:rPr>
          <w:rFonts w:ascii="Verdana" w:hAnsi="Verdana"/>
          <w:sz w:val="22"/>
          <w:szCs w:val="22"/>
        </w:rPr>
        <w:t xml:space="preserve"> </w:t>
      </w:r>
      <w:r w:rsidR="00E13559">
        <w:rPr>
          <w:rFonts w:ascii="Verdana" w:hAnsi="Verdana"/>
          <w:sz w:val="22"/>
          <w:szCs w:val="22"/>
        </w:rPr>
        <w:t>billion</w:t>
      </w:r>
      <w:r>
        <w:rPr>
          <w:rFonts w:ascii="Verdana" w:hAnsi="Verdana"/>
          <w:sz w:val="22"/>
          <w:szCs w:val="22"/>
        </w:rPr>
        <w:t xml:space="preserve"> pa.</w:t>
      </w:r>
    </w:p>
    <w:p w:rsidR="007D273E" w:rsidRDefault="0080245E" w:rsidP="00720EB8">
      <w:pPr>
        <w:pStyle w:val="ListParagraph"/>
        <w:spacing w:before="240" w:after="240"/>
        <w:ind w:left="0"/>
        <w:rPr>
          <w:rFonts w:ascii="Verdana" w:hAnsi="Verdana"/>
          <w:sz w:val="22"/>
          <w:szCs w:val="22"/>
        </w:rPr>
      </w:pPr>
      <w:r>
        <w:rPr>
          <w:rFonts w:ascii="Verdana" w:hAnsi="Verdana"/>
          <w:sz w:val="22"/>
          <w:szCs w:val="22"/>
        </w:rPr>
        <w:t>The impact of £1.75 billion per 1 per cent of inflation is taken from the OBR Ready Reckoner</w:t>
      </w:r>
      <w:r w:rsidR="005B5558">
        <w:rPr>
          <w:rStyle w:val="FootnoteReference"/>
          <w:rFonts w:ascii="Verdana" w:hAnsi="Verdana"/>
          <w:sz w:val="22"/>
          <w:szCs w:val="22"/>
        </w:rPr>
        <w:footnoteReference w:id="3"/>
      </w:r>
      <w:r>
        <w:rPr>
          <w:rFonts w:ascii="Verdana" w:hAnsi="Verdana"/>
          <w:sz w:val="22"/>
          <w:szCs w:val="22"/>
        </w:rPr>
        <w:t xml:space="preserve"> </w:t>
      </w:r>
      <w:r w:rsidR="00D45E38">
        <w:rPr>
          <w:rFonts w:ascii="Verdana" w:hAnsi="Verdana"/>
          <w:sz w:val="22"/>
          <w:szCs w:val="22"/>
        </w:rPr>
        <w:t>.</w:t>
      </w:r>
    </w:p>
    <w:p w:rsidR="0001663D" w:rsidRDefault="0001663D" w:rsidP="0001663D">
      <w:pPr>
        <w:pStyle w:val="ListParagraph"/>
        <w:spacing w:after="240" w:line="240" w:lineRule="auto"/>
        <w:ind w:left="0"/>
        <w:rPr>
          <w:rFonts w:ascii="Verdana" w:hAnsi="Verdana"/>
          <w:b/>
          <w:sz w:val="24"/>
          <w:szCs w:val="24"/>
        </w:rPr>
      </w:pPr>
      <w:r>
        <w:rPr>
          <w:rFonts w:ascii="Verdana" w:hAnsi="Verdana"/>
          <w:b/>
          <w:sz w:val="24"/>
          <w:szCs w:val="24"/>
        </w:rPr>
        <w:t>References</w:t>
      </w:r>
    </w:p>
    <w:p w:rsidR="0001663D" w:rsidRDefault="0001663D" w:rsidP="0001663D">
      <w:pPr>
        <w:pStyle w:val="ListParagraph"/>
        <w:spacing w:after="240"/>
        <w:ind w:left="0"/>
        <w:rPr>
          <w:rFonts w:ascii="Verdana" w:hAnsi="Verdana"/>
          <w:sz w:val="22"/>
          <w:szCs w:val="22"/>
        </w:rPr>
      </w:pPr>
      <w:r>
        <w:rPr>
          <w:rFonts w:ascii="Verdana" w:hAnsi="Verdana"/>
          <w:sz w:val="22"/>
          <w:szCs w:val="22"/>
        </w:rPr>
        <w:t xml:space="preserve">References cited here listed after the main section of the report  </w:t>
      </w:r>
    </w:p>
    <w:p w:rsidR="0001663D" w:rsidRDefault="0001663D" w:rsidP="00720EB8">
      <w:pPr>
        <w:pStyle w:val="ListParagraph"/>
        <w:spacing w:before="240" w:after="240"/>
        <w:ind w:left="0"/>
        <w:rPr>
          <w:rFonts w:ascii="Verdana" w:hAnsi="Verdana"/>
          <w:sz w:val="22"/>
          <w:szCs w:val="22"/>
        </w:rPr>
      </w:pPr>
    </w:p>
    <w:p w:rsidR="00601848" w:rsidRDefault="00601848" w:rsidP="00720EB8">
      <w:pPr>
        <w:pStyle w:val="ListParagraph"/>
        <w:spacing w:before="240" w:after="240"/>
        <w:ind w:left="0"/>
        <w:rPr>
          <w:rFonts w:ascii="Verdana" w:hAnsi="Verdana"/>
          <w:sz w:val="22"/>
          <w:szCs w:val="22"/>
        </w:rPr>
      </w:pPr>
    </w:p>
    <w:p w:rsidR="00E92CA1" w:rsidRDefault="00E92CA1" w:rsidP="00720EB8">
      <w:pPr>
        <w:pStyle w:val="ListParagraph"/>
        <w:spacing w:before="240" w:after="240"/>
        <w:ind w:left="0"/>
        <w:rPr>
          <w:rFonts w:ascii="Verdana" w:hAnsi="Verdana"/>
          <w:sz w:val="22"/>
          <w:szCs w:val="22"/>
        </w:rPr>
      </w:pPr>
    </w:p>
    <w:p w:rsidR="00C401A6" w:rsidRDefault="00C401A6" w:rsidP="00720EB8">
      <w:pPr>
        <w:spacing w:after="240"/>
        <w:rPr>
          <w:rFonts w:ascii="Verdana" w:hAnsi="Verdana"/>
          <w:sz w:val="22"/>
          <w:szCs w:val="22"/>
        </w:rPr>
      </w:pPr>
    </w:p>
    <w:p w:rsidR="00C401A6" w:rsidRDefault="00C401A6" w:rsidP="00720EB8">
      <w:pPr>
        <w:spacing w:after="240"/>
        <w:rPr>
          <w:rFonts w:ascii="Verdana" w:hAnsi="Verdana"/>
          <w:sz w:val="22"/>
          <w:szCs w:val="22"/>
        </w:rPr>
      </w:pPr>
    </w:p>
    <w:p w:rsidR="00C401A6" w:rsidRDefault="00C401A6" w:rsidP="00720EB8">
      <w:pPr>
        <w:spacing w:after="240"/>
        <w:rPr>
          <w:rFonts w:ascii="Verdana" w:hAnsi="Verdana"/>
          <w:sz w:val="22"/>
          <w:szCs w:val="22"/>
        </w:rPr>
      </w:pPr>
    </w:p>
    <w:p w:rsidR="00C401A6" w:rsidRDefault="00C401A6" w:rsidP="00720EB8">
      <w:pPr>
        <w:spacing w:after="240"/>
        <w:rPr>
          <w:rFonts w:ascii="Verdana" w:hAnsi="Verdana"/>
          <w:sz w:val="22"/>
          <w:szCs w:val="22"/>
        </w:rPr>
      </w:pPr>
    </w:p>
    <w:sectPr w:rsidR="00C401A6" w:rsidSect="007C1650">
      <w:headerReference w:type="default" r:id="rId9"/>
      <w:pgSz w:w="11906" w:h="16838"/>
      <w:pgMar w:top="1440" w:right="1800" w:bottom="1440" w:left="1800" w:header="720" w:footer="720" w:gutter="0"/>
      <w:paperSrc w:first="264" w:other="264"/>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ADB" w:rsidRDefault="004F0ADB" w:rsidP="00A16F1D">
      <w:pPr>
        <w:spacing w:line="240" w:lineRule="auto"/>
      </w:pPr>
      <w:r>
        <w:separator/>
      </w:r>
    </w:p>
  </w:endnote>
  <w:endnote w:type="continuationSeparator" w:id="0">
    <w:p w:rsidR="004F0ADB" w:rsidRDefault="004F0ADB" w:rsidP="00A16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ADB" w:rsidRDefault="004F0ADB" w:rsidP="00A16F1D">
      <w:pPr>
        <w:spacing w:line="240" w:lineRule="auto"/>
      </w:pPr>
      <w:r>
        <w:separator/>
      </w:r>
    </w:p>
  </w:footnote>
  <w:footnote w:type="continuationSeparator" w:id="0">
    <w:p w:rsidR="004F0ADB" w:rsidRDefault="004F0ADB" w:rsidP="00A16F1D">
      <w:pPr>
        <w:spacing w:line="240" w:lineRule="auto"/>
      </w:pPr>
      <w:r>
        <w:continuationSeparator/>
      </w:r>
    </w:p>
  </w:footnote>
  <w:footnote w:id="1">
    <w:p w:rsidR="00E40C6B" w:rsidRDefault="00E40C6B">
      <w:pPr>
        <w:pStyle w:val="FootnoteText"/>
      </w:pPr>
      <w:r>
        <w:rPr>
          <w:rStyle w:val="FootnoteReference"/>
        </w:rPr>
        <w:footnoteRef/>
      </w:r>
      <w:r>
        <w:t xml:space="preserve"> See OBR (2012a), </w:t>
      </w:r>
      <w:r w:rsidRPr="00E40C6B">
        <w:t>tables 4.20</w:t>
      </w:r>
      <w:r w:rsidR="005B5558">
        <w:t>,</w:t>
      </w:r>
      <w:r w:rsidRPr="00E40C6B">
        <w:t xml:space="preserve"> 4.21</w:t>
      </w:r>
      <w:r w:rsidR="005B5558">
        <w:t xml:space="preserve"> </w:t>
      </w:r>
      <w:r>
        <w:t>and</w:t>
      </w:r>
      <w:r w:rsidRPr="00E40C6B">
        <w:t xml:space="preserve"> 4.22</w:t>
      </w:r>
      <w:r>
        <w:t xml:space="preserve">. Total expenditure (2016-17) 199.3 </w:t>
      </w:r>
      <w:r w:rsidR="005B5558">
        <w:t>+</w:t>
      </w:r>
      <w:r>
        <w:t xml:space="preserve"> </w:t>
      </w:r>
      <w:r w:rsidR="00C55DEE">
        <w:t>33.9 + 43.0 = £296 million pa, which includes State Pensions.</w:t>
      </w:r>
    </w:p>
  </w:footnote>
  <w:footnote w:id="2">
    <w:p w:rsidR="005B5558" w:rsidRDefault="005B5558">
      <w:pPr>
        <w:pStyle w:val="FootnoteText"/>
      </w:pPr>
      <w:r>
        <w:rPr>
          <w:rStyle w:val="FootnoteReference"/>
        </w:rPr>
        <w:footnoteRef/>
      </w:r>
      <w:r>
        <w:t xml:space="preserve"> </w:t>
      </w:r>
      <w:proofErr w:type="gramStart"/>
      <w:r w:rsidRPr="005B5558">
        <w:t>Office of Budget Responsibility,</w:t>
      </w:r>
      <w:r>
        <w:t xml:space="preserve"> </w:t>
      </w:r>
      <w:r w:rsidRPr="005B5558">
        <w:t>’Economic and fiscal outlook – November 2011’, paragraph 3.</w:t>
      </w:r>
      <w:r>
        <w:t>1</w:t>
      </w:r>
      <w:r w:rsidRPr="005B5558">
        <w:t>06.</w:t>
      </w:r>
      <w:proofErr w:type="gramEnd"/>
    </w:p>
  </w:footnote>
  <w:footnote w:id="3">
    <w:p w:rsidR="005B5558" w:rsidRDefault="005B5558">
      <w:pPr>
        <w:pStyle w:val="FootnoteText"/>
      </w:pPr>
      <w:r>
        <w:rPr>
          <w:rStyle w:val="FootnoteReference"/>
        </w:rPr>
        <w:footnoteRef/>
      </w:r>
      <w:r>
        <w:t xml:space="preserve"> </w:t>
      </w:r>
      <w:r w:rsidRPr="005B5558">
        <w:t>Office of Budget Responsibility</w:t>
      </w:r>
      <w:r>
        <w:t xml:space="preserve">, </w:t>
      </w:r>
      <w:r w:rsidRPr="005B5558">
        <w:t>’How we present uncertainty</w:t>
      </w:r>
      <w:r>
        <w:t>’,</w:t>
      </w:r>
      <w:r w:rsidR="00D45E38">
        <w:t xml:space="preserve"> </w:t>
      </w:r>
      <w:r w:rsidR="00D45E38" w:rsidRPr="00D45E38">
        <w:t>OBR Briefing paper No. 4</w:t>
      </w:r>
      <w:r w:rsidR="00D45E38">
        <w:t xml:space="preserve">, </w:t>
      </w:r>
      <w:r w:rsidR="00D45E38" w:rsidRPr="00D45E38">
        <w:t>page 39, table 3.2</w:t>
      </w:r>
      <w:r w:rsidR="00D45E38">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5CF" w:rsidRDefault="003075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21DA"/>
    <w:multiLevelType w:val="hybridMultilevel"/>
    <w:tmpl w:val="AC96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EF5B5D"/>
    <w:multiLevelType w:val="hybridMultilevel"/>
    <w:tmpl w:val="AAB6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159F0"/>
    <w:multiLevelType w:val="hybridMultilevel"/>
    <w:tmpl w:val="4982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193E2E"/>
    <w:multiLevelType w:val="multilevel"/>
    <w:tmpl w:val="A2F8A04C"/>
    <w:name w:val="HEFCE4"/>
    <w:lvl w:ilvl="0">
      <w:start w:val="1"/>
      <w:numFmt w:val="decimal"/>
      <w:lvlRestart w:val="0"/>
      <w:lvlText w:val="%1."/>
      <w:lvlJc w:val="left"/>
      <w:pPr>
        <w:tabs>
          <w:tab w:val="num" w:pos="567"/>
        </w:tabs>
        <w:ind w:left="0" w:firstLine="0"/>
      </w:pPr>
      <w:rPr>
        <w:sz w:val="22"/>
        <w:szCs w:val="22"/>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4">
    <w:nsid w:val="30AF6563"/>
    <w:multiLevelType w:val="hybridMultilevel"/>
    <w:tmpl w:val="B75A8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E936A4"/>
    <w:multiLevelType w:val="hybridMultilevel"/>
    <w:tmpl w:val="D02EEB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3F01A0"/>
    <w:multiLevelType w:val="multilevel"/>
    <w:tmpl w:val="23B88BB0"/>
    <w:name w:val="HEFCE4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7">
    <w:nsid w:val="7BE432FD"/>
    <w:multiLevelType w:val="hybridMultilevel"/>
    <w:tmpl w:val="9C828D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6"/>
  </w:num>
  <w:num w:numId="5">
    <w:abstractNumId w:val="1"/>
  </w:num>
  <w:num w:numId="6">
    <w:abstractNumId w:val="4"/>
  </w:num>
  <w:num w:numId="7">
    <w:abstractNumId w:val="0"/>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7D6A"/>
    <w:rsid w:val="0000046B"/>
    <w:rsid w:val="00005368"/>
    <w:rsid w:val="00012EE8"/>
    <w:rsid w:val="0001663D"/>
    <w:rsid w:val="000278B3"/>
    <w:rsid w:val="00031129"/>
    <w:rsid w:val="00034FB5"/>
    <w:rsid w:val="00042C6C"/>
    <w:rsid w:val="00044821"/>
    <w:rsid w:val="0005291E"/>
    <w:rsid w:val="00054556"/>
    <w:rsid w:val="00056BEF"/>
    <w:rsid w:val="00057501"/>
    <w:rsid w:val="00060536"/>
    <w:rsid w:val="00064F22"/>
    <w:rsid w:val="00065570"/>
    <w:rsid w:val="00081E5E"/>
    <w:rsid w:val="000826C1"/>
    <w:rsid w:val="0009098E"/>
    <w:rsid w:val="00096709"/>
    <w:rsid w:val="000A0127"/>
    <w:rsid w:val="000A5109"/>
    <w:rsid w:val="000B1AE9"/>
    <w:rsid w:val="000B4DCC"/>
    <w:rsid w:val="000B6E91"/>
    <w:rsid w:val="000C03A8"/>
    <w:rsid w:val="000D2461"/>
    <w:rsid w:val="000E4806"/>
    <w:rsid w:val="000E71A5"/>
    <w:rsid w:val="000F07FB"/>
    <w:rsid w:val="000F1D46"/>
    <w:rsid w:val="000F4237"/>
    <w:rsid w:val="000F7FE4"/>
    <w:rsid w:val="00112770"/>
    <w:rsid w:val="00114CA5"/>
    <w:rsid w:val="001157C5"/>
    <w:rsid w:val="0011619C"/>
    <w:rsid w:val="00124B2C"/>
    <w:rsid w:val="00126FFF"/>
    <w:rsid w:val="00134E95"/>
    <w:rsid w:val="00144216"/>
    <w:rsid w:val="001465F8"/>
    <w:rsid w:val="001477EB"/>
    <w:rsid w:val="00150057"/>
    <w:rsid w:val="00152366"/>
    <w:rsid w:val="0015254C"/>
    <w:rsid w:val="001539D1"/>
    <w:rsid w:val="001541DB"/>
    <w:rsid w:val="0015667F"/>
    <w:rsid w:val="00170D53"/>
    <w:rsid w:val="00185005"/>
    <w:rsid w:val="00191BA7"/>
    <w:rsid w:val="001965FC"/>
    <w:rsid w:val="001A1B7E"/>
    <w:rsid w:val="001A20AB"/>
    <w:rsid w:val="001A732F"/>
    <w:rsid w:val="001A7496"/>
    <w:rsid w:val="001B1FC6"/>
    <w:rsid w:val="001B4042"/>
    <w:rsid w:val="001B6902"/>
    <w:rsid w:val="001B74C5"/>
    <w:rsid w:val="001B7A6F"/>
    <w:rsid w:val="001C2D09"/>
    <w:rsid w:val="001D2D19"/>
    <w:rsid w:val="001D5083"/>
    <w:rsid w:val="001D6F44"/>
    <w:rsid w:val="001E0145"/>
    <w:rsid w:val="001F08D6"/>
    <w:rsid w:val="001F4F3A"/>
    <w:rsid w:val="002014F4"/>
    <w:rsid w:val="00206EBD"/>
    <w:rsid w:val="00207D2B"/>
    <w:rsid w:val="002106DC"/>
    <w:rsid w:val="0021077B"/>
    <w:rsid w:val="00214874"/>
    <w:rsid w:val="00222F0A"/>
    <w:rsid w:val="002243C7"/>
    <w:rsid w:val="00226E3B"/>
    <w:rsid w:val="00234F22"/>
    <w:rsid w:val="00243100"/>
    <w:rsid w:val="00246E9D"/>
    <w:rsid w:val="00247EF1"/>
    <w:rsid w:val="002511C5"/>
    <w:rsid w:val="00252EBF"/>
    <w:rsid w:val="00254345"/>
    <w:rsid w:val="00260FC8"/>
    <w:rsid w:val="00266E44"/>
    <w:rsid w:val="0027004E"/>
    <w:rsid w:val="0027312D"/>
    <w:rsid w:val="00274C27"/>
    <w:rsid w:val="00275BBA"/>
    <w:rsid w:val="0027691A"/>
    <w:rsid w:val="002805D7"/>
    <w:rsid w:val="00280675"/>
    <w:rsid w:val="00280FB4"/>
    <w:rsid w:val="00282EEE"/>
    <w:rsid w:val="002833E6"/>
    <w:rsid w:val="002859D5"/>
    <w:rsid w:val="00292ECC"/>
    <w:rsid w:val="002A1F7C"/>
    <w:rsid w:val="002A30A5"/>
    <w:rsid w:val="002A6453"/>
    <w:rsid w:val="002A6DDB"/>
    <w:rsid w:val="002E049A"/>
    <w:rsid w:val="002E1603"/>
    <w:rsid w:val="002E6E71"/>
    <w:rsid w:val="002F7A0C"/>
    <w:rsid w:val="00300F72"/>
    <w:rsid w:val="00306ED0"/>
    <w:rsid w:val="003075CF"/>
    <w:rsid w:val="00311F16"/>
    <w:rsid w:val="00313D9A"/>
    <w:rsid w:val="00316B92"/>
    <w:rsid w:val="00321564"/>
    <w:rsid w:val="00326C10"/>
    <w:rsid w:val="0032717C"/>
    <w:rsid w:val="00340896"/>
    <w:rsid w:val="00350E38"/>
    <w:rsid w:val="00351396"/>
    <w:rsid w:val="003538B9"/>
    <w:rsid w:val="00366B33"/>
    <w:rsid w:val="003724EF"/>
    <w:rsid w:val="00373903"/>
    <w:rsid w:val="00373FD4"/>
    <w:rsid w:val="00374A11"/>
    <w:rsid w:val="003777BF"/>
    <w:rsid w:val="0038071D"/>
    <w:rsid w:val="00383588"/>
    <w:rsid w:val="00383770"/>
    <w:rsid w:val="003850A3"/>
    <w:rsid w:val="00387D0D"/>
    <w:rsid w:val="00392342"/>
    <w:rsid w:val="00393482"/>
    <w:rsid w:val="003A1CA3"/>
    <w:rsid w:val="003A5887"/>
    <w:rsid w:val="003D371A"/>
    <w:rsid w:val="003D40DF"/>
    <w:rsid w:val="003D46B7"/>
    <w:rsid w:val="003D6AE1"/>
    <w:rsid w:val="003E462E"/>
    <w:rsid w:val="003F54A5"/>
    <w:rsid w:val="003F7D58"/>
    <w:rsid w:val="00401D68"/>
    <w:rsid w:val="00434E2B"/>
    <w:rsid w:val="00435659"/>
    <w:rsid w:val="004527E4"/>
    <w:rsid w:val="00461CE8"/>
    <w:rsid w:val="00467809"/>
    <w:rsid w:val="0047083E"/>
    <w:rsid w:val="00472671"/>
    <w:rsid w:val="004776C3"/>
    <w:rsid w:val="00482F8E"/>
    <w:rsid w:val="00484A69"/>
    <w:rsid w:val="00495389"/>
    <w:rsid w:val="004B6245"/>
    <w:rsid w:val="004B7E67"/>
    <w:rsid w:val="004C0831"/>
    <w:rsid w:val="004C162D"/>
    <w:rsid w:val="004C367C"/>
    <w:rsid w:val="004C3789"/>
    <w:rsid w:val="004C7624"/>
    <w:rsid w:val="004C7A58"/>
    <w:rsid w:val="004D1D5D"/>
    <w:rsid w:val="004D5EF4"/>
    <w:rsid w:val="004E2151"/>
    <w:rsid w:val="004E2E4A"/>
    <w:rsid w:val="004E3D7F"/>
    <w:rsid w:val="004E5847"/>
    <w:rsid w:val="004F0ADB"/>
    <w:rsid w:val="004F41FE"/>
    <w:rsid w:val="004F4E00"/>
    <w:rsid w:val="0051015B"/>
    <w:rsid w:val="00517D6A"/>
    <w:rsid w:val="00534764"/>
    <w:rsid w:val="00540E1C"/>
    <w:rsid w:val="005413A5"/>
    <w:rsid w:val="005429EC"/>
    <w:rsid w:val="00544D31"/>
    <w:rsid w:val="0055447E"/>
    <w:rsid w:val="0055675A"/>
    <w:rsid w:val="005610DC"/>
    <w:rsid w:val="00561473"/>
    <w:rsid w:val="00561BAC"/>
    <w:rsid w:val="00563123"/>
    <w:rsid w:val="00572370"/>
    <w:rsid w:val="005932FB"/>
    <w:rsid w:val="005941BA"/>
    <w:rsid w:val="005A422A"/>
    <w:rsid w:val="005A69B0"/>
    <w:rsid w:val="005B5558"/>
    <w:rsid w:val="005D610C"/>
    <w:rsid w:val="005E1107"/>
    <w:rsid w:val="005F64D3"/>
    <w:rsid w:val="006007DC"/>
    <w:rsid w:val="00601848"/>
    <w:rsid w:val="006120ED"/>
    <w:rsid w:val="006138B1"/>
    <w:rsid w:val="00613ED1"/>
    <w:rsid w:val="0062026F"/>
    <w:rsid w:val="0062236C"/>
    <w:rsid w:val="00636D8D"/>
    <w:rsid w:val="00651F5C"/>
    <w:rsid w:val="0065592E"/>
    <w:rsid w:val="006671E8"/>
    <w:rsid w:val="006711AF"/>
    <w:rsid w:val="006810B8"/>
    <w:rsid w:val="0069155E"/>
    <w:rsid w:val="006919FE"/>
    <w:rsid w:val="00697798"/>
    <w:rsid w:val="006A0F4C"/>
    <w:rsid w:val="006B151F"/>
    <w:rsid w:val="006B441B"/>
    <w:rsid w:val="006B53B0"/>
    <w:rsid w:val="006B5509"/>
    <w:rsid w:val="006C462C"/>
    <w:rsid w:val="006D0B5B"/>
    <w:rsid w:val="006D3FA2"/>
    <w:rsid w:val="006E05BD"/>
    <w:rsid w:val="006E6C01"/>
    <w:rsid w:val="006F568F"/>
    <w:rsid w:val="006F5725"/>
    <w:rsid w:val="00700F92"/>
    <w:rsid w:val="0070237E"/>
    <w:rsid w:val="0070337E"/>
    <w:rsid w:val="00704785"/>
    <w:rsid w:val="00704AB1"/>
    <w:rsid w:val="007054C5"/>
    <w:rsid w:val="00707D13"/>
    <w:rsid w:val="00711C9C"/>
    <w:rsid w:val="0072051E"/>
    <w:rsid w:val="00720EB8"/>
    <w:rsid w:val="0072661C"/>
    <w:rsid w:val="00731F82"/>
    <w:rsid w:val="00734376"/>
    <w:rsid w:val="007413D8"/>
    <w:rsid w:val="00745A46"/>
    <w:rsid w:val="00745F94"/>
    <w:rsid w:val="00752FB1"/>
    <w:rsid w:val="007614B5"/>
    <w:rsid w:val="00765A22"/>
    <w:rsid w:val="00765E10"/>
    <w:rsid w:val="00784395"/>
    <w:rsid w:val="00784F6E"/>
    <w:rsid w:val="00787E8F"/>
    <w:rsid w:val="007A0984"/>
    <w:rsid w:val="007A1FEA"/>
    <w:rsid w:val="007A3F27"/>
    <w:rsid w:val="007A489B"/>
    <w:rsid w:val="007A53D4"/>
    <w:rsid w:val="007A79E1"/>
    <w:rsid w:val="007B28B4"/>
    <w:rsid w:val="007B4533"/>
    <w:rsid w:val="007B71EB"/>
    <w:rsid w:val="007B77B6"/>
    <w:rsid w:val="007C1650"/>
    <w:rsid w:val="007C1925"/>
    <w:rsid w:val="007C2D5A"/>
    <w:rsid w:val="007C37AC"/>
    <w:rsid w:val="007D273E"/>
    <w:rsid w:val="007D6947"/>
    <w:rsid w:val="007E4F1F"/>
    <w:rsid w:val="007E7733"/>
    <w:rsid w:val="0080245E"/>
    <w:rsid w:val="008035F7"/>
    <w:rsid w:val="00805EED"/>
    <w:rsid w:val="00811BA4"/>
    <w:rsid w:val="00820F70"/>
    <w:rsid w:val="008216AA"/>
    <w:rsid w:val="00832D3F"/>
    <w:rsid w:val="008330BE"/>
    <w:rsid w:val="0084137A"/>
    <w:rsid w:val="00842147"/>
    <w:rsid w:val="008455C8"/>
    <w:rsid w:val="00845BC6"/>
    <w:rsid w:val="008468A5"/>
    <w:rsid w:val="008468C8"/>
    <w:rsid w:val="00854257"/>
    <w:rsid w:val="00855C42"/>
    <w:rsid w:val="00861594"/>
    <w:rsid w:val="0086241E"/>
    <w:rsid w:val="0087480E"/>
    <w:rsid w:val="0087644B"/>
    <w:rsid w:val="00882DE0"/>
    <w:rsid w:val="0088538C"/>
    <w:rsid w:val="008879B5"/>
    <w:rsid w:val="00887F8D"/>
    <w:rsid w:val="008912FC"/>
    <w:rsid w:val="00896F3B"/>
    <w:rsid w:val="00897AAB"/>
    <w:rsid w:val="008A54AC"/>
    <w:rsid w:val="008B3A65"/>
    <w:rsid w:val="008B4377"/>
    <w:rsid w:val="008B72DC"/>
    <w:rsid w:val="008C450A"/>
    <w:rsid w:val="008C65DD"/>
    <w:rsid w:val="008D22AC"/>
    <w:rsid w:val="008D7580"/>
    <w:rsid w:val="008E2A20"/>
    <w:rsid w:val="008E46A9"/>
    <w:rsid w:val="008E4C77"/>
    <w:rsid w:val="008F0150"/>
    <w:rsid w:val="008F01C0"/>
    <w:rsid w:val="008F11EE"/>
    <w:rsid w:val="008F2AF7"/>
    <w:rsid w:val="00904EC5"/>
    <w:rsid w:val="0090534D"/>
    <w:rsid w:val="00923628"/>
    <w:rsid w:val="00935609"/>
    <w:rsid w:val="0093775C"/>
    <w:rsid w:val="00941C80"/>
    <w:rsid w:val="0094335A"/>
    <w:rsid w:val="009468F2"/>
    <w:rsid w:val="0095002A"/>
    <w:rsid w:val="009507EA"/>
    <w:rsid w:val="00956BB2"/>
    <w:rsid w:val="009839EF"/>
    <w:rsid w:val="00984C72"/>
    <w:rsid w:val="009902C1"/>
    <w:rsid w:val="00995164"/>
    <w:rsid w:val="009A02F3"/>
    <w:rsid w:val="009A5F03"/>
    <w:rsid w:val="009B0415"/>
    <w:rsid w:val="009B35BF"/>
    <w:rsid w:val="009B423F"/>
    <w:rsid w:val="009B54B8"/>
    <w:rsid w:val="009B5866"/>
    <w:rsid w:val="009C41D1"/>
    <w:rsid w:val="009C631F"/>
    <w:rsid w:val="009C7A15"/>
    <w:rsid w:val="009D65E4"/>
    <w:rsid w:val="009E13A7"/>
    <w:rsid w:val="009E2EF3"/>
    <w:rsid w:val="009E3FBC"/>
    <w:rsid w:val="009E77DC"/>
    <w:rsid w:val="009F3ECF"/>
    <w:rsid w:val="009F7C80"/>
    <w:rsid w:val="00A02B0D"/>
    <w:rsid w:val="00A11E1A"/>
    <w:rsid w:val="00A16F1D"/>
    <w:rsid w:val="00A24EFF"/>
    <w:rsid w:val="00A340DC"/>
    <w:rsid w:val="00A3536E"/>
    <w:rsid w:val="00A51FFE"/>
    <w:rsid w:val="00A53C2B"/>
    <w:rsid w:val="00A545A5"/>
    <w:rsid w:val="00A57F0F"/>
    <w:rsid w:val="00A6009B"/>
    <w:rsid w:val="00A747A0"/>
    <w:rsid w:val="00A800B9"/>
    <w:rsid w:val="00A8122F"/>
    <w:rsid w:val="00A83CC7"/>
    <w:rsid w:val="00A91D8E"/>
    <w:rsid w:val="00A93500"/>
    <w:rsid w:val="00A94668"/>
    <w:rsid w:val="00A96A64"/>
    <w:rsid w:val="00AA1A64"/>
    <w:rsid w:val="00AA54CD"/>
    <w:rsid w:val="00AB0785"/>
    <w:rsid w:val="00AB0DC8"/>
    <w:rsid w:val="00AB389C"/>
    <w:rsid w:val="00AB562A"/>
    <w:rsid w:val="00AC2924"/>
    <w:rsid w:val="00AC3620"/>
    <w:rsid w:val="00AD23B4"/>
    <w:rsid w:val="00AD6258"/>
    <w:rsid w:val="00AE62D3"/>
    <w:rsid w:val="00AF0109"/>
    <w:rsid w:val="00AF0FC0"/>
    <w:rsid w:val="00AF44F5"/>
    <w:rsid w:val="00AF4EE3"/>
    <w:rsid w:val="00AF7014"/>
    <w:rsid w:val="00AF7C1F"/>
    <w:rsid w:val="00B01BFF"/>
    <w:rsid w:val="00B04EEF"/>
    <w:rsid w:val="00B10611"/>
    <w:rsid w:val="00B14799"/>
    <w:rsid w:val="00B20823"/>
    <w:rsid w:val="00B229F7"/>
    <w:rsid w:val="00B244D1"/>
    <w:rsid w:val="00B34D08"/>
    <w:rsid w:val="00B37964"/>
    <w:rsid w:val="00B429B1"/>
    <w:rsid w:val="00B50E2C"/>
    <w:rsid w:val="00B61F22"/>
    <w:rsid w:val="00B63D71"/>
    <w:rsid w:val="00B63F06"/>
    <w:rsid w:val="00B640FE"/>
    <w:rsid w:val="00B7043A"/>
    <w:rsid w:val="00B77A22"/>
    <w:rsid w:val="00B83B7E"/>
    <w:rsid w:val="00B9095E"/>
    <w:rsid w:val="00B9348A"/>
    <w:rsid w:val="00BB6BF0"/>
    <w:rsid w:val="00BC14C2"/>
    <w:rsid w:val="00BC15B2"/>
    <w:rsid w:val="00BD1ADC"/>
    <w:rsid w:val="00BD5953"/>
    <w:rsid w:val="00BD7788"/>
    <w:rsid w:val="00BE0BC9"/>
    <w:rsid w:val="00C00A0B"/>
    <w:rsid w:val="00C01084"/>
    <w:rsid w:val="00C05307"/>
    <w:rsid w:val="00C13FE7"/>
    <w:rsid w:val="00C166FA"/>
    <w:rsid w:val="00C23111"/>
    <w:rsid w:val="00C23251"/>
    <w:rsid w:val="00C23DB7"/>
    <w:rsid w:val="00C2497A"/>
    <w:rsid w:val="00C26F8B"/>
    <w:rsid w:val="00C31729"/>
    <w:rsid w:val="00C401A6"/>
    <w:rsid w:val="00C521A5"/>
    <w:rsid w:val="00C53FD0"/>
    <w:rsid w:val="00C5592B"/>
    <w:rsid w:val="00C55DEE"/>
    <w:rsid w:val="00C65741"/>
    <w:rsid w:val="00C65CF6"/>
    <w:rsid w:val="00C65DE3"/>
    <w:rsid w:val="00C70D2F"/>
    <w:rsid w:val="00C96B37"/>
    <w:rsid w:val="00C96D92"/>
    <w:rsid w:val="00CB1951"/>
    <w:rsid w:val="00CB2996"/>
    <w:rsid w:val="00CB607A"/>
    <w:rsid w:val="00CC3610"/>
    <w:rsid w:val="00CC493F"/>
    <w:rsid w:val="00CC6F3D"/>
    <w:rsid w:val="00CD009F"/>
    <w:rsid w:val="00CD17B8"/>
    <w:rsid w:val="00CD67B7"/>
    <w:rsid w:val="00CE4EF8"/>
    <w:rsid w:val="00CE5716"/>
    <w:rsid w:val="00CE5C7D"/>
    <w:rsid w:val="00CE6619"/>
    <w:rsid w:val="00CF04EC"/>
    <w:rsid w:val="00CF084E"/>
    <w:rsid w:val="00CF1619"/>
    <w:rsid w:val="00CF1C42"/>
    <w:rsid w:val="00CF6C41"/>
    <w:rsid w:val="00D01406"/>
    <w:rsid w:val="00D056DF"/>
    <w:rsid w:val="00D05BD6"/>
    <w:rsid w:val="00D10A67"/>
    <w:rsid w:val="00D14546"/>
    <w:rsid w:val="00D15C27"/>
    <w:rsid w:val="00D165B0"/>
    <w:rsid w:val="00D23E82"/>
    <w:rsid w:val="00D254DB"/>
    <w:rsid w:val="00D2662C"/>
    <w:rsid w:val="00D45E38"/>
    <w:rsid w:val="00D501C3"/>
    <w:rsid w:val="00D52A5F"/>
    <w:rsid w:val="00D541EC"/>
    <w:rsid w:val="00D547FD"/>
    <w:rsid w:val="00D62F3F"/>
    <w:rsid w:val="00D773CE"/>
    <w:rsid w:val="00D814F4"/>
    <w:rsid w:val="00D944E7"/>
    <w:rsid w:val="00DB182C"/>
    <w:rsid w:val="00DB1A60"/>
    <w:rsid w:val="00DC0ECA"/>
    <w:rsid w:val="00DC777E"/>
    <w:rsid w:val="00DD0A63"/>
    <w:rsid w:val="00DD57BB"/>
    <w:rsid w:val="00DD6B8B"/>
    <w:rsid w:val="00DE150E"/>
    <w:rsid w:val="00DE46E1"/>
    <w:rsid w:val="00E124DE"/>
    <w:rsid w:val="00E13559"/>
    <w:rsid w:val="00E21B14"/>
    <w:rsid w:val="00E23005"/>
    <w:rsid w:val="00E2461F"/>
    <w:rsid w:val="00E253EB"/>
    <w:rsid w:val="00E25FCD"/>
    <w:rsid w:val="00E27EFF"/>
    <w:rsid w:val="00E334F8"/>
    <w:rsid w:val="00E33952"/>
    <w:rsid w:val="00E37579"/>
    <w:rsid w:val="00E40C6B"/>
    <w:rsid w:val="00E412FF"/>
    <w:rsid w:val="00E45F61"/>
    <w:rsid w:val="00E60855"/>
    <w:rsid w:val="00E6394B"/>
    <w:rsid w:val="00E71464"/>
    <w:rsid w:val="00E80708"/>
    <w:rsid w:val="00E83936"/>
    <w:rsid w:val="00E85064"/>
    <w:rsid w:val="00E8539D"/>
    <w:rsid w:val="00E901B4"/>
    <w:rsid w:val="00E92CA1"/>
    <w:rsid w:val="00E95621"/>
    <w:rsid w:val="00EA032A"/>
    <w:rsid w:val="00EA0D1E"/>
    <w:rsid w:val="00EB42D1"/>
    <w:rsid w:val="00EB6920"/>
    <w:rsid w:val="00EC2C4C"/>
    <w:rsid w:val="00EC63BF"/>
    <w:rsid w:val="00EC768C"/>
    <w:rsid w:val="00ED5113"/>
    <w:rsid w:val="00EE2394"/>
    <w:rsid w:val="00EE378A"/>
    <w:rsid w:val="00EF7B54"/>
    <w:rsid w:val="00F015BE"/>
    <w:rsid w:val="00F04AE6"/>
    <w:rsid w:val="00F10CEE"/>
    <w:rsid w:val="00F13CE2"/>
    <w:rsid w:val="00F1683E"/>
    <w:rsid w:val="00F30A88"/>
    <w:rsid w:val="00F325AC"/>
    <w:rsid w:val="00F33E76"/>
    <w:rsid w:val="00F37854"/>
    <w:rsid w:val="00F461FA"/>
    <w:rsid w:val="00F54D12"/>
    <w:rsid w:val="00F5641A"/>
    <w:rsid w:val="00F67CDC"/>
    <w:rsid w:val="00F705A7"/>
    <w:rsid w:val="00F8459B"/>
    <w:rsid w:val="00F86D2B"/>
    <w:rsid w:val="00F97B84"/>
    <w:rsid w:val="00FA34CF"/>
    <w:rsid w:val="00FA54FD"/>
    <w:rsid w:val="00FA6CEF"/>
    <w:rsid w:val="00FB7485"/>
    <w:rsid w:val="00FC0EAE"/>
    <w:rsid w:val="00FC48DE"/>
    <w:rsid w:val="00FD12D4"/>
    <w:rsid w:val="00FE6641"/>
    <w:rsid w:val="00FF28AC"/>
    <w:rsid w:val="00FF3F39"/>
    <w:rsid w:val="00FF6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D6A"/>
    <w:pPr>
      <w:spacing w:after="0" w:line="300" w:lineRule="atLeast"/>
    </w:pPr>
    <w:rPr>
      <w:rFonts w:ascii="Arial" w:eastAsia="Times New Roman" w:hAnsi="Arial" w:cs="Times New Roman"/>
      <w:sz w:val="21"/>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7D6A"/>
    <w:pPr>
      <w:spacing w:after="120" w:line="300" w:lineRule="atLeas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7D6A"/>
    <w:pPr>
      <w:ind w:left="720"/>
    </w:pPr>
  </w:style>
  <w:style w:type="paragraph" w:styleId="FootnoteText">
    <w:name w:val="footnote text"/>
    <w:basedOn w:val="Normal"/>
    <w:link w:val="FootnoteTextChar"/>
    <w:uiPriority w:val="99"/>
    <w:unhideWhenUsed/>
    <w:rsid w:val="00A16F1D"/>
    <w:pPr>
      <w:spacing w:line="240" w:lineRule="auto"/>
    </w:pPr>
    <w:rPr>
      <w:sz w:val="20"/>
    </w:rPr>
  </w:style>
  <w:style w:type="character" w:customStyle="1" w:styleId="FootnoteTextChar">
    <w:name w:val="Footnote Text Char"/>
    <w:basedOn w:val="DefaultParagraphFont"/>
    <w:link w:val="FootnoteText"/>
    <w:uiPriority w:val="99"/>
    <w:rsid w:val="00A16F1D"/>
    <w:rPr>
      <w:rFonts w:ascii="Arial" w:eastAsia="Times New Roman" w:hAnsi="Arial" w:cs="Times New Roman"/>
      <w:sz w:val="20"/>
      <w:szCs w:val="20"/>
      <w:lang w:val="en-GB" w:eastAsia="en-GB"/>
    </w:rPr>
  </w:style>
  <w:style w:type="character" w:styleId="FootnoteReference">
    <w:name w:val="footnote reference"/>
    <w:basedOn w:val="DefaultParagraphFont"/>
    <w:uiPriority w:val="99"/>
    <w:semiHidden/>
    <w:unhideWhenUsed/>
    <w:rsid w:val="00A16F1D"/>
    <w:rPr>
      <w:vertAlign w:val="superscript"/>
    </w:rPr>
  </w:style>
  <w:style w:type="paragraph" w:styleId="BalloonText">
    <w:name w:val="Balloon Text"/>
    <w:basedOn w:val="Normal"/>
    <w:link w:val="BalloonTextChar"/>
    <w:uiPriority w:val="99"/>
    <w:semiHidden/>
    <w:unhideWhenUsed/>
    <w:rsid w:val="003215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564"/>
    <w:rPr>
      <w:rFonts w:ascii="Tahoma" w:eastAsia="Times New Roman" w:hAnsi="Tahoma" w:cs="Tahoma"/>
      <w:sz w:val="16"/>
      <w:szCs w:val="16"/>
      <w:lang w:val="en-GB" w:eastAsia="en-GB"/>
    </w:rPr>
  </w:style>
  <w:style w:type="character" w:styleId="Hyperlink">
    <w:name w:val="Hyperlink"/>
    <w:basedOn w:val="DefaultParagraphFont"/>
    <w:uiPriority w:val="99"/>
    <w:unhideWhenUsed/>
    <w:rsid w:val="002A1F7C"/>
    <w:rPr>
      <w:color w:val="0000FF" w:themeColor="hyperlink"/>
      <w:u w:val="single"/>
    </w:rPr>
  </w:style>
  <w:style w:type="character" w:styleId="FollowedHyperlink">
    <w:name w:val="FollowedHyperlink"/>
    <w:basedOn w:val="DefaultParagraphFont"/>
    <w:uiPriority w:val="99"/>
    <w:semiHidden/>
    <w:unhideWhenUsed/>
    <w:rsid w:val="0088538C"/>
    <w:rPr>
      <w:color w:val="800080" w:themeColor="followedHyperlink"/>
      <w:u w:val="single"/>
    </w:rPr>
  </w:style>
  <w:style w:type="paragraph" w:customStyle="1" w:styleId="Default">
    <w:name w:val="Default"/>
    <w:rsid w:val="00D10A67"/>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1F4F3A"/>
    <w:pPr>
      <w:tabs>
        <w:tab w:val="center" w:pos="4513"/>
        <w:tab w:val="right" w:pos="9026"/>
      </w:tabs>
      <w:spacing w:line="240" w:lineRule="auto"/>
    </w:pPr>
  </w:style>
  <w:style w:type="character" w:customStyle="1" w:styleId="HeaderChar">
    <w:name w:val="Header Char"/>
    <w:basedOn w:val="DefaultParagraphFont"/>
    <w:link w:val="Header"/>
    <w:uiPriority w:val="99"/>
    <w:rsid w:val="001F4F3A"/>
    <w:rPr>
      <w:rFonts w:ascii="Arial" w:eastAsia="Times New Roman" w:hAnsi="Arial" w:cs="Times New Roman"/>
      <w:sz w:val="21"/>
      <w:szCs w:val="20"/>
      <w:lang w:val="en-GB" w:eastAsia="en-GB"/>
    </w:rPr>
  </w:style>
  <w:style w:type="paragraph" w:styleId="Footer">
    <w:name w:val="footer"/>
    <w:basedOn w:val="Normal"/>
    <w:link w:val="FooterChar"/>
    <w:uiPriority w:val="99"/>
    <w:semiHidden/>
    <w:unhideWhenUsed/>
    <w:rsid w:val="001F4F3A"/>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1F4F3A"/>
    <w:rPr>
      <w:rFonts w:ascii="Arial" w:eastAsia="Times New Roman" w:hAnsi="Arial" w:cs="Times New Roman"/>
      <w:sz w:val="21"/>
      <w:szCs w:val="20"/>
      <w:lang w:val="en-GB" w:eastAsia="en-GB"/>
    </w:rPr>
  </w:style>
  <w:style w:type="paragraph" w:styleId="EndnoteText">
    <w:name w:val="endnote text"/>
    <w:basedOn w:val="Normal"/>
    <w:link w:val="EndnoteTextChar"/>
    <w:uiPriority w:val="99"/>
    <w:semiHidden/>
    <w:unhideWhenUsed/>
    <w:rsid w:val="00EA0D1E"/>
    <w:pPr>
      <w:spacing w:line="240" w:lineRule="auto"/>
    </w:pPr>
    <w:rPr>
      <w:sz w:val="20"/>
    </w:rPr>
  </w:style>
  <w:style w:type="character" w:customStyle="1" w:styleId="EndnoteTextChar">
    <w:name w:val="Endnote Text Char"/>
    <w:basedOn w:val="DefaultParagraphFont"/>
    <w:link w:val="EndnoteText"/>
    <w:uiPriority w:val="99"/>
    <w:semiHidden/>
    <w:rsid w:val="00EA0D1E"/>
    <w:rPr>
      <w:rFonts w:ascii="Arial" w:eastAsia="Times New Roman" w:hAnsi="Arial" w:cs="Times New Roman"/>
      <w:sz w:val="20"/>
      <w:szCs w:val="20"/>
      <w:lang w:val="en-GB" w:eastAsia="en-GB"/>
    </w:rPr>
  </w:style>
  <w:style w:type="character" w:styleId="EndnoteReference">
    <w:name w:val="endnote reference"/>
    <w:basedOn w:val="DefaultParagraphFont"/>
    <w:uiPriority w:val="99"/>
    <w:semiHidden/>
    <w:unhideWhenUsed/>
    <w:rsid w:val="00EA0D1E"/>
    <w:rPr>
      <w:vertAlign w:val="superscript"/>
    </w:rPr>
  </w:style>
  <w:style w:type="character" w:styleId="CommentReference">
    <w:name w:val="annotation reference"/>
    <w:basedOn w:val="DefaultParagraphFont"/>
    <w:uiPriority w:val="99"/>
    <w:semiHidden/>
    <w:unhideWhenUsed/>
    <w:rsid w:val="003075CF"/>
    <w:rPr>
      <w:sz w:val="18"/>
      <w:szCs w:val="18"/>
    </w:rPr>
  </w:style>
  <w:style w:type="paragraph" w:styleId="CommentText">
    <w:name w:val="annotation text"/>
    <w:basedOn w:val="Normal"/>
    <w:link w:val="CommentTextChar"/>
    <w:uiPriority w:val="99"/>
    <w:semiHidden/>
    <w:unhideWhenUsed/>
    <w:rsid w:val="003075CF"/>
    <w:pPr>
      <w:spacing w:line="240" w:lineRule="auto"/>
    </w:pPr>
    <w:rPr>
      <w:sz w:val="24"/>
      <w:szCs w:val="24"/>
    </w:rPr>
  </w:style>
  <w:style w:type="character" w:customStyle="1" w:styleId="CommentTextChar">
    <w:name w:val="Comment Text Char"/>
    <w:basedOn w:val="DefaultParagraphFont"/>
    <w:link w:val="CommentText"/>
    <w:uiPriority w:val="99"/>
    <w:semiHidden/>
    <w:rsid w:val="003075CF"/>
    <w:rPr>
      <w:rFonts w:ascii="Arial" w:eastAsia="Times New Roman" w:hAnsi="Arial"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3075CF"/>
    <w:rPr>
      <w:b/>
      <w:bCs/>
      <w:sz w:val="20"/>
      <w:szCs w:val="20"/>
    </w:rPr>
  </w:style>
  <w:style w:type="character" w:customStyle="1" w:styleId="CommentSubjectChar">
    <w:name w:val="Comment Subject Char"/>
    <w:basedOn w:val="CommentTextChar"/>
    <w:link w:val="CommentSubject"/>
    <w:uiPriority w:val="99"/>
    <w:semiHidden/>
    <w:rsid w:val="003075CF"/>
    <w:rPr>
      <w:rFonts w:ascii="Arial" w:eastAsia="Times New Roman" w:hAnsi="Arial" w:cs="Times New Roman"/>
      <w:b/>
      <w:bCs/>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D6A"/>
    <w:pPr>
      <w:spacing w:after="0" w:line="300" w:lineRule="atLeast"/>
    </w:pPr>
    <w:rPr>
      <w:rFonts w:ascii="Arial" w:eastAsia="Times New Roman" w:hAnsi="Arial" w:cs="Times New Roman"/>
      <w:sz w:val="21"/>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7D6A"/>
    <w:pPr>
      <w:spacing w:after="120" w:line="300" w:lineRule="atLeas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7D6A"/>
    <w:pPr>
      <w:ind w:left="720"/>
    </w:pPr>
  </w:style>
  <w:style w:type="paragraph" w:styleId="FootnoteText">
    <w:name w:val="footnote text"/>
    <w:basedOn w:val="Normal"/>
    <w:link w:val="FootnoteTextChar"/>
    <w:uiPriority w:val="99"/>
    <w:unhideWhenUsed/>
    <w:rsid w:val="00A16F1D"/>
    <w:pPr>
      <w:spacing w:line="240" w:lineRule="auto"/>
    </w:pPr>
    <w:rPr>
      <w:sz w:val="20"/>
    </w:rPr>
  </w:style>
  <w:style w:type="character" w:customStyle="1" w:styleId="FootnoteTextChar">
    <w:name w:val="Footnote Text Char"/>
    <w:basedOn w:val="DefaultParagraphFont"/>
    <w:link w:val="FootnoteText"/>
    <w:uiPriority w:val="99"/>
    <w:rsid w:val="00A16F1D"/>
    <w:rPr>
      <w:rFonts w:ascii="Arial" w:eastAsia="Times New Roman" w:hAnsi="Arial" w:cs="Times New Roman"/>
      <w:sz w:val="20"/>
      <w:szCs w:val="20"/>
      <w:lang w:val="en-GB" w:eastAsia="en-GB"/>
    </w:rPr>
  </w:style>
  <w:style w:type="character" w:styleId="FootnoteReference">
    <w:name w:val="footnote reference"/>
    <w:basedOn w:val="DefaultParagraphFont"/>
    <w:uiPriority w:val="99"/>
    <w:semiHidden/>
    <w:unhideWhenUsed/>
    <w:rsid w:val="00A16F1D"/>
    <w:rPr>
      <w:vertAlign w:val="superscript"/>
    </w:rPr>
  </w:style>
  <w:style w:type="paragraph" w:styleId="BalloonText">
    <w:name w:val="Balloon Text"/>
    <w:basedOn w:val="Normal"/>
    <w:link w:val="BalloonTextChar"/>
    <w:uiPriority w:val="99"/>
    <w:semiHidden/>
    <w:unhideWhenUsed/>
    <w:rsid w:val="003215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564"/>
    <w:rPr>
      <w:rFonts w:ascii="Tahoma" w:eastAsia="Times New Roman" w:hAnsi="Tahoma" w:cs="Tahoma"/>
      <w:sz w:val="16"/>
      <w:szCs w:val="16"/>
      <w:lang w:val="en-GB" w:eastAsia="en-GB"/>
    </w:rPr>
  </w:style>
  <w:style w:type="character" w:styleId="Hyperlink">
    <w:name w:val="Hyperlink"/>
    <w:basedOn w:val="DefaultParagraphFont"/>
    <w:uiPriority w:val="99"/>
    <w:unhideWhenUsed/>
    <w:rsid w:val="002A1F7C"/>
    <w:rPr>
      <w:color w:val="0000FF" w:themeColor="hyperlink"/>
      <w:u w:val="single"/>
    </w:rPr>
  </w:style>
  <w:style w:type="character" w:styleId="FollowedHyperlink">
    <w:name w:val="FollowedHyperlink"/>
    <w:basedOn w:val="DefaultParagraphFont"/>
    <w:uiPriority w:val="99"/>
    <w:semiHidden/>
    <w:unhideWhenUsed/>
    <w:rsid w:val="0088538C"/>
    <w:rPr>
      <w:color w:val="800080" w:themeColor="followedHyperlink"/>
      <w:u w:val="single"/>
    </w:rPr>
  </w:style>
  <w:style w:type="paragraph" w:customStyle="1" w:styleId="Default">
    <w:name w:val="Default"/>
    <w:rsid w:val="00D10A67"/>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1F4F3A"/>
    <w:pPr>
      <w:tabs>
        <w:tab w:val="center" w:pos="4513"/>
        <w:tab w:val="right" w:pos="9026"/>
      </w:tabs>
      <w:spacing w:line="240" w:lineRule="auto"/>
    </w:pPr>
  </w:style>
  <w:style w:type="character" w:customStyle="1" w:styleId="HeaderChar">
    <w:name w:val="Header Char"/>
    <w:basedOn w:val="DefaultParagraphFont"/>
    <w:link w:val="Header"/>
    <w:uiPriority w:val="99"/>
    <w:rsid w:val="001F4F3A"/>
    <w:rPr>
      <w:rFonts w:ascii="Arial" w:eastAsia="Times New Roman" w:hAnsi="Arial" w:cs="Times New Roman"/>
      <w:sz w:val="21"/>
      <w:szCs w:val="20"/>
      <w:lang w:val="en-GB" w:eastAsia="en-GB"/>
    </w:rPr>
  </w:style>
  <w:style w:type="paragraph" w:styleId="Footer">
    <w:name w:val="footer"/>
    <w:basedOn w:val="Normal"/>
    <w:link w:val="FooterChar"/>
    <w:uiPriority w:val="99"/>
    <w:semiHidden/>
    <w:unhideWhenUsed/>
    <w:rsid w:val="001F4F3A"/>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1F4F3A"/>
    <w:rPr>
      <w:rFonts w:ascii="Arial" w:eastAsia="Times New Roman" w:hAnsi="Arial" w:cs="Times New Roman"/>
      <w:sz w:val="21"/>
      <w:szCs w:val="20"/>
      <w:lang w:val="en-GB" w:eastAsia="en-GB"/>
    </w:rPr>
  </w:style>
  <w:style w:type="paragraph" w:styleId="EndnoteText">
    <w:name w:val="endnote text"/>
    <w:basedOn w:val="Normal"/>
    <w:link w:val="EndnoteTextChar"/>
    <w:uiPriority w:val="99"/>
    <w:semiHidden/>
    <w:unhideWhenUsed/>
    <w:rsid w:val="00EA0D1E"/>
    <w:pPr>
      <w:spacing w:line="240" w:lineRule="auto"/>
    </w:pPr>
    <w:rPr>
      <w:sz w:val="20"/>
    </w:rPr>
  </w:style>
  <w:style w:type="character" w:customStyle="1" w:styleId="EndnoteTextChar">
    <w:name w:val="Endnote Text Char"/>
    <w:basedOn w:val="DefaultParagraphFont"/>
    <w:link w:val="EndnoteText"/>
    <w:uiPriority w:val="99"/>
    <w:semiHidden/>
    <w:rsid w:val="00EA0D1E"/>
    <w:rPr>
      <w:rFonts w:ascii="Arial" w:eastAsia="Times New Roman" w:hAnsi="Arial" w:cs="Times New Roman"/>
      <w:sz w:val="20"/>
      <w:szCs w:val="20"/>
      <w:lang w:val="en-GB" w:eastAsia="en-GB"/>
    </w:rPr>
  </w:style>
  <w:style w:type="character" w:styleId="EndnoteReference">
    <w:name w:val="endnote reference"/>
    <w:basedOn w:val="DefaultParagraphFont"/>
    <w:uiPriority w:val="99"/>
    <w:semiHidden/>
    <w:unhideWhenUsed/>
    <w:rsid w:val="00EA0D1E"/>
    <w:rPr>
      <w:vertAlign w:val="superscript"/>
    </w:rPr>
  </w:style>
  <w:style w:type="character" w:styleId="CommentReference">
    <w:name w:val="annotation reference"/>
    <w:basedOn w:val="DefaultParagraphFont"/>
    <w:uiPriority w:val="99"/>
    <w:semiHidden/>
    <w:unhideWhenUsed/>
    <w:rsid w:val="003075CF"/>
    <w:rPr>
      <w:sz w:val="18"/>
      <w:szCs w:val="18"/>
    </w:rPr>
  </w:style>
  <w:style w:type="paragraph" w:styleId="CommentText">
    <w:name w:val="annotation text"/>
    <w:basedOn w:val="Normal"/>
    <w:link w:val="CommentTextChar"/>
    <w:uiPriority w:val="99"/>
    <w:semiHidden/>
    <w:unhideWhenUsed/>
    <w:rsid w:val="003075CF"/>
    <w:pPr>
      <w:spacing w:line="240" w:lineRule="auto"/>
    </w:pPr>
    <w:rPr>
      <w:sz w:val="24"/>
      <w:szCs w:val="24"/>
    </w:rPr>
  </w:style>
  <w:style w:type="character" w:customStyle="1" w:styleId="CommentTextChar">
    <w:name w:val="Comment Text Char"/>
    <w:basedOn w:val="DefaultParagraphFont"/>
    <w:link w:val="CommentText"/>
    <w:uiPriority w:val="99"/>
    <w:semiHidden/>
    <w:rsid w:val="003075CF"/>
    <w:rPr>
      <w:rFonts w:ascii="Arial" w:eastAsia="Times New Roman" w:hAnsi="Arial"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3075CF"/>
    <w:rPr>
      <w:b/>
      <w:bCs/>
      <w:sz w:val="20"/>
      <w:szCs w:val="20"/>
    </w:rPr>
  </w:style>
  <w:style w:type="character" w:customStyle="1" w:styleId="CommentSubjectChar">
    <w:name w:val="Comment Subject Char"/>
    <w:basedOn w:val="CommentTextChar"/>
    <w:link w:val="CommentSubject"/>
    <w:uiPriority w:val="99"/>
    <w:semiHidden/>
    <w:rsid w:val="003075CF"/>
    <w:rPr>
      <w:rFonts w:ascii="Arial" w:eastAsia="Times New Roman" w:hAnsi="Arial"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655">
      <w:bodyDiv w:val="1"/>
      <w:marLeft w:val="0"/>
      <w:marRight w:val="0"/>
      <w:marTop w:val="0"/>
      <w:marBottom w:val="0"/>
      <w:divBdr>
        <w:top w:val="none" w:sz="0" w:space="0" w:color="auto"/>
        <w:left w:val="none" w:sz="0" w:space="0" w:color="auto"/>
        <w:bottom w:val="none" w:sz="0" w:space="0" w:color="auto"/>
        <w:right w:val="none" w:sz="0" w:space="0" w:color="auto"/>
      </w:divBdr>
    </w:div>
    <w:div w:id="1404764430">
      <w:bodyDiv w:val="1"/>
      <w:marLeft w:val="0"/>
      <w:marRight w:val="0"/>
      <w:marTop w:val="0"/>
      <w:marBottom w:val="0"/>
      <w:divBdr>
        <w:top w:val="none" w:sz="0" w:space="0" w:color="auto"/>
        <w:left w:val="none" w:sz="0" w:space="0" w:color="auto"/>
        <w:bottom w:val="none" w:sz="0" w:space="0" w:color="auto"/>
        <w:right w:val="none" w:sz="0" w:space="0" w:color="auto"/>
      </w:divBdr>
    </w:div>
    <w:div w:id="1466313644">
      <w:bodyDiv w:val="1"/>
      <w:marLeft w:val="0"/>
      <w:marRight w:val="0"/>
      <w:marTop w:val="0"/>
      <w:marBottom w:val="0"/>
      <w:divBdr>
        <w:top w:val="none" w:sz="0" w:space="0" w:color="auto"/>
        <w:left w:val="none" w:sz="0" w:space="0" w:color="auto"/>
        <w:bottom w:val="none" w:sz="0" w:space="0" w:color="auto"/>
        <w:right w:val="none" w:sz="0" w:space="0" w:color="auto"/>
      </w:divBdr>
    </w:div>
    <w:div w:id="191242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06C60-7A2D-48D9-9046-8765742F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PeteB</cp:lastModifiedBy>
  <cp:revision>2</cp:revision>
  <cp:lastPrinted>2012-09-11T13:46:00Z</cp:lastPrinted>
  <dcterms:created xsi:type="dcterms:W3CDTF">2012-10-24T13:04:00Z</dcterms:created>
  <dcterms:modified xsi:type="dcterms:W3CDTF">2012-10-24T13:04:00Z</dcterms:modified>
</cp:coreProperties>
</file>