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54" w:rsidRDefault="006A5C54" w:rsidP="00B73A39">
      <w:pPr>
        <w:spacing w:after="240" w:line="300" w:lineRule="atLeast"/>
        <w:ind w:left="0" w:right="0"/>
        <w:jc w:val="center"/>
        <w:rPr>
          <w:rFonts w:ascii="Verdana" w:eastAsia="Times New Roman" w:hAnsi="Verdana" w:cs="Times New Roman"/>
          <w:b/>
          <w:lang w:val="en-GB" w:eastAsia="en-GB"/>
        </w:rPr>
      </w:pPr>
      <w:bookmarkStart w:id="0" w:name="_GoBack"/>
      <w:bookmarkEnd w:id="0"/>
    </w:p>
    <w:p w:rsidR="001B0AD0" w:rsidRDefault="001B0AD0" w:rsidP="00B73A39">
      <w:pPr>
        <w:spacing w:after="240" w:line="300" w:lineRule="atLeast"/>
        <w:ind w:left="0" w:right="0"/>
        <w:jc w:val="center"/>
        <w:rPr>
          <w:rFonts w:ascii="Verdana" w:eastAsia="Times New Roman" w:hAnsi="Verdana" w:cs="Times New Roman"/>
          <w:b/>
          <w:lang w:val="en-GB" w:eastAsia="en-GB"/>
        </w:rPr>
      </w:pPr>
      <w:r w:rsidRPr="001B0AD0">
        <w:rPr>
          <w:rFonts w:ascii="Verdana" w:eastAsia="Times New Roman" w:hAnsi="Verdana" w:cs="Times New Roman"/>
          <w:b/>
          <w:lang w:val="en-GB" w:eastAsia="en-GB"/>
        </w:rPr>
        <w:t>The cost of the Government's reforms</w:t>
      </w:r>
      <w:r w:rsidR="00B73A39" w:rsidRPr="00B73A39">
        <w:rPr>
          <w:rFonts w:ascii="Verdana" w:eastAsia="Times New Roman" w:hAnsi="Verdana" w:cs="Times New Roman"/>
          <w:b/>
          <w:lang w:val="en-GB" w:eastAsia="en-GB"/>
        </w:rPr>
        <w:t xml:space="preserve"> </w:t>
      </w:r>
      <w:r w:rsidR="00B73A39">
        <w:rPr>
          <w:rFonts w:ascii="Verdana" w:eastAsia="Times New Roman" w:hAnsi="Verdana" w:cs="Times New Roman"/>
          <w:b/>
          <w:lang w:val="en-GB" w:eastAsia="en-GB"/>
        </w:rPr>
        <w:t xml:space="preserve">of the financing of </w:t>
      </w:r>
      <w:r w:rsidR="00B73A39" w:rsidRPr="001B0AD0">
        <w:rPr>
          <w:rFonts w:ascii="Verdana" w:eastAsia="Times New Roman" w:hAnsi="Verdana" w:cs="Times New Roman"/>
          <w:b/>
          <w:lang w:val="en-GB" w:eastAsia="en-GB"/>
        </w:rPr>
        <w:t>higher education</w:t>
      </w:r>
    </w:p>
    <w:p w:rsidR="00B73A39" w:rsidRPr="001B0AD0" w:rsidRDefault="00B73A39" w:rsidP="00B73A39">
      <w:pPr>
        <w:spacing w:after="240" w:line="300" w:lineRule="atLeast"/>
        <w:ind w:left="0" w:right="0"/>
        <w:jc w:val="center"/>
        <w:rPr>
          <w:rFonts w:ascii="Verdana" w:eastAsia="Times New Roman" w:hAnsi="Verdana" w:cs="Times New Roman"/>
          <w:b/>
          <w:lang w:val="en-GB" w:eastAsia="en-GB"/>
        </w:rPr>
      </w:pPr>
      <w:r>
        <w:rPr>
          <w:rFonts w:ascii="Verdana" w:eastAsia="Times New Roman" w:hAnsi="Verdana" w:cs="Times New Roman"/>
          <w:b/>
          <w:lang w:val="en-GB" w:eastAsia="en-GB"/>
        </w:rPr>
        <w:t xml:space="preserve">John </w:t>
      </w:r>
      <w:r w:rsidR="00572E7F">
        <w:rPr>
          <w:rFonts w:ascii="Verdana" w:eastAsia="Times New Roman" w:hAnsi="Verdana" w:cs="Times New Roman"/>
          <w:b/>
          <w:lang w:val="en-GB" w:eastAsia="en-GB"/>
        </w:rPr>
        <w:t>T</w:t>
      </w:r>
      <w:r>
        <w:rPr>
          <w:rFonts w:ascii="Verdana" w:eastAsia="Times New Roman" w:hAnsi="Verdana" w:cs="Times New Roman"/>
          <w:b/>
          <w:lang w:val="en-GB" w:eastAsia="en-GB"/>
        </w:rPr>
        <w:t xml:space="preserve">hompson </w:t>
      </w:r>
      <w:r w:rsidR="00572E7F">
        <w:rPr>
          <w:rFonts w:ascii="Verdana" w:eastAsia="Times New Roman" w:hAnsi="Verdana" w:cs="Times New Roman"/>
          <w:b/>
          <w:lang w:val="en-GB" w:eastAsia="en-GB"/>
        </w:rPr>
        <w:t>and</w:t>
      </w:r>
      <w:r>
        <w:rPr>
          <w:rFonts w:ascii="Verdana" w:eastAsia="Times New Roman" w:hAnsi="Verdana" w:cs="Times New Roman"/>
          <w:b/>
          <w:lang w:val="en-GB" w:eastAsia="en-GB"/>
        </w:rPr>
        <w:t xml:space="preserve"> Bahram Bekhradnia</w:t>
      </w:r>
    </w:p>
    <w:p w:rsidR="00B73A39" w:rsidRPr="00B73A39" w:rsidRDefault="00B73A39" w:rsidP="00B73A39">
      <w:pPr>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Summary</w:t>
      </w:r>
    </w:p>
    <w:p w:rsidR="00B73A39" w:rsidRDefault="002F4EE3"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sidRPr="00B73A39">
        <w:rPr>
          <w:rFonts w:ascii="Verdana" w:eastAsia="Times New Roman" w:hAnsi="Verdana" w:cs="Times New Roman"/>
          <w:lang w:val="en-GB" w:eastAsia="en-GB"/>
        </w:rPr>
        <w:t>This report follows th</w:t>
      </w:r>
      <w:r w:rsidR="003E774C">
        <w:rPr>
          <w:rFonts w:ascii="Verdana" w:eastAsia="Times New Roman" w:hAnsi="Verdana" w:cs="Times New Roman"/>
          <w:lang w:val="en-GB" w:eastAsia="en-GB"/>
        </w:rPr>
        <w:t>ose</w:t>
      </w:r>
      <w:r w:rsidRPr="00B73A39">
        <w:rPr>
          <w:rFonts w:ascii="Verdana" w:eastAsia="Times New Roman" w:hAnsi="Verdana" w:cs="Times New Roman"/>
          <w:lang w:val="en-GB" w:eastAsia="en-GB"/>
        </w:rPr>
        <w:t xml:space="preserve"> produced by HEPI </w:t>
      </w:r>
      <w:r w:rsidR="003E774C">
        <w:rPr>
          <w:rFonts w:ascii="Verdana" w:eastAsia="Times New Roman" w:hAnsi="Verdana" w:cs="Times New Roman"/>
          <w:lang w:val="en-GB" w:eastAsia="en-GB"/>
        </w:rPr>
        <w:t>on</w:t>
      </w:r>
      <w:r w:rsidRPr="00B73A39">
        <w:rPr>
          <w:rFonts w:ascii="Verdana" w:eastAsia="Times New Roman" w:hAnsi="Verdana" w:cs="Times New Roman"/>
          <w:lang w:val="en-GB" w:eastAsia="en-GB"/>
        </w:rPr>
        <w:t xml:space="preserve"> the </w:t>
      </w:r>
      <w:r w:rsidR="003E774C">
        <w:rPr>
          <w:rFonts w:ascii="Verdana" w:eastAsia="Times New Roman" w:hAnsi="Verdana" w:cs="Times New Roman"/>
          <w:lang w:val="en-GB" w:eastAsia="en-GB"/>
        </w:rPr>
        <w:t>Browne Review, the Government’s response and the</w:t>
      </w:r>
      <w:r w:rsidRPr="00B73A39">
        <w:rPr>
          <w:rFonts w:ascii="Verdana" w:eastAsia="Times New Roman" w:hAnsi="Verdana" w:cs="Times New Roman"/>
          <w:lang w:val="en-GB" w:eastAsia="en-GB"/>
        </w:rPr>
        <w:t xml:space="preserve"> higher education White Paper</w:t>
      </w:r>
      <w:r w:rsidR="003E774C">
        <w:rPr>
          <w:rFonts w:ascii="Verdana" w:eastAsia="Times New Roman" w:hAnsi="Verdana" w:cs="Times New Roman"/>
          <w:lang w:val="en-GB" w:eastAsia="en-GB"/>
        </w:rPr>
        <w:t xml:space="preserve"> (Thompson et al, 2010a, 2010b, 2011)</w:t>
      </w:r>
      <w:r w:rsidRPr="00B73A39">
        <w:rPr>
          <w:rFonts w:ascii="Verdana" w:eastAsia="Times New Roman" w:hAnsi="Verdana" w:cs="Times New Roman"/>
          <w:lang w:val="en-GB" w:eastAsia="en-GB"/>
        </w:rPr>
        <w:t>. Our 2011 report was</w:t>
      </w:r>
      <w:r w:rsidR="00177581">
        <w:rPr>
          <w:rFonts w:ascii="Verdana" w:eastAsia="Times New Roman" w:hAnsi="Verdana" w:cs="Times New Roman"/>
          <w:lang w:val="en-GB" w:eastAsia="en-GB"/>
        </w:rPr>
        <w:t xml:space="preserve"> </w:t>
      </w:r>
      <w:r w:rsidRPr="00B73A39">
        <w:rPr>
          <w:rFonts w:ascii="Verdana" w:eastAsia="Times New Roman" w:hAnsi="Verdana" w:cs="Times New Roman"/>
          <w:lang w:val="en-GB" w:eastAsia="en-GB"/>
        </w:rPr>
        <w:t>critical of the a</w:t>
      </w:r>
      <w:r w:rsidR="00B73A39" w:rsidRPr="00B73A39">
        <w:rPr>
          <w:rFonts w:ascii="Verdana" w:eastAsia="Times New Roman" w:hAnsi="Verdana" w:cs="Times New Roman"/>
          <w:lang w:val="en-GB" w:eastAsia="en-GB"/>
        </w:rPr>
        <w:t xml:space="preserve">ssessment of the cost of the proposals </w:t>
      </w:r>
      <w:r w:rsidRPr="00B73A39">
        <w:rPr>
          <w:rFonts w:ascii="Verdana" w:eastAsia="Times New Roman" w:hAnsi="Verdana" w:cs="Times New Roman"/>
          <w:lang w:val="en-GB" w:eastAsia="en-GB"/>
        </w:rPr>
        <w:t xml:space="preserve">contained in the White Paper. Based on further information and analysis that has become available since, and in particular following the </w:t>
      </w:r>
      <w:r w:rsidR="00D2615A">
        <w:rPr>
          <w:rFonts w:ascii="Verdana" w:eastAsia="Times New Roman" w:hAnsi="Verdana" w:cs="Times New Roman"/>
          <w:lang w:val="en-GB" w:eastAsia="en-GB"/>
        </w:rPr>
        <w:t>G</w:t>
      </w:r>
      <w:r w:rsidRPr="00B73A39">
        <w:rPr>
          <w:rFonts w:ascii="Verdana" w:eastAsia="Times New Roman" w:hAnsi="Verdana" w:cs="Times New Roman"/>
          <w:lang w:val="en-GB" w:eastAsia="en-GB"/>
        </w:rPr>
        <w:t xml:space="preserve">overnment's welcome release of </w:t>
      </w:r>
      <w:r w:rsidR="007F6589">
        <w:rPr>
          <w:rFonts w:ascii="Verdana" w:eastAsia="Times New Roman" w:hAnsi="Verdana" w:cs="Times New Roman"/>
          <w:lang w:val="en-GB" w:eastAsia="en-GB"/>
        </w:rPr>
        <w:t xml:space="preserve">a simplified version of </w:t>
      </w:r>
      <w:r w:rsidRPr="00B73A39">
        <w:rPr>
          <w:rFonts w:ascii="Verdana" w:eastAsia="Times New Roman" w:hAnsi="Verdana" w:cs="Times New Roman"/>
          <w:lang w:val="en-GB" w:eastAsia="en-GB"/>
        </w:rPr>
        <w:t>the model on which its calculations are based, we have carried out further analysis</w:t>
      </w:r>
      <w:r w:rsidR="00B47A18">
        <w:rPr>
          <w:rFonts w:ascii="Verdana" w:eastAsia="Times New Roman" w:hAnsi="Verdana" w:cs="Times New Roman"/>
          <w:lang w:val="en-GB" w:eastAsia="en-GB"/>
        </w:rPr>
        <w:t>.  Our</w:t>
      </w:r>
      <w:r w:rsidRPr="00B73A39">
        <w:rPr>
          <w:rFonts w:ascii="Verdana" w:eastAsia="Times New Roman" w:hAnsi="Verdana" w:cs="Times New Roman"/>
          <w:lang w:val="en-GB" w:eastAsia="en-GB"/>
        </w:rPr>
        <w:t xml:space="preserve"> conclu</w:t>
      </w:r>
      <w:r w:rsidR="00B47A18">
        <w:rPr>
          <w:rFonts w:ascii="Verdana" w:eastAsia="Times New Roman" w:hAnsi="Verdana" w:cs="Times New Roman"/>
          <w:lang w:val="en-GB" w:eastAsia="en-GB"/>
        </w:rPr>
        <w:t>sion is</w:t>
      </w:r>
      <w:r w:rsidRPr="00B73A39">
        <w:rPr>
          <w:rFonts w:ascii="Verdana" w:eastAsia="Times New Roman" w:hAnsi="Verdana" w:cs="Times New Roman"/>
          <w:lang w:val="en-GB" w:eastAsia="en-GB"/>
        </w:rPr>
        <w:t xml:space="preserve"> both that the </w:t>
      </w:r>
      <w:r w:rsidR="00D2615A">
        <w:rPr>
          <w:rFonts w:ascii="Verdana" w:eastAsia="Times New Roman" w:hAnsi="Verdana" w:cs="Times New Roman"/>
          <w:lang w:val="en-GB" w:eastAsia="en-GB"/>
        </w:rPr>
        <w:t>G</w:t>
      </w:r>
      <w:r w:rsidRPr="00B73A39">
        <w:rPr>
          <w:rFonts w:ascii="Verdana" w:eastAsia="Times New Roman" w:hAnsi="Verdana" w:cs="Times New Roman"/>
          <w:lang w:val="en-GB" w:eastAsia="en-GB"/>
        </w:rPr>
        <w:t xml:space="preserve">overnment's assessment of the RAB cost (the cost to the </w:t>
      </w:r>
      <w:r w:rsidR="003E774C">
        <w:rPr>
          <w:rFonts w:ascii="Verdana" w:eastAsia="Times New Roman" w:hAnsi="Verdana" w:cs="Times New Roman"/>
          <w:lang w:val="en-GB" w:eastAsia="en-GB"/>
        </w:rPr>
        <w:t>G</w:t>
      </w:r>
      <w:r w:rsidRPr="00B73A39">
        <w:rPr>
          <w:rFonts w:ascii="Verdana" w:eastAsia="Times New Roman" w:hAnsi="Verdana" w:cs="Times New Roman"/>
          <w:lang w:val="en-GB" w:eastAsia="en-GB"/>
        </w:rPr>
        <w:t xml:space="preserve">overnment of the loans that it makes), </w:t>
      </w:r>
      <w:r w:rsidR="00B47A18">
        <w:rPr>
          <w:rFonts w:ascii="Verdana" w:eastAsia="Times New Roman" w:hAnsi="Verdana" w:cs="Times New Roman"/>
          <w:lang w:val="en-GB" w:eastAsia="en-GB"/>
        </w:rPr>
        <w:t xml:space="preserve">which </w:t>
      </w:r>
      <w:r w:rsidR="007F6589">
        <w:rPr>
          <w:rFonts w:ascii="Verdana" w:eastAsia="Times New Roman" w:hAnsi="Verdana" w:cs="Times New Roman"/>
          <w:lang w:val="en-GB" w:eastAsia="en-GB"/>
        </w:rPr>
        <w:t xml:space="preserve">still </w:t>
      </w:r>
      <w:r w:rsidR="00082C68">
        <w:rPr>
          <w:rFonts w:ascii="Verdana" w:eastAsia="Times New Roman" w:hAnsi="Verdana" w:cs="Times New Roman"/>
          <w:lang w:val="en-GB" w:eastAsia="en-GB"/>
        </w:rPr>
        <w:t xml:space="preserve">depends on </w:t>
      </w:r>
      <w:r w:rsidR="00177581">
        <w:rPr>
          <w:rFonts w:ascii="Verdana" w:eastAsia="Times New Roman" w:hAnsi="Verdana" w:cs="Times New Roman"/>
          <w:lang w:val="en-GB" w:eastAsia="en-GB"/>
        </w:rPr>
        <w:t xml:space="preserve">highly uncertain and optimistic </w:t>
      </w:r>
      <w:r w:rsidR="00082C68">
        <w:rPr>
          <w:rFonts w:ascii="Verdana" w:eastAsia="Times New Roman" w:hAnsi="Verdana" w:cs="Times New Roman"/>
          <w:lang w:val="en-GB" w:eastAsia="en-GB"/>
        </w:rPr>
        <w:t>assumptions</w:t>
      </w:r>
      <w:r w:rsidR="00B47A18">
        <w:rPr>
          <w:rFonts w:ascii="Verdana" w:eastAsia="Times New Roman" w:hAnsi="Verdana" w:cs="Times New Roman"/>
          <w:lang w:val="en-GB" w:eastAsia="en-GB"/>
        </w:rPr>
        <w:t>, remains</w:t>
      </w:r>
      <w:r w:rsidRPr="00B73A39">
        <w:rPr>
          <w:rFonts w:ascii="Verdana" w:eastAsia="Times New Roman" w:hAnsi="Verdana" w:cs="Times New Roman"/>
          <w:lang w:val="en-GB" w:eastAsia="en-GB"/>
        </w:rPr>
        <w:t xml:space="preserve"> too low, and that the inflationary effects of the proposals (student loans form part of the basket that is used to calculate inflation) will lead to a rise in those benefits whose value is adjusted according to inflation</w:t>
      </w:r>
      <w:r w:rsidR="00D2615A">
        <w:rPr>
          <w:rFonts w:ascii="Verdana" w:eastAsia="Times New Roman" w:hAnsi="Verdana" w:cs="Times New Roman"/>
          <w:lang w:val="en-GB" w:eastAsia="en-GB"/>
        </w:rPr>
        <w:t>, and so to increased government spending</w:t>
      </w:r>
      <w:r w:rsidRPr="00B73A39">
        <w:rPr>
          <w:rFonts w:ascii="Verdana" w:eastAsia="Times New Roman" w:hAnsi="Verdana" w:cs="Times New Roman"/>
          <w:lang w:val="en-GB" w:eastAsia="en-GB"/>
        </w:rPr>
        <w:t xml:space="preserve">. </w:t>
      </w:r>
    </w:p>
    <w:p w:rsidR="002F4EE3" w:rsidRPr="002F4EE3" w:rsidRDefault="00B47A18"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If we are right, t</w:t>
      </w:r>
      <w:r w:rsidR="002F4EE3" w:rsidRPr="00B73A39">
        <w:rPr>
          <w:rFonts w:ascii="Verdana" w:eastAsia="Times New Roman" w:hAnsi="Verdana" w:cs="Times New Roman"/>
          <w:lang w:val="en-GB" w:eastAsia="en-GB"/>
        </w:rPr>
        <w:t xml:space="preserve">he effect of these two factors will reduce any savings that will follow from the new policies, and </w:t>
      </w:r>
      <w:r w:rsidR="00B02AE3">
        <w:rPr>
          <w:rFonts w:ascii="Verdana" w:eastAsia="Times New Roman" w:hAnsi="Verdana" w:cs="Times New Roman"/>
          <w:lang w:val="en-GB" w:eastAsia="en-GB"/>
        </w:rPr>
        <w:t xml:space="preserve">could even </w:t>
      </w:r>
      <w:r w:rsidR="002F4EE3" w:rsidRPr="00B73A39">
        <w:rPr>
          <w:rFonts w:ascii="Verdana" w:eastAsia="Times New Roman" w:hAnsi="Verdana" w:cs="Times New Roman"/>
          <w:lang w:val="en-GB" w:eastAsia="en-GB"/>
        </w:rPr>
        <w:t xml:space="preserve">mean that there are no savings to be had. The consequences will be serious. Either future taxpayers will need to increase their contribution, or other parts of the higher education budget will need to be cut, or student numbers will need to be held down even further than is planned at present, or </w:t>
      </w:r>
      <w:r w:rsidR="00B02AE3">
        <w:rPr>
          <w:rFonts w:ascii="Verdana" w:eastAsia="Times New Roman" w:hAnsi="Verdana" w:cs="Times New Roman"/>
          <w:lang w:val="en-GB" w:eastAsia="en-GB"/>
        </w:rPr>
        <w:t xml:space="preserve">former </w:t>
      </w:r>
      <w:r w:rsidR="002F4EE3" w:rsidRPr="00B73A39">
        <w:rPr>
          <w:rFonts w:ascii="Verdana" w:eastAsia="Times New Roman" w:hAnsi="Verdana" w:cs="Times New Roman"/>
          <w:lang w:val="en-GB" w:eastAsia="en-GB"/>
        </w:rPr>
        <w:t xml:space="preserve">students will have to </w:t>
      </w:r>
      <w:r w:rsidR="00B02AE3">
        <w:rPr>
          <w:rFonts w:ascii="Verdana" w:eastAsia="Times New Roman" w:hAnsi="Verdana" w:cs="Times New Roman"/>
          <w:lang w:val="en-GB" w:eastAsia="en-GB"/>
        </w:rPr>
        <w:t>re</w:t>
      </w:r>
      <w:r w:rsidR="002F4EE3" w:rsidRPr="00B73A39">
        <w:rPr>
          <w:rFonts w:ascii="Verdana" w:eastAsia="Times New Roman" w:hAnsi="Verdana" w:cs="Times New Roman"/>
          <w:lang w:val="en-GB" w:eastAsia="en-GB"/>
        </w:rPr>
        <w:t xml:space="preserve">pay more. </w:t>
      </w:r>
      <w:r w:rsidR="003E774C">
        <w:rPr>
          <w:rFonts w:ascii="Verdana" w:eastAsia="Times New Roman" w:hAnsi="Verdana" w:cs="Times New Roman"/>
          <w:lang w:val="en-GB" w:eastAsia="en-GB"/>
        </w:rPr>
        <w:t>A</w:t>
      </w:r>
      <w:r w:rsidR="00B02AE3" w:rsidRPr="00B73A39">
        <w:rPr>
          <w:rFonts w:ascii="Verdana" w:eastAsia="Times New Roman" w:hAnsi="Verdana" w:cs="Times New Roman"/>
          <w:lang w:val="en-GB" w:eastAsia="en-GB"/>
        </w:rPr>
        <w:t>nnex</w:t>
      </w:r>
      <w:r w:rsidR="00B02AE3">
        <w:rPr>
          <w:rFonts w:ascii="Verdana" w:eastAsia="Times New Roman" w:hAnsi="Verdana" w:cs="Times New Roman"/>
          <w:lang w:val="en-GB" w:eastAsia="en-GB"/>
        </w:rPr>
        <w:t xml:space="preserve">es </w:t>
      </w:r>
      <w:r w:rsidR="003E774C">
        <w:rPr>
          <w:rFonts w:ascii="Verdana" w:eastAsia="Times New Roman" w:hAnsi="Verdana" w:cs="Times New Roman"/>
          <w:lang w:val="en-GB" w:eastAsia="en-GB"/>
        </w:rPr>
        <w:t xml:space="preserve">A to </w:t>
      </w:r>
      <w:r w:rsidR="008173BF">
        <w:rPr>
          <w:rFonts w:ascii="Verdana" w:eastAsia="Times New Roman" w:hAnsi="Verdana" w:cs="Times New Roman"/>
          <w:lang w:val="en-GB" w:eastAsia="en-GB"/>
        </w:rPr>
        <w:t>C</w:t>
      </w:r>
      <w:r w:rsidR="00B02AE3">
        <w:rPr>
          <w:rFonts w:ascii="Verdana" w:eastAsia="Times New Roman" w:hAnsi="Verdana" w:cs="Times New Roman"/>
          <w:lang w:val="en-GB" w:eastAsia="en-GB"/>
        </w:rPr>
        <w:t xml:space="preserve"> </w:t>
      </w:r>
      <w:r w:rsidR="002F4EE3" w:rsidRPr="00B73A39">
        <w:rPr>
          <w:rFonts w:ascii="Verdana" w:eastAsia="Times New Roman" w:hAnsi="Verdana" w:cs="Times New Roman"/>
          <w:lang w:val="en-GB" w:eastAsia="en-GB"/>
        </w:rPr>
        <w:t>set out the calculations and analysis in detail, of which this report provides a</w:t>
      </w:r>
      <w:r w:rsidR="008173BF">
        <w:rPr>
          <w:rFonts w:ascii="Verdana" w:eastAsia="Times New Roman" w:hAnsi="Verdana" w:cs="Times New Roman"/>
          <w:lang w:val="en-GB" w:eastAsia="en-GB"/>
        </w:rPr>
        <w:t>n overview</w:t>
      </w:r>
      <w:r w:rsidR="002F4EE3" w:rsidRPr="00B73A39">
        <w:rPr>
          <w:rFonts w:ascii="Verdana" w:eastAsia="Times New Roman" w:hAnsi="Verdana" w:cs="Times New Roman"/>
          <w:lang w:val="en-GB" w:eastAsia="en-GB"/>
        </w:rPr>
        <w:t xml:space="preserve">. </w:t>
      </w:r>
    </w:p>
    <w:p w:rsidR="00B73A39" w:rsidRPr="00B73A39" w:rsidRDefault="00B73A39" w:rsidP="00B73A39">
      <w:pPr>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Background</w:t>
      </w:r>
    </w:p>
    <w:p w:rsidR="001B0AD0" w:rsidRPr="001B0AD0" w:rsidRDefault="001B0AD0"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In earlier report</w:t>
      </w:r>
      <w:r w:rsidR="002D5605">
        <w:rPr>
          <w:rFonts w:ascii="Verdana" w:eastAsia="Times New Roman" w:hAnsi="Verdana" w:cs="Times New Roman"/>
          <w:lang w:val="en-GB" w:eastAsia="en-GB"/>
        </w:rPr>
        <w:t>s</w:t>
      </w:r>
      <w:r w:rsidRPr="001B0AD0">
        <w:rPr>
          <w:rFonts w:ascii="Verdana" w:eastAsia="Times New Roman" w:hAnsi="Verdana" w:cs="Times New Roman"/>
          <w:lang w:val="en-GB" w:eastAsia="en-GB"/>
        </w:rPr>
        <w:t xml:space="preserve"> (Thompson et al, 2011</w:t>
      </w:r>
      <w:r w:rsidR="002D5605">
        <w:rPr>
          <w:rFonts w:ascii="Verdana" w:eastAsia="Times New Roman" w:hAnsi="Verdana" w:cs="Times New Roman"/>
          <w:lang w:val="en-GB" w:eastAsia="en-GB"/>
        </w:rPr>
        <w:t>, 2010b</w:t>
      </w:r>
      <w:r w:rsidRPr="001B0AD0">
        <w:rPr>
          <w:rFonts w:ascii="Verdana" w:eastAsia="Times New Roman" w:hAnsi="Verdana" w:cs="Times New Roman"/>
          <w:lang w:val="en-GB" w:eastAsia="en-GB"/>
        </w:rPr>
        <w:t>) we looked at the claims made that the new arrangements for financing higher education would reduce the cost to the taxpayer</w:t>
      </w:r>
      <w:r w:rsidR="00B02AE3">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A key part of that analysis looked at the estimated cost of the loans that would be provided for the increased fees. Since then the only significant hard information that has become available concerns the fees that universities are charging and the fee </w:t>
      </w:r>
      <w:r w:rsidR="004C43DD">
        <w:rPr>
          <w:rFonts w:ascii="Verdana" w:eastAsia="Times New Roman" w:hAnsi="Verdana" w:cs="Times New Roman"/>
          <w:lang w:val="en-GB" w:eastAsia="en-GB"/>
        </w:rPr>
        <w:t xml:space="preserve">charged net of </w:t>
      </w:r>
      <w:r w:rsidRPr="001B0AD0">
        <w:rPr>
          <w:rFonts w:ascii="Verdana" w:eastAsia="Times New Roman" w:hAnsi="Verdana" w:cs="Times New Roman"/>
          <w:lang w:val="en-GB" w:eastAsia="en-GB"/>
        </w:rPr>
        <w:t xml:space="preserve">waivers. We will not know </w:t>
      </w:r>
      <w:r w:rsidR="002D5605">
        <w:rPr>
          <w:rFonts w:ascii="Verdana" w:eastAsia="Times New Roman" w:hAnsi="Verdana" w:cs="Times New Roman"/>
          <w:lang w:val="en-GB" w:eastAsia="en-GB"/>
        </w:rPr>
        <w:t>the exact distribution of fees charged,</w:t>
      </w:r>
      <w:r w:rsidRPr="001B0AD0">
        <w:rPr>
          <w:rFonts w:ascii="Verdana" w:eastAsia="Times New Roman" w:hAnsi="Verdana" w:cs="Times New Roman"/>
          <w:lang w:val="en-GB" w:eastAsia="en-GB"/>
        </w:rPr>
        <w:t xml:space="preserve"> how many students take out loans, and how much they borrow over their course, for some time, and liability to make repayments only starts in 2016.  A final value of the mean net fee, and its distribution will only be possible </w:t>
      </w:r>
      <w:r w:rsidR="006B35BE">
        <w:rPr>
          <w:rFonts w:ascii="Verdana" w:eastAsia="Times New Roman" w:hAnsi="Verdana" w:cs="Times New Roman"/>
          <w:lang w:val="en-GB" w:eastAsia="en-GB"/>
        </w:rPr>
        <w:t xml:space="preserve">to calculate </w:t>
      </w:r>
      <w:r w:rsidRPr="001B0AD0">
        <w:rPr>
          <w:rFonts w:ascii="Verdana" w:eastAsia="Times New Roman" w:hAnsi="Verdana" w:cs="Times New Roman"/>
          <w:lang w:val="en-GB" w:eastAsia="en-GB"/>
        </w:rPr>
        <w:t xml:space="preserve">when we have this information and when firm student numbers become available. </w:t>
      </w:r>
    </w:p>
    <w:p w:rsidR="00933620" w:rsidRDefault="00933620" w:rsidP="00AE0400">
      <w:pPr>
        <w:spacing w:after="240" w:line="300" w:lineRule="atLeast"/>
        <w:ind w:left="0" w:right="0"/>
        <w:jc w:val="left"/>
        <w:rPr>
          <w:rFonts w:ascii="Verdana" w:eastAsia="Times New Roman" w:hAnsi="Verdana" w:cs="Times New Roman"/>
          <w:lang w:val="en-GB" w:eastAsia="en-GB"/>
        </w:rPr>
      </w:pPr>
    </w:p>
    <w:p w:rsidR="00933620" w:rsidRPr="001B0AD0" w:rsidRDefault="00933620" w:rsidP="0093362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Since the publication of analysis based on admissions data (UCAS 2012a, 2012b, and </w:t>
      </w:r>
      <w:r w:rsidR="002A4695" w:rsidRPr="007C1925">
        <w:rPr>
          <w:rFonts w:ascii="Verdana" w:hAnsi="Verdana"/>
        </w:rPr>
        <w:t>Independent Commission on Fees</w:t>
      </w:r>
      <w:r w:rsidR="002A4695">
        <w:rPr>
          <w:rFonts w:ascii="Verdana" w:hAnsi="Verdana"/>
        </w:rPr>
        <w:t>, 2012)</w:t>
      </w:r>
      <w:r w:rsidR="004C43DD">
        <w:rPr>
          <w:rFonts w:ascii="Verdana" w:hAnsi="Verdana"/>
        </w:rPr>
        <w:t xml:space="preserve"> t</w:t>
      </w:r>
      <w:r w:rsidR="002A4695">
        <w:rPr>
          <w:rFonts w:ascii="Verdana" w:hAnsi="Verdana"/>
        </w:rPr>
        <w:t xml:space="preserve">heir findings have been widely interpreted as showing the new arrangements have reduced demand. </w:t>
      </w:r>
      <w:r w:rsidR="0003559C">
        <w:rPr>
          <w:rFonts w:ascii="Verdana" w:hAnsi="Verdana"/>
        </w:rPr>
        <w:t>The Daily Mail headline</w:t>
      </w:r>
      <w:r w:rsidR="002A4695">
        <w:rPr>
          <w:rFonts w:ascii="Verdana" w:hAnsi="Verdana"/>
        </w:rPr>
        <w:t>, ‘</w:t>
      </w:r>
      <w:r w:rsidR="002A4695" w:rsidRPr="00282EEE">
        <w:rPr>
          <w:rFonts w:ascii="Verdana" w:hAnsi="Verdana"/>
        </w:rPr>
        <w:t xml:space="preserve">Tuition fee rise HAS turned thousands of middle class students off going to university </w:t>
      </w:r>
      <w:r w:rsidR="002A4695">
        <w:rPr>
          <w:rFonts w:ascii="Verdana" w:hAnsi="Verdana"/>
        </w:rPr>
        <w:t>‘</w:t>
      </w:r>
      <w:r w:rsidR="0003559C">
        <w:rPr>
          <w:rFonts w:ascii="Verdana" w:hAnsi="Verdana"/>
        </w:rPr>
        <w:t>gives a flavo</w:t>
      </w:r>
      <w:r w:rsidR="004C43DD">
        <w:rPr>
          <w:rFonts w:ascii="Verdana" w:hAnsi="Verdana"/>
        </w:rPr>
        <w:t>u</w:t>
      </w:r>
      <w:r w:rsidR="0003559C">
        <w:rPr>
          <w:rFonts w:ascii="Verdana" w:hAnsi="Verdana"/>
        </w:rPr>
        <w:t>r of the comment. Though neither UCAS nor the Commission came to such firm conclusions, it is possible to see how others may have done so from the analysis they provide</w:t>
      </w:r>
      <w:r w:rsidR="004C43DD">
        <w:rPr>
          <w:rFonts w:ascii="Verdana" w:hAnsi="Verdana"/>
        </w:rPr>
        <w:t>d</w:t>
      </w:r>
      <w:r w:rsidR="0003559C">
        <w:rPr>
          <w:rFonts w:ascii="Verdana" w:hAnsi="Verdana"/>
        </w:rPr>
        <w:t xml:space="preserve">. This issue is central </w:t>
      </w:r>
      <w:proofErr w:type="gramStart"/>
      <w:r w:rsidR="0003559C">
        <w:rPr>
          <w:rFonts w:ascii="Verdana" w:hAnsi="Verdana"/>
        </w:rPr>
        <w:t>to</w:t>
      </w:r>
      <w:proofErr w:type="gramEnd"/>
      <w:r w:rsidR="008173BF">
        <w:rPr>
          <w:rFonts w:ascii="Verdana" w:hAnsi="Verdana"/>
        </w:rPr>
        <w:t xml:space="preserve"> </w:t>
      </w:r>
      <w:r w:rsidR="0003559C">
        <w:rPr>
          <w:rFonts w:ascii="Verdana" w:hAnsi="Verdana"/>
        </w:rPr>
        <w:t>much of the debate surrounding the new arrangements. Will the higher fees deter students and set back progress in widening participation and ensuring ‘fair access</w:t>
      </w:r>
      <w:r w:rsidR="00AE0400">
        <w:rPr>
          <w:rFonts w:ascii="Verdana" w:hAnsi="Verdana"/>
        </w:rPr>
        <w:t xml:space="preserve">’? </w:t>
      </w:r>
      <w:r w:rsidR="0003559C">
        <w:rPr>
          <w:rFonts w:ascii="Verdana" w:hAnsi="Verdana"/>
        </w:rPr>
        <w:t xml:space="preserve"> It also has cost implications. If student demand does fall and as a result funded places decrease, the Government will make savings. </w:t>
      </w:r>
      <w:r w:rsidR="008173BF">
        <w:rPr>
          <w:rFonts w:ascii="Verdana" w:hAnsi="Verdana"/>
        </w:rPr>
        <w:t xml:space="preserve">In a further report (Thompson et al, 2012) </w:t>
      </w:r>
      <w:r w:rsidR="0003559C">
        <w:rPr>
          <w:rFonts w:ascii="Verdana" w:hAnsi="Verdana"/>
        </w:rPr>
        <w:t xml:space="preserve">we review the evidence and conclude that though it is too early to know </w:t>
      </w:r>
      <w:r w:rsidR="004C43DD">
        <w:rPr>
          <w:rFonts w:ascii="Verdana" w:hAnsi="Verdana"/>
        </w:rPr>
        <w:t>for</w:t>
      </w:r>
      <w:r w:rsidR="0003559C">
        <w:rPr>
          <w:rFonts w:ascii="Verdana" w:hAnsi="Verdana"/>
        </w:rPr>
        <w:t xml:space="preserve"> sure, there is no good evidence to </w:t>
      </w:r>
      <w:r w:rsidR="00AE0400">
        <w:rPr>
          <w:rFonts w:ascii="Verdana" w:hAnsi="Verdana"/>
        </w:rPr>
        <w:t xml:space="preserve">expect a significant reduction in demand after the immediate effects of the introduction of higher fees are worked out. We think it is safe to anticipate that all the funded places </w:t>
      </w:r>
      <w:r w:rsidR="008F1141">
        <w:rPr>
          <w:rFonts w:ascii="Verdana" w:hAnsi="Verdana"/>
        </w:rPr>
        <w:t>the G</w:t>
      </w:r>
      <w:r w:rsidR="00AE0400">
        <w:rPr>
          <w:rFonts w:ascii="Verdana" w:hAnsi="Verdana"/>
        </w:rPr>
        <w:t>overnment has planned will be filled</w:t>
      </w:r>
      <w:r w:rsidR="00AE0400">
        <w:rPr>
          <w:rStyle w:val="FootnoteReference"/>
          <w:rFonts w:ascii="Verdana" w:hAnsi="Verdana"/>
        </w:rPr>
        <w:footnoteReference w:id="2"/>
      </w:r>
      <w:r w:rsidR="004C43DD">
        <w:rPr>
          <w:rFonts w:ascii="Verdana" w:hAnsi="Verdana"/>
        </w:rPr>
        <w:t xml:space="preserve">, particularly as </w:t>
      </w:r>
      <w:r w:rsidR="008F1141">
        <w:rPr>
          <w:rFonts w:ascii="Verdana" w:hAnsi="Verdana"/>
        </w:rPr>
        <w:t xml:space="preserve">it </w:t>
      </w:r>
      <w:r w:rsidR="004C43DD">
        <w:rPr>
          <w:rFonts w:ascii="Verdana" w:hAnsi="Verdana"/>
        </w:rPr>
        <w:t>plans to reduce the number of funded places</w:t>
      </w:r>
      <w:r w:rsidR="00AE0400">
        <w:rPr>
          <w:rFonts w:ascii="Verdana" w:hAnsi="Verdana"/>
        </w:rPr>
        <w:t xml:space="preserve">. </w:t>
      </w:r>
    </w:p>
    <w:p w:rsidR="001B0AD0" w:rsidRPr="001B0AD0" w:rsidRDefault="001B0AD0"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Despite these gaps, </w:t>
      </w:r>
      <w:r w:rsidR="00347D37">
        <w:rPr>
          <w:rFonts w:ascii="Verdana" w:eastAsia="Times New Roman" w:hAnsi="Verdana" w:cs="Times New Roman"/>
          <w:lang w:val="en-GB" w:eastAsia="en-GB"/>
        </w:rPr>
        <w:t>and the provisional nature of the new information</w:t>
      </w:r>
      <w:r w:rsidRPr="001B0AD0">
        <w:rPr>
          <w:rFonts w:ascii="Verdana" w:eastAsia="Times New Roman" w:hAnsi="Verdana" w:cs="Times New Roman"/>
          <w:lang w:val="en-GB" w:eastAsia="en-GB"/>
        </w:rPr>
        <w:t>, there are several reasons to revisit the issues of the public deficit and debt. Firstly BIS have continued to develop their model for estimating the RAB cost and have recently provided details of the methods and a simplified version of the model they use. We have used this to revisit our assessment of the uncertainties and likely bias in the RAB estimate. (Annex A provides details of this assessment.) Secondly, others have looked at the new arrangements and raised issues we did not consider in our earlier review. In particular the Intergenerational Foundation ‘False Accounting?’ report (</w:t>
      </w:r>
      <w:proofErr w:type="spellStart"/>
      <w:r w:rsidRPr="001B0AD0">
        <w:rPr>
          <w:rFonts w:ascii="Verdana" w:eastAsia="Times New Roman" w:hAnsi="Verdana" w:cs="Times New Roman"/>
          <w:lang w:val="en-GB" w:eastAsia="en-GB"/>
        </w:rPr>
        <w:t>McGettigan</w:t>
      </w:r>
      <w:proofErr w:type="spellEnd"/>
      <w:r w:rsidRPr="001B0AD0">
        <w:rPr>
          <w:rFonts w:ascii="Verdana" w:eastAsia="Times New Roman" w:hAnsi="Verdana" w:cs="Times New Roman"/>
          <w:lang w:val="en-GB" w:eastAsia="en-GB"/>
        </w:rPr>
        <w:t>, 2012), described how the impact of higher fees on inflation could affect the deficit reduction</w:t>
      </w:r>
      <w:r w:rsidR="00B02AE3">
        <w:rPr>
          <w:rFonts w:ascii="Verdana" w:eastAsia="Times New Roman" w:hAnsi="Verdana" w:cs="Times New Roman"/>
          <w:lang w:val="en-GB" w:eastAsia="en-GB"/>
        </w:rPr>
        <w:t xml:space="preserve"> (see Annex B)</w:t>
      </w:r>
      <w:r w:rsidRPr="001B0AD0">
        <w:rPr>
          <w:rFonts w:ascii="Verdana" w:eastAsia="Times New Roman" w:hAnsi="Verdana" w:cs="Times New Roman"/>
          <w:lang w:val="en-GB" w:eastAsia="en-GB"/>
        </w:rPr>
        <w:t>, and why the public debt needed to be considered as an issue in itself. Third, the OBR have published two further reports (OBR 2012a, OBR 2012b) which are relevant to the discussion. And finally, although firm figures are not available, we now have a revised if provisional value for net fees</w:t>
      </w:r>
      <w:r w:rsidR="002D5605">
        <w:rPr>
          <w:rFonts w:ascii="Verdana" w:eastAsia="Times New Roman" w:hAnsi="Verdana" w:cs="Times New Roman"/>
          <w:lang w:val="en-GB" w:eastAsia="en-GB"/>
        </w:rPr>
        <w:t xml:space="preserve"> (see Annex C)</w:t>
      </w:r>
      <w:r w:rsidRPr="001B0AD0">
        <w:rPr>
          <w:rFonts w:ascii="Verdana" w:eastAsia="Times New Roman" w:hAnsi="Verdana" w:cs="Times New Roman"/>
          <w:lang w:val="en-GB" w:eastAsia="en-GB"/>
        </w:rPr>
        <w:t>.</w:t>
      </w:r>
    </w:p>
    <w:p w:rsidR="006059EB" w:rsidRDefault="001B0AD0">
      <w:pPr>
        <w:keepNext/>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lastRenderedPageBreak/>
        <w:t>Fees less waivers</w:t>
      </w:r>
    </w:p>
    <w:p w:rsidR="001B0AD0" w:rsidRPr="0063686C" w:rsidRDefault="006E7DDA" w:rsidP="001B0AD0">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When </w:t>
      </w:r>
      <w:r w:rsidR="006B35BE">
        <w:rPr>
          <w:rFonts w:ascii="Verdana" w:eastAsia="Times New Roman" w:hAnsi="Verdana" w:cs="Times New Roman"/>
          <w:lang w:val="en-GB" w:eastAsia="en-GB"/>
        </w:rPr>
        <w:t xml:space="preserve">the </w:t>
      </w:r>
      <w:r>
        <w:rPr>
          <w:rFonts w:ascii="Verdana" w:eastAsia="Times New Roman" w:hAnsi="Verdana" w:cs="Times New Roman"/>
          <w:lang w:val="en-GB" w:eastAsia="en-GB"/>
        </w:rPr>
        <w:t xml:space="preserve">Government first announced </w:t>
      </w:r>
      <w:r w:rsidR="006B35BE">
        <w:rPr>
          <w:rFonts w:ascii="Verdana" w:eastAsia="Times New Roman" w:hAnsi="Verdana" w:cs="Times New Roman"/>
          <w:lang w:val="en-GB" w:eastAsia="en-GB"/>
        </w:rPr>
        <w:t xml:space="preserve">its </w:t>
      </w:r>
      <w:r>
        <w:rPr>
          <w:rFonts w:ascii="Verdana" w:eastAsia="Times New Roman" w:hAnsi="Verdana" w:cs="Times New Roman"/>
          <w:lang w:val="en-GB" w:eastAsia="en-GB"/>
        </w:rPr>
        <w:t xml:space="preserve">proposals </w:t>
      </w:r>
      <w:r w:rsidR="006B35BE">
        <w:rPr>
          <w:rFonts w:ascii="Verdana" w:eastAsia="Times New Roman" w:hAnsi="Verdana" w:cs="Times New Roman"/>
          <w:lang w:val="en-GB" w:eastAsia="en-GB"/>
        </w:rPr>
        <w:t xml:space="preserve">it </w:t>
      </w:r>
      <w:r>
        <w:rPr>
          <w:rFonts w:ascii="Verdana" w:eastAsia="Times New Roman" w:hAnsi="Verdana" w:cs="Times New Roman"/>
          <w:lang w:val="en-GB" w:eastAsia="en-GB"/>
        </w:rPr>
        <w:t>described a fee level of £6000 pa as the “basic threshold” which would “</w:t>
      </w:r>
      <w:r w:rsidRPr="006E7DDA">
        <w:rPr>
          <w:rFonts w:ascii="Verdana" w:eastAsia="Times New Roman" w:hAnsi="Verdana" w:cs="Times New Roman"/>
          <w:lang w:val="en-GB" w:eastAsia="en-GB"/>
        </w:rPr>
        <w:t>act as a discipline on universities and will ensure that they have to hold down their costs</w:t>
      </w:r>
      <w:r>
        <w:rPr>
          <w:rFonts w:ascii="Verdana" w:eastAsia="Times New Roman" w:hAnsi="Verdana" w:cs="Times New Roman"/>
          <w:lang w:val="en-GB" w:eastAsia="en-GB"/>
        </w:rPr>
        <w:t>.”  The maximum £9000 fee would only be charged in “exceptional circumstances”. (</w:t>
      </w:r>
      <w:r w:rsidRPr="006E7DDA">
        <w:rPr>
          <w:rFonts w:ascii="Verdana" w:eastAsia="Times New Roman" w:hAnsi="Verdana" w:cs="Times New Roman"/>
          <w:lang w:val="en-GB" w:eastAsia="en-GB"/>
        </w:rPr>
        <w:t>David Willetts</w:t>
      </w:r>
      <w:r>
        <w:rPr>
          <w:rFonts w:ascii="Verdana" w:eastAsia="Times New Roman" w:hAnsi="Verdana" w:cs="Times New Roman"/>
          <w:lang w:val="en-GB" w:eastAsia="en-GB"/>
        </w:rPr>
        <w:t xml:space="preserve">, </w:t>
      </w:r>
      <w:r w:rsidRPr="006E7DDA">
        <w:rPr>
          <w:rFonts w:ascii="Verdana" w:eastAsia="Times New Roman" w:hAnsi="Verdana" w:cs="Times New Roman"/>
          <w:lang w:val="en-GB" w:eastAsia="en-GB"/>
        </w:rPr>
        <w:t>Minister for Universities and Science</w:t>
      </w:r>
      <w:r>
        <w:rPr>
          <w:rFonts w:ascii="Verdana" w:eastAsia="Times New Roman" w:hAnsi="Verdana" w:cs="Times New Roman"/>
          <w:lang w:val="en-GB" w:eastAsia="en-GB"/>
        </w:rPr>
        <w:t>, House of Commons</w:t>
      </w:r>
      <w:r w:rsidR="002D2394">
        <w:rPr>
          <w:rFonts w:ascii="Verdana" w:eastAsia="Times New Roman" w:hAnsi="Verdana" w:cs="Times New Roman"/>
          <w:lang w:val="en-GB" w:eastAsia="en-GB"/>
        </w:rPr>
        <w:t>,</w:t>
      </w:r>
      <w:r>
        <w:rPr>
          <w:rFonts w:ascii="Verdana" w:eastAsia="Times New Roman" w:hAnsi="Verdana" w:cs="Times New Roman"/>
          <w:lang w:val="en-GB" w:eastAsia="en-GB"/>
        </w:rPr>
        <w:t xml:space="preserve"> 3 November 2010.</w:t>
      </w:r>
      <w:r w:rsidRPr="006E7DDA">
        <w:rPr>
          <w:rFonts w:ascii="Verdana" w:eastAsia="Times New Roman" w:hAnsi="Verdana" w:cs="Times New Roman"/>
          <w:lang w:val="en-GB" w:eastAsia="en-GB"/>
        </w:rPr>
        <w:t>)</w:t>
      </w:r>
      <w:r>
        <w:rPr>
          <w:rFonts w:ascii="Verdana" w:eastAsia="Times New Roman" w:hAnsi="Verdana" w:cs="Times New Roman"/>
          <w:lang w:val="en-GB" w:eastAsia="en-GB"/>
        </w:rPr>
        <w:t xml:space="preserve"> We</w:t>
      </w:r>
      <w:r w:rsidR="0063686C">
        <w:rPr>
          <w:rFonts w:ascii="Verdana" w:eastAsia="Times New Roman" w:hAnsi="Verdana" w:cs="Times New Roman"/>
          <w:lang w:val="en-GB" w:eastAsia="en-GB"/>
        </w:rPr>
        <w:t xml:space="preserve"> did not share this expectation</w:t>
      </w:r>
      <w:r w:rsidR="00D67C10">
        <w:rPr>
          <w:rFonts w:ascii="Verdana" w:eastAsia="Times New Roman" w:hAnsi="Verdana" w:cs="Times New Roman"/>
          <w:lang w:val="en-GB" w:eastAsia="en-GB"/>
        </w:rPr>
        <w:t xml:space="preserve"> and </w:t>
      </w:r>
      <w:r w:rsidR="0063686C">
        <w:rPr>
          <w:rFonts w:ascii="Verdana" w:eastAsia="Times New Roman" w:hAnsi="Verdana" w:cs="Times New Roman"/>
          <w:lang w:val="en-GB" w:eastAsia="en-GB"/>
        </w:rPr>
        <w:t>wrote that we had, “</w:t>
      </w:r>
      <w:r w:rsidR="0063686C" w:rsidRPr="00084CDE">
        <w:rPr>
          <w:rFonts w:ascii="Verdana" w:eastAsia="Calibri" w:hAnsi="Verdana" w:cs="Times New Roman"/>
        </w:rPr>
        <w:t>every reason to expect – not immediately but over time – most universities to increase their fees towards £9,000</w:t>
      </w:r>
      <w:r w:rsidR="0063686C">
        <w:rPr>
          <w:rFonts w:ascii="Verdana" w:hAnsi="Verdana"/>
        </w:rPr>
        <w:t>”</w:t>
      </w:r>
      <w:r w:rsidR="0063686C" w:rsidRPr="00084CDE">
        <w:rPr>
          <w:rFonts w:ascii="Verdana" w:eastAsia="Calibri" w:hAnsi="Verdana" w:cs="Times New Roman"/>
        </w:rPr>
        <w:t xml:space="preserve"> (Thompson et al</w:t>
      </w:r>
      <w:r w:rsidR="0063686C">
        <w:rPr>
          <w:rFonts w:ascii="Verdana" w:hAnsi="Verdana"/>
        </w:rPr>
        <w:t>,</w:t>
      </w:r>
      <w:r w:rsidR="0063686C" w:rsidRPr="00084CDE">
        <w:rPr>
          <w:rFonts w:ascii="Verdana" w:eastAsia="Calibri" w:hAnsi="Verdana" w:cs="Times New Roman"/>
        </w:rPr>
        <w:t xml:space="preserve"> 2010b).</w:t>
      </w:r>
      <w:r w:rsidR="0063686C">
        <w:rPr>
          <w:rFonts w:ascii="Verdana" w:hAnsi="Verdana"/>
        </w:rPr>
        <w:t xml:space="preserve"> Over the months that followed it became clear that this was nearer the mark,</w:t>
      </w:r>
      <w:r w:rsidR="004C43DD">
        <w:rPr>
          <w:rFonts w:ascii="Verdana" w:hAnsi="Verdana"/>
        </w:rPr>
        <w:t xml:space="preserve"> and</w:t>
      </w:r>
      <w:r w:rsidR="0063686C">
        <w:rPr>
          <w:rFonts w:ascii="Verdana" w:hAnsi="Verdana"/>
        </w:rPr>
        <w:t xml:space="preserve"> indeed it looked as if it would not take as long as we had expected for £9000 to become the norm.</w:t>
      </w:r>
      <w:r w:rsidR="007F24AB">
        <w:rPr>
          <w:rFonts w:ascii="Verdana" w:hAnsi="Verdana"/>
        </w:rPr>
        <w:t xml:space="preserve"> By the time the White paper was published, despite pressure from </w:t>
      </w:r>
      <w:r w:rsidR="006B35BE">
        <w:rPr>
          <w:rFonts w:ascii="Verdana" w:hAnsi="Verdana"/>
        </w:rPr>
        <w:t xml:space="preserve">the </w:t>
      </w:r>
      <w:r w:rsidR="007F24AB">
        <w:rPr>
          <w:rFonts w:ascii="Verdana" w:hAnsi="Verdana"/>
        </w:rPr>
        <w:t>Government through OFFA to introduce fee waivers, we estimated the average ‘fee less waivers’ to be £8228.</w:t>
      </w:r>
      <w:r w:rsidR="0063686C">
        <w:rPr>
          <w:rFonts w:ascii="Verdana" w:hAnsi="Verdana"/>
        </w:rPr>
        <w:t xml:space="preserve"> </w:t>
      </w:r>
    </w:p>
    <w:p w:rsidR="00FA3234" w:rsidRDefault="007F24AB" w:rsidP="00FA3234">
      <w:pPr>
        <w:numPr>
          <w:ilvl w:val="0"/>
          <w:numId w:val="1"/>
        </w:numPr>
        <w:tabs>
          <w:tab w:val="clear" w:pos="851"/>
          <w:tab w:val="num" w:pos="567"/>
        </w:tabs>
        <w:spacing w:after="240" w:line="300" w:lineRule="atLeast"/>
        <w:ind w:left="0" w:right="0"/>
        <w:jc w:val="left"/>
        <w:rPr>
          <w:rFonts w:ascii="Verdana" w:hAnsi="Verdana"/>
        </w:rPr>
      </w:pPr>
      <w:r>
        <w:rPr>
          <w:rFonts w:ascii="Verdana" w:hAnsi="Verdana"/>
        </w:rPr>
        <w:t xml:space="preserve">With the White Paper </w:t>
      </w:r>
      <w:r w:rsidR="004C43DD">
        <w:rPr>
          <w:rFonts w:ascii="Verdana" w:hAnsi="Verdana"/>
        </w:rPr>
        <w:t xml:space="preserve">the </w:t>
      </w:r>
      <w:r w:rsidR="0063686C">
        <w:rPr>
          <w:rFonts w:ascii="Verdana" w:hAnsi="Verdana"/>
        </w:rPr>
        <w:t>Government attempted to gain control over fee levels through a system of allocating student places which would reduce student numbers for universities that charged more than £7500 and were unable to increase their recruitment of a limited number of</w:t>
      </w:r>
      <w:r w:rsidR="00E309C0">
        <w:rPr>
          <w:rFonts w:ascii="Verdana" w:hAnsi="Verdana"/>
        </w:rPr>
        <w:t xml:space="preserve"> highly qualified students</w:t>
      </w:r>
      <w:r w:rsidR="00731AF5">
        <w:rPr>
          <w:rFonts w:ascii="Verdana" w:hAnsi="Verdana"/>
        </w:rPr>
        <w:t xml:space="preserve">. </w:t>
      </w:r>
      <w:r w:rsidR="006B35BE">
        <w:rPr>
          <w:rFonts w:ascii="Verdana" w:hAnsi="Verdana"/>
        </w:rPr>
        <w:t xml:space="preserve">It </w:t>
      </w:r>
      <w:r w:rsidR="004C43DD">
        <w:rPr>
          <w:rFonts w:ascii="Verdana" w:hAnsi="Verdana"/>
        </w:rPr>
        <w:t xml:space="preserve">proposed to make these cuts year after year.  </w:t>
      </w:r>
      <w:r w:rsidR="00E309C0">
        <w:rPr>
          <w:rFonts w:ascii="Verdana" w:hAnsi="Verdana"/>
        </w:rPr>
        <w:t xml:space="preserve">We concluded </w:t>
      </w:r>
      <w:r w:rsidR="004C43DD">
        <w:rPr>
          <w:rFonts w:ascii="Verdana" w:hAnsi="Verdana"/>
        </w:rPr>
        <w:t xml:space="preserve">nevertheless </w:t>
      </w:r>
      <w:r w:rsidR="00E309C0">
        <w:rPr>
          <w:rFonts w:ascii="Verdana" w:hAnsi="Verdana"/>
        </w:rPr>
        <w:t xml:space="preserve">that even those universities which would be likely to see significant reductions in their student numbers would be very reluctant </w:t>
      </w:r>
      <w:r w:rsidR="00FA3234">
        <w:rPr>
          <w:rFonts w:ascii="Verdana" w:hAnsi="Verdana"/>
        </w:rPr>
        <w:t>to reduce their fees</w:t>
      </w:r>
      <w:r w:rsidR="002D2394">
        <w:rPr>
          <w:rFonts w:ascii="Verdana" w:hAnsi="Verdana"/>
        </w:rPr>
        <w:t>. A</w:t>
      </w:r>
      <w:r w:rsidR="00FA3234">
        <w:rPr>
          <w:rFonts w:ascii="Verdana" w:eastAsia="Calibri" w:hAnsi="Verdana" w:cs="Times New Roman"/>
        </w:rPr>
        <w:t>ccepting that the university was unable to recruit enough high- achieving students would be damaging</w:t>
      </w:r>
      <w:r w:rsidR="006B35BE">
        <w:rPr>
          <w:rFonts w:ascii="Verdana" w:hAnsi="Verdana"/>
        </w:rPr>
        <w:t>,</w:t>
      </w:r>
      <w:r w:rsidR="00FA3234">
        <w:rPr>
          <w:rFonts w:ascii="Verdana" w:eastAsia="Calibri" w:hAnsi="Verdana" w:cs="Times New Roman"/>
        </w:rPr>
        <w:t xml:space="preserve"> the high fee in itself be</w:t>
      </w:r>
      <w:r w:rsidR="00D67C10">
        <w:rPr>
          <w:rFonts w:ascii="Verdana" w:hAnsi="Verdana"/>
        </w:rPr>
        <w:t>ing</w:t>
      </w:r>
      <w:r w:rsidR="00FA3234">
        <w:rPr>
          <w:rFonts w:ascii="Verdana" w:eastAsia="Calibri" w:hAnsi="Verdana" w:cs="Times New Roman"/>
        </w:rPr>
        <w:t xml:space="preserve"> taken as indicating prestige</w:t>
      </w:r>
      <w:r w:rsidR="00FA3234">
        <w:rPr>
          <w:rFonts w:ascii="Verdana" w:hAnsi="Verdana"/>
        </w:rPr>
        <w:t>. Even those universities with the lowest proportion of highly qualified students seemed likely to take a ‘wait and see’</w:t>
      </w:r>
      <w:r w:rsidR="00967BFC">
        <w:rPr>
          <w:rFonts w:ascii="Verdana" w:hAnsi="Verdana"/>
        </w:rPr>
        <w:t xml:space="preserve"> stance</w:t>
      </w:r>
      <w:r w:rsidR="00FA3234">
        <w:rPr>
          <w:rFonts w:ascii="Verdana" w:hAnsi="Verdana"/>
        </w:rPr>
        <w:t>. We concluded, “</w:t>
      </w:r>
      <w:r w:rsidR="00967BFC">
        <w:rPr>
          <w:rFonts w:ascii="Verdana" w:hAnsi="Verdana"/>
        </w:rPr>
        <w:t>i</w:t>
      </w:r>
      <w:r w:rsidR="00FA3234">
        <w:rPr>
          <w:rFonts w:ascii="Verdana" w:eastAsia="Calibri" w:hAnsi="Verdana" w:cs="Times New Roman"/>
        </w:rPr>
        <w:t>f universities with these characteristics believe that the Government will make margin cuts year on year, their best policy is to reduce fees without delay. If they think a change of policy is possible, they may be inclined to put off the decision.</w:t>
      </w:r>
      <w:r w:rsidR="00967BFC">
        <w:rPr>
          <w:rFonts w:ascii="Verdana" w:hAnsi="Verdana"/>
        </w:rPr>
        <w:t>”</w:t>
      </w:r>
    </w:p>
    <w:p w:rsidR="00967BFC" w:rsidRDefault="00967BFC" w:rsidP="00FA3234">
      <w:pPr>
        <w:numPr>
          <w:ilvl w:val="0"/>
          <w:numId w:val="1"/>
        </w:numPr>
        <w:tabs>
          <w:tab w:val="clear" w:pos="851"/>
          <w:tab w:val="num" w:pos="567"/>
        </w:tabs>
        <w:spacing w:after="240" w:line="300" w:lineRule="atLeast"/>
        <w:ind w:left="0" w:right="0"/>
        <w:jc w:val="left"/>
        <w:rPr>
          <w:rFonts w:ascii="Verdana" w:hAnsi="Verdana"/>
        </w:rPr>
      </w:pPr>
      <w:r>
        <w:rPr>
          <w:rFonts w:ascii="Verdana" w:hAnsi="Verdana"/>
        </w:rPr>
        <w:t>‘Putting off’ seems to be what most universities did. Our estimate of the average fee less waivers using OFFA’s most recent data is £</w:t>
      </w:r>
      <w:r w:rsidR="005279AA">
        <w:rPr>
          <w:rFonts w:ascii="Verdana" w:hAnsi="Verdana"/>
        </w:rPr>
        <w:t>8234</w:t>
      </w:r>
      <w:r w:rsidR="00CE720F">
        <w:rPr>
          <w:rFonts w:ascii="Verdana" w:hAnsi="Verdana"/>
        </w:rPr>
        <w:t>, within the margin of error</w:t>
      </w:r>
      <w:r w:rsidR="004C43DD">
        <w:rPr>
          <w:rFonts w:ascii="Verdana" w:hAnsi="Verdana"/>
        </w:rPr>
        <w:t xml:space="preserve"> of</w:t>
      </w:r>
      <w:r w:rsidR="00CE720F">
        <w:rPr>
          <w:rFonts w:ascii="Verdana" w:hAnsi="Verdana"/>
        </w:rPr>
        <w:t xml:space="preserve"> our </w:t>
      </w:r>
      <w:r w:rsidR="00A252BF">
        <w:rPr>
          <w:rFonts w:ascii="Verdana" w:hAnsi="Verdana"/>
        </w:rPr>
        <w:t xml:space="preserve">earlier </w:t>
      </w:r>
      <w:r w:rsidR="00CE720F">
        <w:rPr>
          <w:rFonts w:ascii="Verdana" w:hAnsi="Verdana"/>
        </w:rPr>
        <w:t>estimate</w:t>
      </w:r>
      <w:r>
        <w:rPr>
          <w:rFonts w:ascii="Verdana" w:hAnsi="Verdana"/>
        </w:rPr>
        <w:t>.</w:t>
      </w:r>
      <w:r w:rsidR="002E0BA2">
        <w:rPr>
          <w:rFonts w:ascii="Verdana" w:hAnsi="Verdana"/>
        </w:rPr>
        <w:t xml:space="preserve"> </w:t>
      </w:r>
      <w:r>
        <w:rPr>
          <w:rFonts w:ascii="Verdana" w:hAnsi="Verdana"/>
        </w:rPr>
        <w:t>This uses historic student number data and so does not reflect the distribution of students across fees level in 2012-13, but we would not expect the final estimate to be too different.</w:t>
      </w:r>
      <w:r w:rsidR="00256581">
        <w:rPr>
          <w:rFonts w:ascii="Verdana" w:hAnsi="Verdana"/>
        </w:rPr>
        <w:t xml:space="preserve"> (See Annex C.)</w:t>
      </w:r>
    </w:p>
    <w:p w:rsidR="00967BFC" w:rsidRPr="00802F2F" w:rsidRDefault="00967BFC" w:rsidP="00FA3234">
      <w:pPr>
        <w:numPr>
          <w:ilvl w:val="0"/>
          <w:numId w:val="1"/>
        </w:numPr>
        <w:tabs>
          <w:tab w:val="clear" w:pos="851"/>
          <w:tab w:val="num" w:pos="567"/>
        </w:tabs>
        <w:spacing w:after="240" w:line="300" w:lineRule="atLeast"/>
        <w:ind w:left="0" w:right="0"/>
        <w:jc w:val="left"/>
        <w:rPr>
          <w:rFonts w:ascii="Verdana" w:hAnsi="Verdana"/>
        </w:rPr>
      </w:pPr>
      <w:r>
        <w:rPr>
          <w:rFonts w:ascii="Verdana" w:hAnsi="Verdana"/>
        </w:rPr>
        <w:t xml:space="preserve">It is unclear what the </w:t>
      </w:r>
      <w:r w:rsidR="004C43DD">
        <w:rPr>
          <w:rFonts w:ascii="Verdana" w:hAnsi="Verdana"/>
        </w:rPr>
        <w:t>G</w:t>
      </w:r>
      <w:r>
        <w:rPr>
          <w:rFonts w:ascii="Verdana" w:hAnsi="Verdana"/>
        </w:rPr>
        <w:t xml:space="preserve">overnment’s position is now. </w:t>
      </w:r>
      <w:r w:rsidR="004C43DD">
        <w:rPr>
          <w:rFonts w:ascii="Verdana" w:hAnsi="Verdana"/>
        </w:rPr>
        <w:t>It has</w:t>
      </w:r>
      <w:r>
        <w:rPr>
          <w:rFonts w:ascii="Verdana" w:hAnsi="Verdana"/>
        </w:rPr>
        <w:t xml:space="preserve"> not tightened the ‘core plus margin’ </w:t>
      </w:r>
      <w:r w:rsidR="00E3413E">
        <w:rPr>
          <w:rFonts w:ascii="Verdana" w:hAnsi="Verdana"/>
        </w:rPr>
        <w:t xml:space="preserve">incentive for fee reduction with the </w:t>
      </w:r>
      <w:r w:rsidR="004C43DD">
        <w:rPr>
          <w:rFonts w:ascii="Verdana" w:hAnsi="Verdana"/>
        </w:rPr>
        <w:t>numbers confiscated from institutions charging £7,500+</w:t>
      </w:r>
      <w:r w:rsidR="00E3413E">
        <w:rPr>
          <w:rFonts w:ascii="Verdana" w:hAnsi="Verdana"/>
        </w:rPr>
        <w:t xml:space="preserve"> reduced from 20,000 for 2012-13 to </w:t>
      </w:r>
      <w:r w:rsidR="00D67C10">
        <w:rPr>
          <w:rFonts w:ascii="Verdana" w:hAnsi="Verdana"/>
        </w:rPr>
        <w:t>5</w:t>
      </w:r>
      <w:r w:rsidR="00E3413E">
        <w:rPr>
          <w:rFonts w:ascii="Verdana" w:hAnsi="Verdana"/>
        </w:rPr>
        <w:t xml:space="preserve">,000 for 2013-14. Perhaps </w:t>
      </w:r>
      <w:r w:rsidR="004C43DD">
        <w:rPr>
          <w:rFonts w:ascii="Verdana" w:hAnsi="Verdana"/>
        </w:rPr>
        <w:t>it</w:t>
      </w:r>
      <w:r w:rsidR="00E3413E">
        <w:rPr>
          <w:rFonts w:ascii="Verdana" w:hAnsi="Verdana"/>
        </w:rPr>
        <w:t xml:space="preserve"> think</w:t>
      </w:r>
      <w:r w:rsidR="004C43DD">
        <w:rPr>
          <w:rFonts w:ascii="Verdana" w:hAnsi="Verdana"/>
        </w:rPr>
        <w:t>s</w:t>
      </w:r>
      <w:r w:rsidR="00E3413E">
        <w:rPr>
          <w:rFonts w:ascii="Verdana" w:hAnsi="Verdana"/>
        </w:rPr>
        <w:t xml:space="preserve"> that widening the </w:t>
      </w:r>
      <w:r w:rsidR="00E3413E">
        <w:rPr>
          <w:rFonts w:ascii="Verdana" w:eastAsia="Calibri" w:hAnsi="Verdana" w:cs="Times New Roman"/>
        </w:rPr>
        <w:t>‘high achiev</w:t>
      </w:r>
      <w:r w:rsidR="00256581">
        <w:rPr>
          <w:rFonts w:ascii="Verdana" w:hAnsi="Verdana"/>
        </w:rPr>
        <w:t>ing</w:t>
      </w:r>
      <w:r w:rsidR="00E3413E">
        <w:rPr>
          <w:rFonts w:ascii="Verdana" w:eastAsia="Calibri" w:hAnsi="Verdana" w:cs="Times New Roman"/>
        </w:rPr>
        <w:t>’ threshold</w:t>
      </w:r>
      <w:r w:rsidR="00E3413E">
        <w:rPr>
          <w:rFonts w:ascii="Verdana" w:hAnsi="Verdana"/>
        </w:rPr>
        <w:t xml:space="preserve"> of students outside the quota controls from ‘</w:t>
      </w:r>
      <w:r w:rsidR="00E3413E">
        <w:rPr>
          <w:rFonts w:ascii="Verdana" w:eastAsia="Calibri" w:hAnsi="Verdana" w:cs="Times New Roman"/>
        </w:rPr>
        <w:t>at least AAB grades at A-level or equivalent</w:t>
      </w:r>
      <w:r w:rsidR="00E3413E">
        <w:rPr>
          <w:rFonts w:ascii="Verdana" w:hAnsi="Verdana"/>
        </w:rPr>
        <w:t xml:space="preserve">’ to </w:t>
      </w:r>
      <w:r w:rsidR="00256581">
        <w:rPr>
          <w:rFonts w:ascii="Verdana" w:hAnsi="Verdana"/>
        </w:rPr>
        <w:t>‘</w:t>
      </w:r>
      <w:r w:rsidR="00E3413E">
        <w:rPr>
          <w:rFonts w:ascii="Verdana" w:hAnsi="Verdana"/>
        </w:rPr>
        <w:t xml:space="preserve">at least ABB </w:t>
      </w:r>
      <w:r w:rsidR="00E3413E" w:rsidRPr="00802F2F">
        <w:rPr>
          <w:rFonts w:ascii="Verdana" w:hAnsi="Verdana"/>
        </w:rPr>
        <w:t>grades</w:t>
      </w:r>
      <w:r w:rsidR="00256581" w:rsidRPr="00802F2F">
        <w:rPr>
          <w:rFonts w:ascii="Verdana" w:hAnsi="Verdana"/>
        </w:rPr>
        <w:t>’</w:t>
      </w:r>
      <w:r w:rsidR="004C43DD">
        <w:rPr>
          <w:rFonts w:ascii="Verdana" w:hAnsi="Verdana"/>
        </w:rPr>
        <w:t>, as is now proposed,</w:t>
      </w:r>
      <w:r w:rsidR="00E3413E" w:rsidRPr="00802F2F">
        <w:rPr>
          <w:rFonts w:ascii="Verdana" w:hAnsi="Verdana"/>
        </w:rPr>
        <w:t xml:space="preserve"> will result in pressure to reduce fees. If so, </w:t>
      </w:r>
      <w:r w:rsidR="004C43DD">
        <w:rPr>
          <w:rFonts w:ascii="Verdana" w:hAnsi="Verdana"/>
        </w:rPr>
        <w:t>it is</w:t>
      </w:r>
      <w:r w:rsidR="00E3413E" w:rsidRPr="00802F2F">
        <w:rPr>
          <w:rFonts w:ascii="Verdana" w:hAnsi="Verdana"/>
        </w:rPr>
        <w:t xml:space="preserve"> mistaken. </w:t>
      </w:r>
      <w:r w:rsidR="00E3413E" w:rsidRPr="00802F2F">
        <w:rPr>
          <w:rFonts w:ascii="Verdana" w:hAnsi="Verdana"/>
        </w:rPr>
        <w:lastRenderedPageBreak/>
        <w:t>Most universities will judge their higher fee levels an asset in recruiting these students.</w:t>
      </w:r>
    </w:p>
    <w:p w:rsidR="00802F2F" w:rsidRPr="00802F2F" w:rsidRDefault="00E3413E"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sidRPr="00802F2F">
        <w:rPr>
          <w:rFonts w:ascii="Verdana" w:hAnsi="Verdana"/>
        </w:rPr>
        <w:t xml:space="preserve">It seems that </w:t>
      </w:r>
      <w:r w:rsidR="004C43DD">
        <w:rPr>
          <w:rFonts w:ascii="Verdana" w:hAnsi="Verdana"/>
        </w:rPr>
        <w:t>the G</w:t>
      </w:r>
      <w:r w:rsidRPr="00802F2F">
        <w:rPr>
          <w:rFonts w:ascii="Verdana" w:hAnsi="Verdana"/>
        </w:rPr>
        <w:t>overnment</w:t>
      </w:r>
      <w:r w:rsidR="00256581" w:rsidRPr="00802F2F">
        <w:rPr>
          <w:rFonts w:ascii="Verdana" w:hAnsi="Verdana"/>
        </w:rPr>
        <w:t xml:space="preserve"> is </w:t>
      </w:r>
      <w:r w:rsidRPr="00802F2F">
        <w:rPr>
          <w:rFonts w:ascii="Verdana" w:hAnsi="Verdana"/>
        </w:rPr>
        <w:t>going to absorb the costs of the higher than expected fees</w:t>
      </w:r>
      <w:r w:rsidR="00AE4B54">
        <w:rPr>
          <w:rStyle w:val="FootnoteReference"/>
          <w:rFonts w:ascii="Verdana" w:hAnsi="Verdana"/>
        </w:rPr>
        <w:footnoteReference w:id="3"/>
      </w:r>
      <w:r w:rsidR="007470D2" w:rsidRPr="00802F2F">
        <w:rPr>
          <w:rFonts w:ascii="Verdana" w:hAnsi="Verdana"/>
        </w:rPr>
        <w:t>, mitigated by an unstated policy of not up</w:t>
      </w:r>
      <w:r w:rsidR="00A37C2A" w:rsidRPr="00802F2F">
        <w:rPr>
          <w:rFonts w:ascii="Verdana" w:hAnsi="Verdana"/>
        </w:rPr>
        <w:t>-</w:t>
      </w:r>
      <w:r w:rsidR="007470D2" w:rsidRPr="00802F2F">
        <w:rPr>
          <w:rFonts w:ascii="Verdana" w:hAnsi="Verdana"/>
        </w:rPr>
        <w:t xml:space="preserve">rating </w:t>
      </w:r>
      <w:r w:rsidR="006A3ED1">
        <w:rPr>
          <w:rFonts w:ascii="Verdana" w:hAnsi="Verdana"/>
        </w:rPr>
        <w:t xml:space="preserve">it </w:t>
      </w:r>
      <w:r w:rsidR="00256581" w:rsidRPr="00802F2F">
        <w:rPr>
          <w:rFonts w:ascii="Verdana" w:hAnsi="Verdana"/>
        </w:rPr>
        <w:t xml:space="preserve">at all </w:t>
      </w:r>
      <w:r w:rsidR="007470D2" w:rsidRPr="00802F2F">
        <w:rPr>
          <w:rFonts w:ascii="Verdana" w:hAnsi="Verdana"/>
        </w:rPr>
        <w:t>and allowing</w:t>
      </w:r>
      <w:r w:rsidR="006B35BE">
        <w:rPr>
          <w:rFonts w:ascii="Verdana" w:hAnsi="Verdana"/>
        </w:rPr>
        <w:t xml:space="preserve"> the</w:t>
      </w:r>
      <w:r w:rsidR="007470D2" w:rsidRPr="00802F2F">
        <w:rPr>
          <w:rFonts w:ascii="Verdana" w:hAnsi="Verdana"/>
        </w:rPr>
        <w:t xml:space="preserve"> real value</w:t>
      </w:r>
      <w:r w:rsidR="00A37C2A" w:rsidRPr="00802F2F">
        <w:rPr>
          <w:rFonts w:ascii="Verdana" w:hAnsi="Verdana"/>
        </w:rPr>
        <w:t xml:space="preserve"> of the maximum fee to fall</w:t>
      </w:r>
      <w:r w:rsidR="00FC63DE">
        <w:rPr>
          <w:rStyle w:val="FootnoteReference"/>
          <w:rFonts w:ascii="Verdana" w:hAnsi="Verdana"/>
        </w:rPr>
        <w:footnoteReference w:id="4"/>
      </w:r>
      <w:r w:rsidR="007470D2" w:rsidRPr="00802F2F">
        <w:rPr>
          <w:rFonts w:ascii="Verdana" w:hAnsi="Verdana"/>
        </w:rPr>
        <w:t>.</w:t>
      </w:r>
      <w:r w:rsidR="00A37C2A" w:rsidRPr="00802F2F">
        <w:rPr>
          <w:rFonts w:ascii="Verdana" w:hAnsi="Verdana"/>
        </w:rPr>
        <w:t xml:space="preserve"> </w:t>
      </w:r>
    </w:p>
    <w:p w:rsidR="001B0AD0" w:rsidRPr="00B73A39" w:rsidRDefault="001B0AD0" w:rsidP="001B0AD0">
      <w:pPr>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The RAB Estimate</w:t>
      </w:r>
    </w:p>
    <w:p w:rsidR="00B02AE3"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The Resource Accounting and Budgeting (RAB) cost is the long-run real-terms cost to the Government of the loans that it makes</w:t>
      </w:r>
      <w:r w:rsidR="00F2634A">
        <w:rPr>
          <w:rFonts w:ascii="Verdana" w:eastAsia="Times New Roman" w:hAnsi="Verdana" w:cs="Times New Roman"/>
          <w:lang w:val="en-GB" w:eastAsia="en-GB"/>
        </w:rPr>
        <w:t>.</w:t>
      </w:r>
    </w:p>
    <w:p w:rsid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F2634A">
        <w:rPr>
          <w:rFonts w:ascii="Verdana" w:eastAsia="Times New Roman" w:hAnsi="Verdana" w:cs="Times New Roman"/>
          <w:lang w:val="en-GB" w:eastAsia="en-GB"/>
        </w:rPr>
        <w:t>The main features in determining the RAB are the size of the loan</w:t>
      </w:r>
      <w:r w:rsidR="00B02AE3" w:rsidRPr="00F2634A">
        <w:rPr>
          <w:rFonts w:ascii="Verdana" w:eastAsia="Times New Roman" w:hAnsi="Verdana" w:cs="Times New Roman"/>
          <w:lang w:val="en-GB" w:eastAsia="en-GB"/>
        </w:rPr>
        <w:t>s</w:t>
      </w:r>
      <w:r w:rsidRPr="00F2634A">
        <w:rPr>
          <w:rFonts w:ascii="Verdana" w:eastAsia="Times New Roman" w:hAnsi="Verdana" w:cs="Times New Roman"/>
          <w:lang w:val="en-GB" w:eastAsia="en-GB"/>
        </w:rPr>
        <w:t xml:space="preserve"> and the earnings of former students in the future (which, together with repayment terms will determine the rate of repayment).  </w:t>
      </w:r>
      <w:r w:rsidR="00B02AE3" w:rsidRPr="00F2634A">
        <w:rPr>
          <w:rFonts w:ascii="Verdana" w:eastAsia="Times New Roman" w:hAnsi="Verdana" w:cs="Times New Roman"/>
          <w:lang w:val="en-GB" w:eastAsia="en-GB"/>
        </w:rPr>
        <w:t xml:space="preserve">These are the features which we were able to explore using the </w:t>
      </w:r>
      <w:r w:rsidR="00814174" w:rsidRPr="00F2634A">
        <w:rPr>
          <w:rFonts w:ascii="Verdana" w:eastAsia="Times New Roman" w:hAnsi="Verdana" w:cs="Times New Roman"/>
          <w:lang w:val="en-GB" w:eastAsia="en-GB"/>
        </w:rPr>
        <w:t>BIS simplified model, and which are central to our assessment of the RAB estimates</w:t>
      </w:r>
      <w:r w:rsidR="00814174">
        <w:rPr>
          <w:rFonts w:ascii="Verdana" w:eastAsia="Times New Roman" w:hAnsi="Verdana" w:cs="Times New Roman"/>
          <w:lang w:val="en-GB" w:eastAsia="en-GB"/>
        </w:rPr>
        <w:t xml:space="preserve">. </w:t>
      </w:r>
      <w:r w:rsidR="00B47A18">
        <w:rPr>
          <w:rFonts w:ascii="Verdana" w:eastAsia="Times New Roman" w:hAnsi="Verdana" w:cs="Times New Roman"/>
          <w:lang w:val="en-GB" w:eastAsia="en-GB"/>
        </w:rPr>
        <w:t xml:space="preserve">It needs to be noted that </w:t>
      </w:r>
      <w:r w:rsidR="00EE250E">
        <w:rPr>
          <w:rFonts w:ascii="Verdana" w:eastAsia="Times New Roman" w:hAnsi="Verdana" w:cs="Times New Roman"/>
          <w:lang w:val="en-GB" w:eastAsia="en-GB"/>
        </w:rPr>
        <w:t xml:space="preserve">the simplified model </w:t>
      </w:r>
      <w:r w:rsidR="00AD14F9">
        <w:rPr>
          <w:rFonts w:ascii="Verdana" w:eastAsia="Times New Roman" w:hAnsi="Verdana" w:cs="Times New Roman"/>
          <w:lang w:val="en-GB" w:eastAsia="en-GB"/>
        </w:rPr>
        <w:t xml:space="preserve">only considers </w:t>
      </w:r>
      <w:r w:rsidR="00EE250E">
        <w:rPr>
          <w:rFonts w:ascii="Verdana" w:eastAsia="Times New Roman" w:hAnsi="Verdana" w:cs="Times New Roman"/>
          <w:lang w:val="en-GB" w:eastAsia="en-GB"/>
        </w:rPr>
        <w:t xml:space="preserve">full-time home students who </w:t>
      </w:r>
      <w:r w:rsidR="00D67C10">
        <w:rPr>
          <w:rFonts w:ascii="Verdana" w:eastAsia="Times New Roman" w:hAnsi="Verdana" w:cs="Times New Roman"/>
          <w:lang w:val="en-GB" w:eastAsia="en-GB"/>
        </w:rPr>
        <w:t xml:space="preserve">graduate </w:t>
      </w:r>
      <w:r w:rsidR="006A3ED1">
        <w:rPr>
          <w:rFonts w:ascii="Verdana" w:eastAsia="Times New Roman" w:hAnsi="Verdana" w:cs="Times New Roman"/>
          <w:lang w:val="en-GB" w:eastAsia="en-GB"/>
        </w:rPr>
        <w:t>with</w:t>
      </w:r>
      <w:r w:rsidR="00D67C10">
        <w:rPr>
          <w:rFonts w:ascii="Verdana" w:eastAsia="Times New Roman" w:hAnsi="Verdana" w:cs="Times New Roman"/>
          <w:lang w:val="en-GB" w:eastAsia="en-GB"/>
        </w:rPr>
        <w:t>in three years</w:t>
      </w:r>
      <w:r w:rsidR="00EE250E">
        <w:rPr>
          <w:rFonts w:ascii="Verdana" w:eastAsia="Times New Roman" w:hAnsi="Verdana" w:cs="Times New Roman"/>
          <w:lang w:val="en-GB" w:eastAsia="en-GB"/>
        </w:rPr>
        <w:t xml:space="preserve">, and </w:t>
      </w:r>
      <w:r w:rsidR="006A3ED1">
        <w:rPr>
          <w:rFonts w:ascii="Verdana" w:eastAsia="Times New Roman" w:hAnsi="Verdana" w:cs="Times New Roman"/>
          <w:lang w:val="en-GB" w:eastAsia="en-GB"/>
        </w:rPr>
        <w:t xml:space="preserve">who </w:t>
      </w:r>
      <w:r w:rsidR="00EE250E">
        <w:rPr>
          <w:rFonts w:ascii="Verdana" w:eastAsia="Times New Roman" w:hAnsi="Verdana" w:cs="Times New Roman"/>
          <w:lang w:val="en-GB" w:eastAsia="en-GB"/>
        </w:rPr>
        <w:t xml:space="preserve">repay their loans at the minimum rate. The actual costs will depend on other factors, </w:t>
      </w:r>
      <w:r w:rsidR="00D67C10">
        <w:rPr>
          <w:rFonts w:ascii="Verdana" w:eastAsia="Times New Roman" w:hAnsi="Verdana" w:cs="Times New Roman"/>
          <w:lang w:val="en-GB" w:eastAsia="en-GB"/>
        </w:rPr>
        <w:t>some by impacting</w:t>
      </w:r>
      <w:r w:rsidR="00EE250E">
        <w:rPr>
          <w:rFonts w:ascii="Verdana" w:eastAsia="Times New Roman" w:hAnsi="Verdana" w:cs="Times New Roman"/>
          <w:lang w:val="en-GB" w:eastAsia="en-GB"/>
        </w:rPr>
        <w:t xml:space="preserve"> the </w:t>
      </w:r>
      <w:r w:rsidR="00D67C10">
        <w:rPr>
          <w:rFonts w:ascii="Verdana" w:eastAsia="Times New Roman" w:hAnsi="Verdana" w:cs="Times New Roman"/>
          <w:lang w:val="en-GB" w:eastAsia="en-GB"/>
        </w:rPr>
        <w:t>RAB, some in other ways. The</w:t>
      </w:r>
      <w:r w:rsidR="00EE250E">
        <w:rPr>
          <w:rFonts w:ascii="Verdana" w:eastAsia="Times New Roman" w:hAnsi="Verdana" w:cs="Times New Roman"/>
          <w:lang w:val="en-GB" w:eastAsia="en-GB"/>
        </w:rPr>
        <w:t xml:space="preserve"> </w:t>
      </w:r>
      <w:r w:rsidR="006A3ED1">
        <w:rPr>
          <w:rFonts w:ascii="Verdana" w:eastAsia="Times New Roman" w:hAnsi="Verdana" w:cs="Times New Roman"/>
          <w:lang w:val="en-GB" w:eastAsia="en-GB"/>
        </w:rPr>
        <w:t xml:space="preserve">resulting </w:t>
      </w:r>
      <w:r w:rsidR="00EE250E">
        <w:rPr>
          <w:rFonts w:ascii="Verdana" w:eastAsia="Times New Roman" w:hAnsi="Verdana" w:cs="Times New Roman"/>
          <w:lang w:val="en-GB" w:eastAsia="en-GB"/>
        </w:rPr>
        <w:t>uncertainties are even greater</w:t>
      </w:r>
      <w:r w:rsidR="00D67C10">
        <w:rPr>
          <w:rFonts w:ascii="Verdana" w:eastAsia="Times New Roman" w:hAnsi="Verdana" w:cs="Times New Roman"/>
          <w:lang w:val="en-GB" w:eastAsia="en-GB"/>
        </w:rPr>
        <w:t xml:space="preserve"> than those arising from the scope of the simplified model</w:t>
      </w:r>
      <w:r w:rsidR="00EE250E">
        <w:rPr>
          <w:rFonts w:ascii="Verdana" w:eastAsia="Times New Roman" w:hAnsi="Verdana" w:cs="Times New Roman"/>
          <w:lang w:val="en-GB" w:eastAsia="en-GB"/>
        </w:rPr>
        <w:t xml:space="preserve">. </w:t>
      </w:r>
      <w:r w:rsidR="00814174">
        <w:rPr>
          <w:rFonts w:ascii="Verdana" w:eastAsia="Times New Roman" w:hAnsi="Verdana" w:cs="Times New Roman"/>
          <w:lang w:val="en-GB" w:eastAsia="en-GB"/>
        </w:rPr>
        <w:t>These include:-</w:t>
      </w:r>
    </w:p>
    <w:p w:rsidR="00C951AB" w:rsidRDefault="00EE250E" w:rsidP="00C951AB">
      <w:pPr>
        <w:numPr>
          <w:ilvl w:val="0"/>
          <w:numId w:val="4"/>
        </w:numPr>
        <w:spacing w:after="240" w:line="300" w:lineRule="atLeast"/>
        <w:ind w:right="0"/>
        <w:jc w:val="left"/>
        <w:rPr>
          <w:rFonts w:ascii="Verdana" w:eastAsia="Times New Roman" w:hAnsi="Verdana" w:cs="Times New Roman"/>
          <w:lang w:val="en-GB" w:eastAsia="en-GB"/>
        </w:rPr>
      </w:pPr>
      <w:r>
        <w:rPr>
          <w:rFonts w:ascii="Verdana" w:eastAsia="Times New Roman" w:hAnsi="Verdana" w:cs="Times New Roman"/>
          <w:lang w:val="en-GB" w:eastAsia="en-GB"/>
        </w:rPr>
        <w:t>The repayments from those who do not qualify. On the one ha</w:t>
      </w:r>
      <w:r w:rsidR="001C4F88">
        <w:rPr>
          <w:rFonts w:ascii="Verdana" w:eastAsia="Times New Roman" w:hAnsi="Verdana" w:cs="Times New Roman"/>
          <w:lang w:val="en-GB" w:eastAsia="en-GB"/>
        </w:rPr>
        <w:t>n</w:t>
      </w:r>
      <w:r>
        <w:rPr>
          <w:rFonts w:ascii="Verdana" w:eastAsia="Times New Roman" w:hAnsi="Verdana" w:cs="Times New Roman"/>
          <w:lang w:val="en-GB" w:eastAsia="en-GB"/>
        </w:rPr>
        <w:t>d their loans will be lower, but their future earnings on average will also be lower. The information on future earnings of students who do not qualify is very limited.</w:t>
      </w:r>
    </w:p>
    <w:p w:rsidR="00C951AB" w:rsidRDefault="00AC4549" w:rsidP="00C951AB">
      <w:pPr>
        <w:numPr>
          <w:ilvl w:val="0"/>
          <w:numId w:val="4"/>
        </w:numPr>
        <w:spacing w:after="240" w:line="300" w:lineRule="atLeast"/>
        <w:ind w:right="0"/>
        <w:jc w:val="left"/>
        <w:rPr>
          <w:rFonts w:ascii="Verdana" w:eastAsia="Times New Roman" w:hAnsi="Verdana" w:cs="Times New Roman"/>
          <w:lang w:val="en-GB" w:eastAsia="en-GB"/>
        </w:rPr>
      </w:pPr>
      <w:r>
        <w:rPr>
          <w:rFonts w:ascii="Verdana" w:eastAsia="Times New Roman" w:hAnsi="Verdana" w:cs="Times New Roman"/>
          <w:lang w:val="en-GB" w:eastAsia="en-GB"/>
        </w:rPr>
        <w:t>Loan</w:t>
      </w:r>
      <w:r w:rsidR="00F35067">
        <w:rPr>
          <w:rFonts w:ascii="Verdana" w:eastAsia="Times New Roman" w:hAnsi="Verdana" w:cs="Times New Roman"/>
          <w:lang w:val="en-GB" w:eastAsia="en-GB"/>
        </w:rPr>
        <w:t>s</w:t>
      </w:r>
      <w:r>
        <w:rPr>
          <w:rFonts w:ascii="Verdana" w:eastAsia="Times New Roman" w:hAnsi="Verdana" w:cs="Times New Roman"/>
          <w:lang w:val="en-GB" w:eastAsia="en-GB"/>
        </w:rPr>
        <w:t xml:space="preserve"> will be available for part-time students for the first time. Take up rates and repayment profiles are highly uncertain.</w:t>
      </w:r>
    </w:p>
    <w:p w:rsidR="00C951AB" w:rsidRDefault="00EE250E" w:rsidP="00C951AB">
      <w:pPr>
        <w:numPr>
          <w:ilvl w:val="0"/>
          <w:numId w:val="4"/>
        </w:numPr>
        <w:spacing w:after="240" w:line="300" w:lineRule="atLeast"/>
        <w:ind w:right="0"/>
        <w:jc w:val="left"/>
        <w:rPr>
          <w:rFonts w:ascii="Verdana" w:eastAsia="Times New Roman" w:hAnsi="Verdana" w:cs="Times New Roman"/>
          <w:lang w:val="en-GB" w:eastAsia="en-GB"/>
        </w:rPr>
      </w:pPr>
      <w:r>
        <w:rPr>
          <w:rFonts w:ascii="Verdana" w:eastAsia="Times New Roman" w:hAnsi="Verdana" w:cs="Times New Roman"/>
          <w:lang w:val="en-GB" w:eastAsia="en-GB"/>
        </w:rPr>
        <w:t>Repayments from non-UK EU students. It is only since the introduction of loans for fees, with those entering in 2006, that EU students have been able to take out loans. Information on their prop</w:t>
      </w:r>
      <w:r w:rsidR="001C4F88">
        <w:rPr>
          <w:rFonts w:ascii="Verdana" w:eastAsia="Times New Roman" w:hAnsi="Verdana" w:cs="Times New Roman"/>
          <w:lang w:val="en-GB" w:eastAsia="en-GB"/>
        </w:rPr>
        <w:t>en</w:t>
      </w:r>
      <w:r>
        <w:rPr>
          <w:rFonts w:ascii="Verdana" w:eastAsia="Times New Roman" w:hAnsi="Verdana" w:cs="Times New Roman"/>
          <w:lang w:val="en-GB" w:eastAsia="en-GB"/>
        </w:rPr>
        <w:t>sity to repay is therefore very limited</w:t>
      </w:r>
      <w:r w:rsidR="00AD14F9">
        <w:rPr>
          <w:rFonts w:ascii="Verdana" w:eastAsia="Times New Roman" w:hAnsi="Verdana" w:cs="Times New Roman"/>
          <w:lang w:val="en-GB" w:eastAsia="en-GB"/>
        </w:rPr>
        <w:t xml:space="preserve">, but </w:t>
      </w:r>
      <w:r w:rsidR="006F549A" w:rsidRPr="006F549A">
        <w:rPr>
          <w:rFonts w:ascii="Verdana" w:eastAsia="Times New Roman" w:hAnsi="Verdana" w:cs="Times New Roman"/>
          <w:lang w:val="en-GB" w:eastAsia="en-GB"/>
        </w:rPr>
        <w:t>given</w:t>
      </w:r>
      <w:r w:rsidR="00AD14F9">
        <w:rPr>
          <w:rFonts w:ascii="Verdana" w:eastAsia="Times New Roman" w:hAnsi="Verdana" w:cs="Times New Roman"/>
          <w:lang w:val="en-GB" w:eastAsia="en-GB"/>
        </w:rPr>
        <w:t xml:space="preserve"> that </w:t>
      </w:r>
      <w:r w:rsidR="006F549A" w:rsidRPr="006F549A">
        <w:rPr>
          <w:rFonts w:ascii="Verdana" w:eastAsia="Times New Roman" w:hAnsi="Verdana" w:cs="Times New Roman"/>
          <w:lang w:val="en-GB" w:eastAsia="en-GB"/>
        </w:rPr>
        <w:t>those returning</w:t>
      </w:r>
      <w:r w:rsidR="00AD14F9">
        <w:rPr>
          <w:rFonts w:ascii="Verdana" w:eastAsia="Times New Roman" w:hAnsi="Verdana" w:cs="Times New Roman"/>
          <w:lang w:val="en-GB" w:eastAsia="en-GB"/>
        </w:rPr>
        <w:t xml:space="preserve"> to </w:t>
      </w:r>
      <w:r w:rsidR="006F549A" w:rsidRPr="006F549A">
        <w:rPr>
          <w:rFonts w:ascii="Verdana" w:eastAsia="Times New Roman" w:hAnsi="Verdana" w:cs="Times New Roman"/>
          <w:lang w:val="en-GB" w:eastAsia="en-GB"/>
        </w:rPr>
        <w:t xml:space="preserve">their home countries will not have </w:t>
      </w:r>
      <w:r w:rsidR="00AD14F9">
        <w:rPr>
          <w:rFonts w:ascii="Verdana" w:eastAsia="Times New Roman" w:hAnsi="Verdana" w:cs="Times New Roman"/>
          <w:lang w:val="en-GB" w:eastAsia="en-GB"/>
        </w:rPr>
        <w:t xml:space="preserve">repayments </w:t>
      </w:r>
      <w:r w:rsidR="006F549A" w:rsidRPr="006F549A">
        <w:rPr>
          <w:rFonts w:ascii="Verdana" w:eastAsia="Times New Roman" w:hAnsi="Verdana" w:cs="Times New Roman"/>
          <w:lang w:val="en-GB" w:eastAsia="en-GB"/>
        </w:rPr>
        <w:t>collected by HM</w:t>
      </w:r>
      <w:r w:rsidR="006B35BE">
        <w:rPr>
          <w:rFonts w:ascii="Verdana" w:eastAsia="Times New Roman" w:hAnsi="Verdana" w:cs="Times New Roman"/>
          <w:lang w:val="en-GB" w:eastAsia="en-GB"/>
        </w:rPr>
        <w:t>RC</w:t>
      </w:r>
      <w:r w:rsidR="006F549A" w:rsidRPr="006F549A">
        <w:rPr>
          <w:rFonts w:ascii="Verdana" w:eastAsia="Times New Roman" w:hAnsi="Verdana" w:cs="Times New Roman"/>
          <w:lang w:val="en-GB" w:eastAsia="en-GB"/>
        </w:rPr>
        <w:t xml:space="preserve">, the risk of defaults is higher. </w:t>
      </w:r>
    </w:p>
    <w:p w:rsidR="00C951AB" w:rsidRDefault="001C4F88" w:rsidP="00C951AB">
      <w:pPr>
        <w:numPr>
          <w:ilvl w:val="0"/>
          <w:numId w:val="4"/>
        </w:numPr>
        <w:spacing w:after="240" w:line="300" w:lineRule="atLeast"/>
        <w:ind w:right="0"/>
        <w:jc w:val="left"/>
        <w:rPr>
          <w:rFonts w:ascii="Verdana" w:eastAsia="Times New Roman" w:hAnsi="Verdana" w:cs="Times New Roman"/>
          <w:lang w:val="en-GB" w:eastAsia="en-GB"/>
        </w:rPr>
      </w:pPr>
      <w:r>
        <w:rPr>
          <w:rFonts w:ascii="Verdana" w:eastAsia="Times New Roman" w:hAnsi="Verdana" w:cs="Times New Roman"/>
          <w:lang w:val="en-GB" w:eastAsia="en-GB"/>
        </w:rPr>
        <w:lastRenderedPageBreak/>
        <w:t xml:space="preserve">The long timescale for repayments means that we should expect a higher proportion of home students to emigrate before completing their repayments. Repayments for these former students </w:t>
      </w:r>
      <w:r w:rsidR="006F549A">
        <w:rPr>
          <w:rFonts w:ascii="Verdana" w:eastAsia="Times New Roman" w:hAnsi="Verdana" w:cs="Times New Roman"/>
          <w:lang w:val="en-GB" w:eastAsia="en-GB"/>
        </w:rPr>
        <w:t xml:space="preserve">also </w:t>
      </w:r>
      <w:r>
        <w:rPr>
          <w:rFonts w:ascii="Verdana" w:eastAsia="Times New Roman" w:hAnsi="Verdana" w:cs="Times New Roman"/>
          <w:lang w:val="en-GB" w:eastAsia="en-GB"/>
        </w:rPr>
        <w:t>cannot be collected by HMCR.</w:t>
      </w:r>
    </w:p>
    <w:p w:rsidR="0035643C" w:rsidRPr="0035643C" w:rsidRDefault="001C4F88" w:rsidP="0035643C">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The new terms of the loan, in particular the real interest rates, may affect the proportion paying ‘up-front’ or repaying at an accelerated rate, and our expectation is that the higher interest rates will lead to an increase in both of these. </w:t>
      </w:r>
      <w:r w:rsidR="00830384">
        <w:rPr>
          <w:rFonts w:ascii="Verdana" w:eastAsia="Times New Roman" w:hAnsi="Verdana" w:cs="Times New Roman"/>
          <w:lang w:val="en-GB" w:eastAsia="en-GB"/>
        </w:rPr>
        <w:t xml:space="preserve">(The current loan rate for student starting in October 2012 </w:t>
      </w:r>
      <w:r w:rsidR="005267E5">
        <w:rPr>
          <w:rFonts w:ascii="Verdana" w:eastAsia="Times New Roman" w:hAnsi="Verdana" w:cs="Times New Roman"/>
          <w:lang w:val="en-GB" w:eastAsia="en-GB"/>
        </w:rPr>
        <w:t xml:space="preserve">could be </w:t>
      </w:r>
      <w:r w:rsidR="00830384">
        <w:rPr>
          <w:rFonts w:ascii="Verdana" w:eastAsia="Times New Roman" w:hAnsi="Verdana" w:cs="Times New Roman"/>
          <w:lang w:val="en-GB" w:eastAsia="en-GB"/>
        </w:rPr>
        <w:t xml:space="preserve">about </w:t>
      </w:r>
      <w:r w:rsidR="006B35BE">
        <w:rPr>
          <w:rFonts w:ascii="Verdana" w:eastAsia="Times New Roman" w:hAnsi="Verdana" w:cs="Times New Roman"/>
          <w:lang w:val="en-GB" w:eastAsia="en-GB"/>
        </w:rPr>
        <w:t xml:space="preserve">6 </w:t>
      </w:r>
      <w:r w:rsidR="00830384">
        <w:rPr>
          <w:rFonts w:ascii="Verdana" w:eastAsia="Times New Roman" w:hAnsi="Verdana" w:cs="Times New Roman"/>
          <w:lang w:val="en-GB" w:eastAsia="en-GB"/>
        </w:rPr>
        <w:t xml:space="preserve">per cent, far higher than available for a savings account, and even higher than the best buy mortgages.) </w:t>
      </w:r>
      <w:r>
        <w:rPr>
          <w:rFonts w:ascii="Verdana" w:eastAsia="Times New Roman" w:hAnsi="Verdana" w:cs="Times New Roman"/>
          <w:lang w:val="en-GB" w:eastAsia="en-GB"/>
        </w:rPr>
        <w:t xml:space="preserve">The most likely impact of </w:t>
      </w:r>
      <w:r w:rsidR="006A3ED1">
        <w:rPr>
          <w:rFonts w:ascii="Verdana" w:eastAsia="Times New Roman" w:hAnsi="Verdana" w:cs="Times New Roman"/>
          <w:lang w:val="en-GB" w:eastAsia="en-GB"/>
        </w:rPr>
        <w:t>this</w:t>
      </w:r>
      <w:r>
        <w:rPr>
          <w:rFonts w:ascii="Verdana" w:eastAsia="Times New Roman" w:hAnsi="Verdana" w:cs="Times New Roman"/>
          <w:lang w:val="en-GB" w:eastAsia="en-GB"/>
        </w:rPr>
        <w:t xml:space="preserve"> would be to reduce </w:t>
      </w:r>
      <w:r w:rsidR="00AD14F9">
        <w:rPr>
          <w:rFonts w:ascii="Verdana" w:eastAsia="Times New Roman" w:hAnsi="Verdana" w:cs="Times New Roman"/>
          <w:lang w:val="en-GB" w:eastAsia="en-GB"/>
        </w:rPr>
        <w:t>the G</w:t>
      </w:r>
      <w:r>
        <w:rPr>
          <w:rFonts w:ascii="Verdana" w:eastAsia="Times New Roman" w:hAnsi="Verdana" w:cs="Times New Roman"/>
          <w:lang w:val="en-GB" w:eastAsia="en-GB"/>
        </w:rPr>
        <w:t xml:space="preserve">overnment’s costs, but not necessarily so. If </w:t>
      </w:r>
      <w:r w:rsidR="0035643C">
        <w:rPr>
          <w:rFonts w:ascii="Verdana" w:eastAsia="Times New Roman" w:hAnsi="Verdana" w:cs="Times New Roman"/>
          <w:lang w:val="en-GB" w:eastAsia="en-GB"/>
        </w:rPr>
        <w:t>up-front payments are made disproportionately from those future high earners, and if accelerated repayments are mostly made by former students as their earnings put them in the high interest level</w:t>
      </w:r>
      <w:r w:rsidR="00AC4549">
        <w:rPr>
          <w:rFonts w:ascii="Verdana" w:eastAsia="Times New Roman" w:hAnsi="Verdana" w:cs="Times New Roman"/>
          <w:lang w:val="en-GB" w:eastAsia="en-GB"/>
        </w:rPr>
        <w:t>, the income generat</w:t>
      </w:r>
      <w:r w:rsidR="006A3ED1">
        <w:rPr>
          <w:rFonts w:ascii="Verdana" w:eastAsia="Times New Roman" w:hAnsi="Verdana" w:cs="Times New Roman"/>
          <w:lang w:val="en-GB" w:eastAsia="en-GB"/>
        </w:rPr>
        <w:t>ed</w:t>
      </w:r>
      <w:r w:rsidR="00AC4549">
        <w:rPr>
          <w:rFonts w:ascii="Verdana" w:eastAsia="Times New Roman" w:hAnsi="Verdana" w:cs="Times New Roman"/>
          <w:lang w:val="en-GB" w:eastAsia="en-GB"/>
        </w:rPr>
        <w:t xml:space="preserve"> from these high earners would be reduced, increasing the cost of the scheme overall</w:t>
      </w:r>
      <w:r w:rsidR="00AD14F9">
        <w:rPr>
          <w:rStyle w:val="FootnoteReference"/>
          <w:rFonts w:ascii="Verdana" w:eastAsia="Times New Roman" w:hAnsi="Verdana"/>
          <w:lang w:val="en-GB" w:eastAsia="en-GB"/>
        </w:rPr>
        <w:footnoteReference w:id="5"/>
      </w:r>
      <w:r w:rsidR="00AC4549">
        <w:rPr>
          <w:rFonts w:ascii="Verdana" w:eastAsia="Times New Roman" w:hAnsi="Verdana" w:cs="Times New Roman"/>
          <w:lang w:val="en-GB" w:eastAsia="en-GB"/>
        </w:rPr>
        <w:t xml:space="preserve">. </w:t>
      </w:r>
      <w:r w:rsidR="00AD14F9">
        <w:rPr>
          <w:rFonts w:ascii="Verdana" w:eastAsia="Times New Roman" w:hAnsi="Verdana" w:cs="Times New Roman"/>
          <w:lang w:val="en-GB" w:eastAsia="en-GB"/>
        </w:rPr>
        <w:t xml:space="preserve"> As early repayments will be made by those from the wealthiest backgrounds, this also has implications for social equity, but this is not considered here.</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The White Paper quoted a figure for the RAB cost of 30 per cent, though the BIS costings published in conjunction with the White Paper used 32 per cent for full-time student loans and 65 per cent for part-time. The discrepancy has never been explained, although ministers have continued to speak of a 30 per cent RAB cost. As we pointed out last year, the difference between a RAB cost of 30 per cent and </w:t>
      </w:r>
      <w:r w:rsidR="006B35BE">
        <w:rPr>
          <w:rFonts w:ascii="Verdana" w:eastAsia="Times New Roman" w:hAnsi="Verdana" w:cs="Times New Roman"/>
          <w:lang w:val="en-GB" w:eastAsia="en-GB"/>
        </w:rPr>
        <w:t xml:space="preserve">one of </w:t>
      </w:r>
      <w:r w:rsidRPr="001B0AD0">
        <w:rPr>
          <w:rFonts w:ascii="Verdana" w:eastAsia="Times New Roman" w:hAnsi="Verdana" w:cs="Times New Roman"/>
          <w:lang w:val="en-GB" w:eastAsia="en-GB"/>
        </w:rPr>
        <w:t xml:space="preserve">32 per cent amounts to </w:t>
      </w:r>
      <w:r w:rsidRPr="00AF0329">
        <w:rPr>
          <w:rFonts w:ascii="Verdana" w:hAnsi="Verdana"/>
          <w:lang w:val="en-GB"/>
        </w:rPr>
        <w:t>£</w:t>
      </w:r>
      <w:r w:rsidR="006F549A" w:rsidRPr="006F549A">
        <w:rPr>
          <w:rFonts w:ascii="Verdana" w:eastAsia="Times New Roman" w:hAnsi="Verdana" w:cs="Times New Roman"/>
          <w:lang w:val="en-GB" w:eastAsia="en-GB"/>
        </w:rPr>
        <w:t>190</w:t>
      </w:r>
      <w:r w:rsidRPr="001B0AD0">
        <w:rPr>
          <w:rFonts w:ascii="Verdana" w:eastAsia="Times New Roman" w:hAnsi="Verdana" w:cs="Times New Roman"/>
          <w:lang w:val="en-GB" w:eastAsia="en-GB"/>
        </w:rPr>
        <w:t xml:space="preserve"> million per annum. The current official estimate, taking account of the upward pressures on the RAB discussed below (the reduced assumption about future earnings for example) stands at 32 per cent </w:t>
      </w:r>
      <w:r w:rsidR="002F0E79">
        <w:rPr>
          <w:rFonts w:ascii="Verdana" w:eastAsia="Times New Roman" w:hAnsi="Verdana" w:cs="Times New Roman"/>
          <w:lang w:val="en-GB" w:eastAsia="en-GB"/>
        </w:rPr>
        <w:t>(BIS, 2012)</w:t>
      </w:r>
      <w:r w:rsidRPr="001B0AD0">
        <w:rPr>
          <w:rFonts w:ascii="Verdana" w:eastAsia="Times New Roman" w:hAnsi="Verdana" w:cs="Times New Roman"/>
          <w:lang w:val="en-GB" w:eastAsia="en-GB"/>
        </w:rPr>
        <w:t xml:space="preserve">. For reasons discussed below, this remains optimistic, and seriously understates the </w:t>
      </w:r>
      <w:r w:rsidR="00F9391B">
        <w:rPr>
          <w:rFonts w:ascii="Verdana" w:eastAsia="Times New Roman" w:hAnsi="Verdana" w:cs="Times New Roman"/>
          <w:lang w:val="en-GB" w:eastAsia="en-GB"/>
        </w:rPr>
        <w:t xml:space="preserve">likely </w:t>
      </w:r>
      <w:r w:rsidRPr="001B0AD0">
        <w:rPr>
          <w:rFonts w:ascii="Verdana" w:eastAsia="Times New Roman" w:hAnsi="Verdana" w:cs="Times New Roman"/>
          <w:lang w:val="en-GB" w:eastAsia="en-GB"/>
        </w:rPr>
        <w:t>cost of the Government's policies.</w:t>
      </w:r>
      <w:r w:rsidRPr="001B0AD0" w:rsidDel="00F43102">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Since the Government first announced its proposals for the reform of the financing of higher education in November 2009, we have consistently pointed out that the cost of the policy is likely to be higher than it admitted.  Initially, when the </w:t>
      </w:r>
      <w:r w:rsidR="00802F2F" w:rsidRPr="00802F2F">
        <w:rPr>
          <w:rFonts w:ascii="Verdana" w:eastAsia="Times New Roman" w:hAnsi="Verdana" w:cs="Times New Roman"/>
          <w:lang w:val="en-GB" w:eastAsia="en-GB"/>
        </w:rPr>
        <w:t>Government’s</w:t>
      </w:r>
      <w:r w:rsidRPr="001B0AD0">
        <w:rPr>
          <w:rFonts w:ascii="Verdana" w:eastAsia="Times New Roman" w:hAnsi="Verdana" w:cs="Times New Roman"/>
          <w:lang w:val="en-GB" w:eastAsia="en-GB"/>
        </w:rPr>
        <w:t xml:space="preserve"> plans were first announced, we pointed out the implausibly high average salaries that followed from their assumptions, in particular that the average male graduate would earn £99,500 per year in real terms 30 years after graduation. </w:t>
      </w:r>
      <w:r w:rsidR="007F24AB" w:rsidRPr="00802F2F">
        <w:rPr>
          <w:rFonts w:ascii="Verdana" w:eastAsia="Times New Roman" w:hAnsi="Verdana" w:cs="Times New Roman"/>
          <w:lang w:val="en-GB" w:eastAsia="en-GB"/>
        </w:rPr>
        <w:t>As described above w</w:t>
      </w:r>
      <w:r w:rsidRPr="00802F2F">
        <w:rPr>
          <w:rFonts w:ascii="Verdana" w:eastAsia="Times New Roman" w:hAnsi="Verdana" w:cs="Times New Roman"/>
          <w:lang w:val="en-GB" w:eastAsia="en-GB"/>
        </w:rPr>
        <w:t>e</w:t>
      </w:r>
      <w:r w:rsidRPr="001B0AD0">
        <w:rPr>
          <w:rFonts w:ascii="Verdana" w:eastAsia="Times New Roman" w:hAnsi="Verdana" w:cs="Times New Roman"/>
          <w:lang w:val="en-GB" w:eastAsia="en-GB"/>
        </w:rPr>
        <w:t xml:space="preserve"> also challenged the assumption that </w:t>
      </w:r>
      <w:r w:rsidRPr="001B0AD0">
        <w:rPr>
          <w:rFonts w:ascii="Verdana" w:eastAsia="Times New Roman" w:hAnsi="Verdana" w:cs="Times New Roman"/>
          <w:lang w:val="en-GB" w:eastAsia="en-GB"/>
        </w:rPr>
        <w:lastRenderedPageBreak/>
        <w:t xml:space="preserve">£9000 fees would be exceptional. </w:t>
      </w:r>
      <w:r w:rsidR="006A3ED1">
        <w:rPr>
          <w:rFonts w:ascii="Verdana" w:eastAsia="Times New Roman" w:hAnsi="Verdana" w:cs="Times New Roman"/>
          <w:lang w:val="en-GB" w:eastAsia="en-GB"/>
        </w:rPr>
        <w:t xml:space="preserve"> T</w:t>
      </w:r>
      <w:r w:rsidR="008F1141">
        <w:rPr>
          <w:rFonts w:ascii="Verdana" w:eastAsia="Times New Roman" w:hAnsi="Verdana" w:cs="Times New Roman"/>
          <w:lang w:val="en-GB" w:eastAsia="en-GB"/>
        </w:rPr>
        <w:t>h</w:t>
      </w:r>
      <w:r w:rsidR="006A3ED1">
        <w:rPr>
          <w:rFonts w:ascii="Verdana" w:eastAsia="Times New Roman" w:hAnsi="Verdana" w:cs="Times New Roman"/>
          <w:lang w:val="en-GB" w:eastAsia="en-GB"/>
        </w:rPr>
        <w:t>is is important because the higher the fee the greater the loan cost.</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As far as average earnings are concerned, BIS have now developed a new model to estimate the RAB </w:t>
      </w:r>
      <w:r w:rsidR="00707CC3">
        <w:rPr>
          <w:rFonts w:ascii="Verdana" w:eastAsia="Times New Roman" w:hAnsi="Verdana" w:cs="Times New Roman"/>
          <w:lang w:val="en-GB" w:eastAsia="en-GB"/>
        </w:rPr>
        <w:t>c</w:t>
      </w:r>
      <w:r w:rsidR="00707CC3" w:rsidRPr="00707CC3">
        <w:rPr>
          <w:rFonts w:ascii="Verdana" w:eastAsia="Times New Roman" w:hAnsi="Verdana" w:cs="Times New Roman"/>
          <w:lang w:val="en-GB" w:eastAsia="en-GB"/>
        </w:rPr>
        <w:t>ost</w:t>
      </w:r>
      <w:r w:rsidRPr="001B0AD0">
        <w:rPr>
          <w:rFonts w:ascii="Verdana" w:eastAsia="Times New Roman" w:hAnsi="Verdana" w:cs="Times New Roman"/>
          <w:lang w:val="en-GB" w:eastAsia="en-GB"/>
        </w:rPr>
        <w:t xml:space="preserve">, and have moved from the previous Treasury assumption </w:t>
      </w:r>
      <w:r w:rsidR="006A3ED1">
        <w:rPr>
          <w:rFonts w:ascii="Verdana" w:eastAsia="Times New Roman" w:hAnsi="Verdana" w:cs="Times New Roman"/>
          <w:lang w:val="en-GB" w:eastAsia="en-GB"/>
        </w:rPr>
        <w:t xml:space="preserve">of an average increase in earnings of 2 per cent per year </w:t>
      </w:r>
      <w:r w:rsidRPr="001B0AD0">
        <w:rPr>
          <w:rFonts w:ascii="Verdana" w:eastAsia="Times New Roman" w:hAnsi="Verdana" w:cs="Times New Roman"/>
          <w:lang w:val="en-GB" w:eastAsia="en-GB"/>
        </w:rPr>
        <w:t xml:space="preserve">to the latest OBR long term projections </w:t>
      </w:r>
      <w:r w:rsidR="005267E5">
        <w:rPr>
          <w:rFonts w:ascii="Verdana" w:eastAsia="Times New Roman" w:hAnsi="Verdana" w:cs="Times New Roman"/>
          <w:lang w:val="en-GB" w:eastAsia="en-GB"/>
        </w:rPr>
        <w:t>which can be interpreted</w:t>
      </w:r>
      <w:r w:rsidR="00F64266">
        <w:rPr>
          <w:rFonts w:ascii="Verdana" w:eastAsia="Times New Roman" w:hAnsi="Verdana" w:cs="Times New Roman"/>
          <w:lang w:val="en-GB" w:eastAsia="en-GB"/>
        </w:rPr>
        <w:t xml:space="preserve"> as</w:t>
      </w:r>
      <w:r w:rsidRPr="001B0AD0">
        <w:rPr>
          <w:rFonts w:ascii="Verdana" w:eastAsia="Times New Roman" w:hAnsi="Verdana" w:cs="Times New Roman"/>
          <w:lang w:val="en-GB" w:eastAsia="en-GB"/>
        </w:rPr>
        <w:t xml:space="preserve"> </w:t>
      </w:r>
      <w:r w:rsidR="006A3ED1">
        <w:rPr>
          <w:rFonts w:ascii="Verdana" w:eastAsia="Times New Roman" w:hAnsi="Verdana" w:cs="Times New Roman"/>
          <w:lang w:val="en-GB" w:eastAsia="en-GB"/>
        </w:rPr>
        <w:t>1.3 pe</w:t>
      </w:r>
      <w:r w:rsidR="008F1141">
        <w:rPr>
          <w:rFonts w:ascii="Verdana" w:eastAsia="Times New Roman" w:hAnsi="Verdana" w:cs="Times New Roman"/>
          <w:lang w:val="en-GB" w:eastAsia="en-GB"/>
        </w:rPr>
        <w:t>r</w:t>
      </w:r>
      <w:r w:rsidR="006A3ED1">
        <w:rPr>
          <w:rFonts w:ascii="Verdana" w:eastAsia="Times New Roman" w:hAnsi="Verdana" w:cs="Times New Roman"/>
          <w:lang w:val="en-GB" w:eastAsia="en-GB"/>
        </w:rPr>
        <w:t xml:space="preserve"> cent</w:t>
      </w:r>
      <w:r w:rsidRPr="001B0AD0">
        <w:rPr>
          <w:rFonts w:ascii="Verdana" w:eastAsia="Times New Roman" w:hAnsi="Verdana" w:cs="Times New Roman"/>
          <w:lang w:val="en-GB" w:eastAsia="en-GB"/>
        </w:rPr>
        <w:t>. This, with other changes, means that male graduates at the end of the repayment period are expected to earn  £7</w:t>
      </w:r>
      <w:r w:rsidR="008E5D3D">
        <w:rPr>
          <w:rFonts w:ascii="Verdana" w:eastAsia="Times New Roman" w:hAnsi="Verdana" w:cs="Times New Roman"/>
          <w:lang w:val="en-GB" w:eastAsia="en-GB"/>
        </w:rPr>
        <w:t>6,</w:t>
      </w:r>
      <w:r w:rsidRPr="001B0AD0">
        <w:rPr>
          <w:rFonts w:ascii="Verdana" w:eastAsia="Times New Roman" w:hAnsi="Verdana" w:cs="Times New Roman"/>
          <w:lang w:val="en-GB" w:eastAsia="en-GB"/>
        </w:rPr>
        <w:t xml:space="preserve">500 pa on average, rather than £99,500 pa. Though still very high, this is a move in the direction of greater realism. </w:t>
      </w:r>
    </w:p>
    <w:p w:rsid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The impact on the RAB estimate of the new assumption about long term average earnings is not as great as might be imagined because the repayment thresholds change with average earnings</w:t>
      </w:r>
      <w:r w:rsidR="001014AD">
        <w:rPr>
          <w:rFonts w:ascii="Verdana" w:eastAsia="Times New Roman" w:hAnsi="Verdana" w:cs="Times New Roman"/>
          <w:lang w:val="en-GB" w:eastAsia="en-GB"/>
        </w:rPr>
        <w:t xml:space="preserve"> annually</w:t>
      </w:r>
      <w:r w:rsidRPr="001B0AD0">
        <w:rPr>
          <w:rFonts w:ascii="Verdana" w:eastAsia="Times New Roman" w:hAnsi="Verdana" w:cs="Times New Roman"/>
          <w:lang w:val="en-GB" w:eastAsia="en-GB"/>
        </w:rPr>
        <w:t xml:space="preserve">.  We estimate that this change increases the RAB costs by </w:t>
      </w:r>
      <w:r w:rsidR="008E5D3D">
        <w:rPr>
          <w:rFonts w:ascii="Verdana" w:eastAsia="Times New Roman" w:hAnsi="Verdana" w:cs="Times New Roman"/>
          <w:lang w:val="en-GB" w:eastAsia="en-GB"/>
        </w:rPr>
        <w:t>1.7</w:t>
      </w:r>
      <w:r w:rsidRPr="001B0AD0">
        <w:rPr>
          <w:rFonts w:ascii="Verdana" w:eastAsia="Times New Roman" w:hAnsi="Verdana" w:cs="Times New Roman"/>
          <w:lang w:val="en-GB" w:eastAsia="en-GB"/>
        </w:rPr>
        <w:t xml:space="preserve"> percentage points. </w:t>
      </w:r>
    </w:p>
    <w:p w:rsidR="001B0AD0" w:rsidRPr="001B0AD0" w:rsidRDefault="00865F8E" w:rsidP="001B0AD0">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Though the new BIS model reduces the long term average earnings growth assumption, it, like earlier models assumes that that growth applies equally across all earnings levels. </w:t>
      </w:r>
      <w:r w:rsidRPr="001B0AD0">
        <w:rPr>
          <w:rFonts w:ascii="Verdana" w:eastAsia="Times New Roman" w:hAnsi="Verdana" w:cs="Times New Roman"/>
          <w:lang w:val="en-GB" w:eastAsia="en-GB"/>
        </w:rPr>
        <w:t xml:space="preserve">We have modelled various </w:t>
      </w:r>
      <w:r>
        <w:rPr>
          <w:rFonts w:ascii="Verdana" w:eastAsia="Times New Roman" w:hAnsi="Verdana" w:cs="Times New Roman"/>
          <w:lang w:val="en-GB" w:eastAsia="en-GB"/>
        </w:rPr>
        <w:t xml:space="preserve">alternative </w:t>
      </w:r>
      <w:r w:rsidRPr="001B0AD0">
        <w:rPr>
          <w:rFonts w:ascii="Verdana" w:eastAsia="Times New Roman" w:hAnsi="Verdana" w:cs="Times New Roman"/>
          <w:lang w:val="en-GB" w:eastAsia="en-GB"/>
        </w:rPr>
        <w:t xml:space="preserve">scenarios of the distribution of salary increases, including one where 75 per cent of the salary increases are achieved by </w:t>
      </w:r>
      <w:r w:rsidR="00707CC3">
        <w:rPr>
          <w:rFonts w:ascii="Verdana" w:eastAsia="Times New Roman" w:hAnsi="Verdana" w:cs="Times New Roman"/>
          <w:lang w:val="en-GB" w:eastAsia="en-GB"/>
        </w:rPr>
        <w:t xml:space="preserve">the </w:t>
      </w:r>
      <w:r w:rsidRPr="001B0AD0">
        <w:rPr>
          <w:rFonts w:ascii="Verdana" w:eastAsia="Times New Roman" w:hAnsi="Verdana" w:cs="Times New Roman"/>
          <w:lang w:val="en-GB" w:eastAsia="en-GB"/>
        </w:rPr>
        <w:t xml:space="preserve">top </w:t>
      </w:r>
      <w:r w:rsidR="008E5D3D">
        <w:rPr>
          <w:rFonts w:ascii="Verdana" w:eastAsia="Times New Roman" w:hAnsi="Verdana" w:cs="Times New Roman"/>
          <w:lang w:val="en-GB" w:eastAsia="en-GB"/>
        </w:rPr>
        <w:t>20</w:t>
      </w:r>
      <w:r>
        <w:rPr>
          <w:rFonts w:ascii="Verdana" w:eastAsia="Times New Roman" w:hAnsi="Verdana" w:cs="Times New Roman"/>
          <w:lang w:val="en-GB" w:eastAsia="en-GB"/>
        </w:rPr>
        <w:t xml:space="preserve"> per cent of </w:t>
      </w:r>
      <w:r w:rsidRPr="001B0AD0">
        <w:rPr>
          <w:rFonts w:ascii="Verdana" w:eastAsia="Times New Roman" w:hAnsi="Verdana" w:cs="Times New Roman"/>
          <w:lang w:val="en-GB" w:eastAsia="en-GB"/>
        </w:rPr>
        <w:t xml:space="preserve">earners, and 25 per cent of the increases are spread equally among the </w:t>
      </w:r>
      <w:r w:rsidR="008E5D3D">
        <w:rPr>
          <w:rFonts w:ascii="Verdana" w:eastAsia="Times New Roman" w:hAnsi="Verdana" w:cs="Times New Roman"/>
          <w:lang w:val="en-GB" w:eastAsia="en-GB"/>
        </w:rPr>
        <w:t xml:space="preserve">others. </w:t>
      </w:r>
      <w:r w:rsidRPr="001B0AD0">
        <w:rPr>
          <w:rFonts w:ascii="Verdana" w:eastAsia="Times New Roman" w:hAnsi="Verdana" w:cs="Times New Roman"/>
          <w:lang w:val="en-GB" w:eastAsia="en-GB"/>
        </w:rPr>
        <w:t xml:space="preserve">On that scenario the RAB cost increases by a further </w:t>
      </w:r>
      <w:r w:rsidR="008E5D3D">
        <w:rPr>
          <w:rFonts w:ascii="Verdana" w:eastAsia="Times New Roman" w:hAnsi="Verdana" w:cs="Times New Roman"/>
          <w:lang w:val="en-GB" w:eastAsia="en-GB"/>
        </w:rPr>
        <w:t>4.</w:t>
      </w:r>
      <w:r w:rsidR="001B0AD0" w:rsidRPr="001B0AD0">
        <w:rPr>
          <w:rFonts w:ascii="Verdana" w:eastAsia="Times New Roman" w:hAnsi="Verdana" w:cs="Times New Roman"/>
          <w:lang w:val="en-GB" w:eastAsia="en-GB"/>
        </w:rPr>
        <w:t>2 percentage points.</w:t>
      </w:r>
      <w:r w:rsidR="00A50D08">
        <w:rPr>
          <w:rFonts w:ascii="Verdana" w:eastAsia="Times New Roman" w:hAnsi="Verdana" w:cs="Times New Roman"/>
          <w:lang w:val="en-GB" w:eastAsia="en-GB"/>
        </w:rPr>
        <w:t xml:space="preserve"> This may seem counter-intuitive; the RAB increase is greater than reducing the long term growth to zero for everyone. But this is because a redistribution of earnings leaves the average, and the thresholds</w:t>
      </w:r>
      <w:r w:rsidR="00FE0956">
        <w:rPr>
          <w:rFonts w:ascii="Verdana" w:eastAsia="Times New Roman" w:hAnsi="Verdana" w:cs="Times New Roman"/>
          <w:lang w:val="en-GB" w:eastAsia="en-GB"/>
        </w:rPr>
        <w:t>,</w:t>
      </w:r>
      <w:r w:rsidR="00A50D08">
        <w:rPr>
          <w:rFonts w:ascii="Verdana" w:eastAsia="Times New Roman" w:hAnsi="Verdana" w:cs="Times New Roman"/>
          <w:lang w:val="en-GB" w:eastAsia="en-GB"/>
        </w:rPr>
        <w:t xml:space="preserve"> unchanged. This is something we return to in considering the career growth in earnings.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The new model continues to assume that the average fee loan</w:t>
      </w:r>
      <w:r w:rsidR="00707CC3">
        <w:rPr>
          <w:rFonts w:ascii="Verdana" w:eastAsia="Times New Roman" w:hAnsi="Verdana" w:cs="Times New Roman"/>
          <w:lang w:val="en-GB" w:eastAsia="en-GB"/>
        </w:rPr>
        <w:t>, net of fee waivers,</w:t>
      </w:r>
      <w:r w:rsidRPr="001B0AD0">
        <w:rPr>
          <w:rFonts w:ascii="Verdana" w:eastAsia="Times New Roman" w:hAnsi="Verdana" w:cs="Times New Roman"/>
          <w:lang w:val="en-GB" w:eastAsia="en-GB"/>
        </w:rPr>
        <w:t xml:space="preserve"> is about £7500 (actually £7579), despite the evidence </w:t>
      </w:r>
      <w:r w:rsidR="001014AD">
        <w:rPr>
          <w:rFonts w:ascii="Verdana" w:eastAsia="Times New Roman" w:hAnsi="Verdana" w:cs="Times New Roman"/>
          <w:lang w:val="en-GB" w:eastAsia="en-GB"/>
        </w:rPr>
        <w:t xml:space="preserve">using data from OFFA </w:t>
      </w:r>
      <w:r w:rsidRPr="001B0AD0">
        <w:rPr>
          <w:rFonts w:ascii="Verdana" w:eastAsia="Times New Roman" w:hAnsi="Verdana" w:cs="Times New Roman"/>
          <w:lang w:val="en-GB" w:eastAsia="en-GB"/>
        </w:rPr>
        <w:t xml:space="preserve">that average fee levels are substantially higher than this. </w:t>
      </w:r>
      <w:r w:rsidR="005279AA">
        <w:rPr>
          <w:rFonts w:ascii="Verdana" w:eastAsia="Times New Roman" w:hAnsi="Verdana" w:cs="Times New Roman"/>
          <w:lang w:val="en-GB" w:eastAsia="en-GB"/>
        </w:rPr>
        <w:t>Our</w:t>
      </w:r>
      <w:r w:rsidR="001014AD">
        <w:rPr>
          <w:rFonts w:ascii="Verdana" w:eastAsia="Times New Roman" w:hAnsi="Verdana" w:cs="Times New Roman"/>
          <w:lang w:val="en-GB" w:eastAsia="en-GB"/>
        </w:rPr>
        <w:t xml:space="preserve"> most recent estimate was £</w:t>
      </w:r>
      <w:r w:rsidR="005279AA">
        <w:rPr>
          <w:rFonts w:ascii="Verdana" w:eastAsia="Times New Roman" w:hAnsi="Verdana" w:cs="Times New Roman"/>
          <w:lang w:val="en-GB" w:eastAsia="en-GB"/>
        </w:rPr>
        <w:t>8234</w:t>
      </w:r>
      <w:r w:rsidRPr="001B0AD0">
        <w:rPr>
          <w:rFonts w:ascii="Verdana" w:eastAsia="Times New Roman" w:hAnsi="Verdana" w:cs="Times New Roman"/>
          <w:lang w:val="en-GB" w:eastAsia="en-GB"/>
        </w:rPr>
        <w:t xml:space="preserve">. The Government has decided that rather than revise their assumptions with every new estimate of fee levels, </w:t>
      </w:r>
      <w:r w:rsidR="00707CC3">
        <w:rPr>
          <w:rFonts w:ascii="Verdana" w:eastAsia="Times New Roman" w:hAnsi="Verdana" w:cs="Times New Roman"/>
          <w:lang w:val="en-GB" w:eastAsia="en-GB"/>
        </w:rPr>
        <w:t>it</w:t>
      </w:r>
      <w:r w:rsidR="00707CC3"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will make changes, if required, when the level of fee loans </w:t>
      </w:r>
      <w:r w:rsidR="00707CC3">
        <w:rPr>
          <w:rFonts w:ascii="Verdana" w:eastAsia="Times New Roman" w:hAnsi="Verdana" w:cs="Times New Roman"/>
          <w:lang w:val="en-GB" w:eastAsia="en-GB"/>
        </w:rPr>
        <w:t>is</w:t>
      </w:r>
      <w:r w:rsidR="00707CC3"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known for certain, sometime towards the end of 2013. It is expected that the final revisions will include late information about fee waivers and reduced loans as a result of non-completion. In itself the decision not to update the assumption about fees and loans until final information is available may be a reasonable one, but it must be understood that it leads to a RAB cost that is significantly lower than it should be.  Our current estimate of the average </w:t>
      </w:r>
      <w:r w:rsidR="00707CC3">
        <w:rPr>
          <w:rFonts w:ascii="Verdana" w:eastAsia="Times New Roman" w:hAnsi="Verdana" w:cs="Times New Roman"/>
          <w:lang w:val="en-GB" w:eastAsia="en-GB"/>
        </w:rPr>
        <w:t xml:space="preserve">net </w:t>
      </w:r>
      <w:r w:rsidRPr="001B0AD0">
        <w:rPr>
          <w:rFonts w:ascii="Verdana" w:eastAsia="Times New Roman" w:hAnsi="Verdana" w:cs="Times New Roman"/>
          <w:lang w:val="en-GB" w:eastAsia="en-GB"/>
        </w:rPr>
        <w:t>fee – £</w:t>
      </w:r>
      <w:r w:rsidR="005279AA">
        <w:rPr>
          <w:rFonts w:ascii="Verdana" w:eastAsia="Times New Roman" w:hAnsi="Verdana" w:cs="Times New Roman"/>
          <w:lang w:val="en-GB" w:eastAsia="en-GB"/>
        </w:rPr>
        <w:t>8234</w:t>
      </w:r>
      <w:r w:rsidRPr="001B0AD0">
        <w:rPr>
          <w:rFonts w:ascii="Verdana" w:eastAsia="Times New Roman" w:hAnsi="Verdana" w:cs="Times New Roman"/>
          <w:lang w:val="en-GB" w:eastAsia="en-GB"/>
        </w:rPr>
        <w:t xml:space="preserve"> – would add </w:t>
      </w:r>
      <w:r w:rsidR="0090078A">
        <w:rPr>
          <w:rFonts w:ascii="Verdana" w:eastAsia="Times New Roman" w:hAnsi="Verdana" w:cs="Times New Roman"/>
          <w:lang w:val="en-GB" w:eastAsia="en-GB"/>
        </w:rPr>
        <w:t>1.4</w:t>
      </w:r>
      <w:r w:rsidRPr="001B0AD0">
        <w:rPr>
          <w:rFonts w:ascii="Verdana" w:eastAsia="Times New Roman" w:hAnsi="Verdana" w:cs="Times New Roman"/>
          <w:lang w:val="en-GB" w:eastAsia="en-GB"/>
        </w:rPr>
        <w:t xml:space="preserve"> per cent to the RAB </w:t>
      </w:r>
      <w:r w:rsidR="005279AA">
        <w:rPr>
          <w:rFonts w:ascii="Verdana" w:eastAsia="Times New Roman" w:hAnsi="Verdana" w:cs="Times New Roman"/>
          <w:lang w:val="en-GB" w:eastAsia="en-GB"/>
        </w:rPr>
        <w:t>cost</w:t>
      </w:r>
      <w:r w:rsidRPr="001B0AD0">
        <w:rPr>
          <w:rFonts w:ascii="Verdana" w:eastAsia="Times New Roman" w:hAnsi="Verdana" w:cs="Times New Roman"/>
          <w:lang w:val="en-GB" w:eastAsia="en-GB"/>
        </w:rPr>
        <w:t xml:space="preserve">, other things being equal.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lastRenderedPageBreak/>
        <w:t>So both the reduced long term earnings assumptions</w:t>
      </w:r>
      <w:r w:rsidR="001014AD">
        <w:rPr>
          <w:rFonts w:ascii="Verdana" w:eastAsia="Times New Roman" w:hAnsi="Verdana" w:cs="Times New Roman"/>
          <w:lang w:val="en-GB" w:eastAsia="en-GB"/>
        </w:rPr>
        <w:t xml:space="preserve"> made for the latest BIS model</w:t>
      </w:r>
      <w:r w:rsidRPr="001B0AD0">
        <w:rPr>
          <w:rFonts w:ascii="Verdana" w:eastAsia="Times New Roman" w:hAnsi="Verdana" w:cs="Times New Roman"/>
          <w:lang w:val="en-GB" w:eastAsia="en-GB"/>
        </w:rPr>
        <w:t>, and the higher level of fees tha</w:t>
      </w:r>
      <w:r w:rsidR="007209A5">
        <w:rPr>
          <w:rFonts w:ascii="Verdana" w:eastAsia="Times New Roman" w:hAnsi="Verdana" w:cs="Times New Roman"/>
          <w:lang w:val="en-GB" w:eastAsia="en-GB"/>
        </w:rPr>
        <w:t>n are assumed in the model</w:t>
      </w:r>
      <w:r w:rsidR="001014AD">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impact on the RAB estimate, though as mentioned the impact is not as great as might have been imagined. However, there are other even more compelling reasons for concluding that the RAB estimate is uncertain, and in general optimistic.</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Because the repayment thresholds were set for 2016 in cash terms, to be followed by annual updates in line with average earnings, the costs are highly dependent on the growth in cash, not real, average earnings between now and 2016. Low inflation implies higher RAB charges. Though it may not have the same impact over the longer term, evidence from the Destination of Leavers from Higher Education (DLHE) survey show that the earnings of newly qualified graduates have seen very low growth in recent years, even in cash terms, and this suggests that at least for the early years of the scheme repayments will be lower than expected.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What were and remain the most uncertain – and doubtful – assumptions are </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That the ‘career’ growth in earnings with age and experience that most graduates </w:t>
      </w:r>
      <w:r w:rsidR="007209A5">
        <w:rPr>
          <w:rFonts w:ascii="Verdana" w:eastAsia="Times New Roman" w:hAnsi="Verdana" w:cs="Times New Roman"/>
          <w:lang w:val="en-GB" w:eastAsia="en-GB"/>
        </w:rPr>
        <w:t xml:space="preserve">are </w:t>
      </w:r>
      <w:r w:rsidR="004D3313">
        <w:rPr>
          <w:rFonts w:ascii="Verdana" w:eastAsia="Times New Roman" w:hAnsi="Verdana" w:cs="Times New Roman"/>
          <w:lang w:val="en-GB" w:eastAsia="en-GB"/>
        </w:rPr>
        <w:t>estimated to</w:t>
      </w:r>
      <w:r w:rsidRPr="001B0AD0">
        <w:rPr>
          <w:rFonts w:ascii="Verdana" w:eastAsia="Times New Roman" w:hAnsi="Verdana" w:cs="Times New Roman"/>
          <w:lang w:val="en-GB" w:eastAsia="en-GB"/>
        </w:rPr>
        <w:t xml:space="preserve"> have enjoyed historically will be repeated over the next thirty years. </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That this will not only be true on average, but that the distribution of earnings will remain the same. This seems unlikely, as has become more apparent since our original analysis with evidence that shows the difference between high and low graduate earners is increasing.  </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These assumptions are key to the estimates made by </w:t>
      </w:r>
      <w:r w:rsidR="00296997">
        <w:rPr>
          <w:rFonts w:ascii="Verdana" w:eastAsia="Times New Roman" w:hAnsi="Verdana" w:cs="Times New Roman"/>
          <w:lang w:val="en-GB" w:eastAsia="en-GB"/>
        </w:rPr>
        <w:t>BIS</w:t>
      </w:r>
      <w:r w:rsidRPr="001B0AD0">
        <w:rPr>
          <w:rFonts w:ascii="Verdana" w:eastAsia="Times New Roman" w:hAnsi="Verdana" w:cs="Times New Roman"/>
          <w:lang w:val="en-GB" w:eastAsia="en-GB"/>
        </w:rPr>
        <w:t xml:space="preserve">. Unlike </w:t>
      </w:r>
      <w:r w:rsidR="004037D0">
        <w:rPr>
          <w:rFonts w:ascii="Verdana" w:eastAsia="Times New Roman" w:hAnsi="Verdana" w:cs="Times New Roman"/>
          <w:lang w:val="en-GB" w:eastAsia="en-GB"/>
        </w:rPr>
        <w:t>some of</w:t>
      </w:r>
      <w:r w:rsidRPr="001B0AD0">
        <w:rPr>
          <w:rFonts w:ascii="Verdana" w:eastAsia="Times New Roman" w:hAnsi="Verdana" w:cs="Times New Roman"/>
          <w:lang w:val="en-GB" w:eastAsia="en-GB"/>
        </w:rPr>
        <w:t xml:space="preserve"> the other assumptions we have discussed, the RAB is sensitive to their modification. It is the ‘career’ growth in earnings over their working lifetime which puts former students above the repayment threshold and into the high interest levels. Without this, the RAB would be much bigger. We cannot of course say what the future will bring, but it is incumbent on those making decisions about public policy, and particularly ones that have such significant cost implications, to make the most realistic assumptions they can.   Both of these assumptions are critical and both are probably wrong. </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As far as earnings growth is concerned, it is far more plausible to assume that those who are going to university in 2012 will not, on average, see the same growth in earnings relative to the population as a whole over their working lifetime as those who entered in the late sixties and seventies when the participation rate was less than half what it is </w:t>
      </w:r>
      <w:r w:rsidRPr="001B0AD0">
        <w:rPr>
          <w:rFonts w:ascii="Verdana" w:eastAsia="Times New Roman" w:hAnsi="Verdana" w:cs="Times New Roman"/>
          <w:lang w:val="en-GB" w:eastAsia="en-GB"/>
        </w:rPr>
        <w:lastRenderedPageBreak/>
        <w:t xml:space="preserve">today, and when so many changes have taken place in the wider economy. </w:t>
      </w:r>
      <w:r w:rsidR="004D3313">
        <w:rPr>
          <w:rFonts w:ascii="Verdana" w:eastAsia="Times New Roman" w:hAnsi="Verdana" w:cs="Times New Roman"/>
          <w:lang w:val="en-GB" w:eastAsia="en-GB"/>
        </w:rPr>
        <w:t>(</w:t>
      </w:r>
      <w:r w:rsidR="007209A5">
        <w:rPr>
          <w:rFonts w:ascii="Verdana" w:eastAsia="Times New Roman" w:hAnsi="Verdana" w:cs="Times New Roman"/>
          <w:lang w:val="en-GB" w:eastAsia="en-GB"/>
        </w:rPr>
        <w:t>As discussed in Anne</w:t>
      </w:r>
      <w:r w:rsidR="003E70F6">
        <w:rPr>
          <w:rFonts w:ascii="Verdana" w:eastAsia="Times New Roman" w:hAnsi="Verdana" w:cs="Times New Roman"/>
          <w:lang w:val="en-GB" w:eastAsia="en-GB"/>
        </w:rPr>
        <w:t>x A</w:t>
      </w:r>
      <w:r w:rsidR="007209A5">
        <w:rPr>
          <w:rFonts w:ascii="Verdana" w:eastAsia="Times New Roman" w:hAnsi="Verdana" w:cs="Times New Roman"/>
          <w:lang w:val="en-GB" w:eastAsia="en-GB"/>
        </w:rPr>
        <w:t>, t</w:t>
      </w:r>
      <w:r w:rsidR="004D3313">
        <w:rPr>
          <w:rFonts w:ascii="Verdana" w:eastAsia="Times New Roman" w:hAnsi="Verdana" w:cs="Times New Roman"/>
          <w:lang w:val="en-GB" w:eastAsia="en-GB"/>
        </w:rPr>
        <w:t>he method of estimation may have even exaggerated the career growth that has occurred historically.)</w:t>
      </w:r>
      <w:r w:rsidRPr="001B0AD0">
        <w:rPr>
          <w:rFonts w:ascii="Verdana" w:eastAsia="Times New Roman" w:hAnsi="Verdana" w:cs="Times New Roman"/>
          <w:lang w:val="en-GB" w:eastAsia="en-GB"/>
        </w:rPr>
        <w:t xml:space="preserve"> </w:t>
      </w:r>
      <w:r w:rsidR="004037D0">
        <w:rPr>
          <w:rFonts w:ascii="Verdana" w:eastAsia="Times New Roman" w:hAnsi="Verdana" w:cs="Times New Roman"/>
          <w:lang w:val="en-GB" w:eastAsia="en-GB"/>
        </w:rPr>
        <w:t>It is the case that after the last rapid expansion, in the late 1980s and early 1990s, the ‘graduate premium’ held up better than most would have anticipated in the early part</w:t>
      </w:r>
      <w:r w:rsidRPr="001B0AD0">
        <w:rPr>
          <w:rFonts w:ascii="Verdana" w:eastAsia="Times New Roman" w:hAnsi="Verdana" w:cs="Times New Roman"/>
          <w:lang w:val="en-GB" w:eastAsia="en-GB"/>
        </w:rPr>
        <w:t xml:space="preserve"> </w:t>
      </w:r>
      <w:r w:rsidR="004037D0">
        <w:rPr>
          <w:rFonts w:ascii="Verdana" w:eastAsia="Times New Roman" w:hAnsi="Verdana" w:cs="Times New Roman"/>
          <w:lang w:val="en-GB" w:eastAsia="en-GB"/>
        </w:rPr>
        <w:t>of those graduates careers</w:t>
      </w:r>
      <w:r w:rsidR="003E70F6">
        <w:rPr>
          <w:rFonts w:ascii="Verdana" w:eastAsia="Times New Roman" w:hAnsi="Verdana" w:cs="Times New Roman"/>
          <w:lang w:val="en-GB" w:eastAsia="en-GB"/>
        </w:rPr>
        <w:t xml:space="preserve"> that followed the expansion</w:t>
      </w:r>
      <w:r w:rsidR="004037D0">
        <w:rPr>
          <w:rFonts w:ascii="Verdana" w:eastAsia="Times New Roman" w:hAnsi="Verdana" w:cs="Times New Roman"/>
          <w:lang w:val="en-GB" w:eastAsia="en-GB"/>
        </w:rPr>
        <w:t>. But there are signs that the premium is weakening, and some are arguing that the protection that graduate employment has had from outsourc</w:t>
      </w:r>
      <w:r w:rsidR="007209A5">
        <w:rPr>
          <w:rFonts w:ascii="Verdana" w:eastAsia="Times New Roman" w:hAnsi="Verdana" w:cs="Times New Roman"/>
          <w:lang w:val="en-GB" w:eastAsia="en-GB"/>
        </w:rPr>
        <w:t>ing</w:t>
      </w:r>
      <w:r w:rsidR="004037D0">
        <w:rPr>
          <w:rFonts w:ascii="Verdana" w:eastAsia="Times New Roman" w:hAnsi="Verdana" w:cs="Times New Roman"/>
          <w:lang w:val="en-GB" w:eastAsia="en-GB"/>
        </w:rPr>
        <w:t xml:space="preserve"> and other forms of competition cannot be expected to continue over the next decades. In any case the relevant statistic is not the graduate premium, but the difference between the earnings of former students and the whole working population, including former students. </w:t>
      </w:r>
      <w:r w:rsidR="00982BF1">
        <w:rPr>
          <w:rFonts w:ascii="Verdana" w:eastAsia="Times New Roman" w:hAnsi="Verdana" w:cs="Times New Roman"/>
          <w:lang w:val="en-GB" w:eastAsia="en-GB"/>
        </w:rPr>
        <w:t>Even if nothing else changes, this difference will diminish as the proportion of former students in the working population increases</w:t>
      </w:r>
      <w:r w:rsidR="003E70F6">
        <w:rPr>
          <w:rFonts w:ascii="Verdana" w:eastAsia="Times New Roman" w:hAnsi="Verdana" w:cs="Times New Roman"/>
          <w:lang w:val="en-GB" w:eastAsia="en-GB"/>
        </w:rPr>
        <w:t>, unless non-graduates see large decreases in their earnings relative to graduates</w:t>
      </w:r>
      <w:r w:rsidRPr="001B0AD0">
        <w:rPr>
          <w:rFonts w:ascii="Verdana" w:eastAsia="Times New Roman" w:hAnsi="Verdana" w:cs="Times New Roman"/>
          <w:lang w:val="en-GB" w:eastAsia="en-GB"/>
        </w:rPr>
        <w:t>.</w:t>
      </w:r>
    </w:p>
    <w:p w:rsidR="007209A5" w:rsidRDefault="001B0AD0"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sidRPr="002F05D4">
        <w:rPr>
          <w:rFonts w:ascii="Verdana" w:eastAsia="Times New Roman" w:hAnsi="Verdana" w:cs="Times New Roman"/>
          <w:lang w:val="en-GB" w:eastAsia="en-GB"/>
        </w:rPr>
        <w:t>A</w:t>
      </w:r>
      <w:r w:rsidR="00CF62C2" w:rsidRPr="002F05D4">
        <w:rPr>
          <w:rFonts w:ascii="Verdana" w:eastAsia="Times New Roman" w:hAnsi="Verdana" w:cs="Times New Roman"/>
          <w:lang w:val="en-GB" w:eastAsia="en-GB"/>
        </w:rPr>
        <w:t xml:space="preserve">s we have seen </w:t>
      </w:r>
      <w:r w:rsidR="00982BF1" w:rsidRPr="002F05D4">
        <w:rPr>
          <w:rFonts w:ascii="Verdana" w:eastAsia="Times New Roman" w:hAnsi="Verdana" w:cs="Times New Roman"/>
          <w:lang w:val="en-GB" w:eastAsia="en-GB"/>
        </w:rPr>
        <w:t xml:space="preserve">in the context of </w:t>
      </w:r>
      <w:r w:rsidR="00CF62C2" w:rsidRPr="002F05D4">
        <w:rPr>
          <w:rFonts w:ascii="Verdana" w:eastAsia="Times New Roman" w:hAnsi="Verdana" w:cs="Times New Roman"/>
          <w:lang w:val="en-GB" w:eastAsia="en-GB"/>
        </w:rPr>
        <w:t xml:space="preserve">assumptions about long term growth in average earnings, the distribution can be </w:t>
      </w:r>
      <w:r w:rsidR="00982BF1" w:rsidRPr="002F05D4">
        <w:rPr>
          <w:rFonts w:ascii="Verdana" w:eastAsia="Times New Roman" w:hAnsi="Verdana" w:cs="Times New Roman"/>
          <w:lang w:val="en-GB" w:eastAsia="en-GB"/>
        </w:rPr>
        <w:t>more</w:t>
      </w:r>
      <w:r w:rsidR="00CF62C2" w:rsidRPr="002F05D4">
        <w:rPr>
          <w:rFonts w:ascii="Verdana" w:eastAsia="Times New Roman" w:hAnsi="Verdana" w:cs="Times New Roman"/>
          <w:lang w:val="en-GB" w:eastAsia="en-GB"/>
        </w:rPr>
        <w:t xml:space="preserve"> important </w:t>
      </w:r>
      <w:r w:rsidR="00982BF1" w:rsidRPr="002F05D4">
        <w:rPr>
          <w:rFonts w:ascii="Verdana" w:eastAsia="Times New Roman" w:hAnsi="Verdana" w:cs="Times New Roman"/>
          <w:lang w:val="en-GB" w:eastAsia="en-GB"/>
        </w:rPr>
        <w:t>than</w:t>
      </w:r>
      <w:r w:rsidR="00CF62C2" w:rsidRPr="002F05D4">
        <w:rPr>
          <w:rFonts w:ascii="Verdana" w:eastAsia="Times New Roman" w:hAnsi="Verdana" w:cs="Times New Roman"/>
          <w:lang w:val="en-GB" w:eastAsia="en-GB"/>
        </w:rPr>
        <w:t xml:space="preserve"> the average level. It seems to us that, even if the career growth in earnings </w:t>
      </w:r>
      <w:r w:rsidR="007209A5">
        <w:rPr>
          <w:rFonts w:ascii="Verdana" w:eastAsia="Times New Roman" w:hAnsi="Verdana" w:cs="Times New Roman"/>
          <w:lang w:val="en-GB" w:eastAsia="en-GB"/>
        </w:rPr>
        <w:t>is</w:t>
      </w:r>
      <w:r w:rsidR="00CF62C2" w:rsidRPr="002F05D4">
        <w:rPr>
          <w:rFonts w:ascii="Verdana" w:eastAsia="Times New Roman" w:hAnsi="Verdana" w:cs="Times New Roman"/>
          <w:lang w:val="en-GB" w:eastAsia="en-GB"/>
        </w:rPr>
        <w:t xml:space="preserve"> maintained on average, it likely that the spread in the career growth </w:t>
      </w:r>
      <w:r w:rsidR="007209A5">
        <w:rPr>
          <w:rFonts w:ascii="Verdana" w:eastAsia="Times New Roman" w:hAnsi="Verdana" w:cs="Times New Roman"/>
          <w:lang w:val="en-GB" w:eastAsia="en-GB"/>
        </w:rPr>
        <w:t xml:space="preserve">of earnings </w:t>
      </w:r>
      <w:r w:rsidR="00CF62C2" w:rsidRPr="002F05D4">
        <w:rPr>
          <w:rFonts w:ascii="Verdana" w:eastAsia="Times New Roman" w:hAnsi="Verdana" w:cs="Times New Roman"/>
          <w:lang w:val="en-GB" w:eastAsia="en-GB"/>
        </w:rPr>
        <w:t>will increase. That is</w:t>
      </w:r>
      <w:r w:rsidR="00B5366E" w:rsidRPr="002F05D4">
        <w:rPr>
          <w:rFonts w:ascii="Verdana" w:eastAsia="Times New Roman" w:hAnsi="Verdana" w:cs="Times New Roman"/>
          <w:lang w:val="en-GB" w:eastAsia="en-GB"/>
        </w:rPr>
        <w:t>,</w:t>
      </w:r>
      <w:r w:rsidR="00CF62C2" w:rsidRPr="002F05D4">
        <w:rPr>
          <w:rFonts w:ascii="Verdana" w:eastAsia="Times New Roman" w:hAnsi="Verdana" w:cs="Times New Roman"/>
          <w:lang w:val="en-GB" w:eastAsia="en-GB"/>
        </w:rPr>
        <w:t xml:space="preserve"> while top earners </w:t>
      </w:r>
      <w:r w:rsidR="00B5366E" w:rsidRPr="002F05D4">
        <w:rPr>
          <w:rFonts w:ascii="Verdana" w:eastAsia="Times New Roman" w:hAnsi="Verdana" w:cs="Times New Roman"/>
          <w:lang w:val="en-GB" w:eastAsia="en-GB"/>
        </w:rPr>
        <w:t>may</w:t>
      </w:r>
      <w:r w:rsidR="00CF62C2" w:rsidRPr="002F05D4">
        <w:rPr>
          <w:rFonts w:ascii="Verdana" w:eastAsia="Times New Roman" w:hAnsi="Verdana" w:cs="Times New Roman"/>
          <w:lang w:val="en-GB" w:eastAsia="en-GB"/>
        </w:rPr>
        <w:t xml:space="preserve"> see an even bigger growth in earnings over their lifetime, those in the lower range of earnings will not see a career growth that has been typical, at least for men, for those in ‘graduate’ jobs</w:t>
      </w:r>
      <w:r w:rsidR="00B5366E" w:rsidRPr="002F05D4">
        <w:rPr>
          <w:rFonts w:ascii="Verdana" w:eastAsia="Times New Roman" w:hAnsi="Verdana" w:cs="Times New Roman"/>
          <w:lang w:val="en-GB" w:eastAsia="en-GB"/>
        </w:rPr>
        <w:t xml:space="preserve"> in the past</w:t>
      </w:r>
      <w:r w:rsidR="00CF62C2" w:rsidRPr="002F05D4">
        <w:rPr>
          <w:rFonts w:ascii="Verdana" w:eastAsia="Times New Roman" w:hAnsi="Verdana" w:cs="Times New Roman"/>
          <w:lang w:val="en-GB" w:eastAsia="en-GB"/>
        </w:rPr>
        <w:t xml:space="preserve">. </w:t>
      </w:r>
      <w:r w:rsidRPr="002F05D4">
        <w:rPr>
          <w:rFonts w:ascii="Verdana" w:eastAsia="Times New Roman" w:hAnsi="Verdana" w:cs="Times New Roman"/>
          <w:lang w:val="en-GB" w:eastAsia="en-GB"/>
        </w:rPr>
        <w:t>In the USA</w:t>
      </w:r>
      <w:r w:rsidRPr="001B0AD0">
        <w:rPr>
          <w:rFonts w:ascii="Verdana" w:eastAsia="Times New Roman" w:hAnsi="Verdana" w:cs="Times New Roman"/>
          <w:vertAlign w:val="superscript"/>
          <w:lang w:val="en-GB" w:eastAsia="en-GB"/>
        </w:rPr>
        <w:footnoteReference w:id="6"/>
      </w:r>
      <w:r w:rsidRPr="002F05D4">
        <w:rPr>
          <w:rFonts w:ascii="Verdana" w:eastAsia="Times New Roman" w:hAnsi="Verdana" w:cs="Times New Roman"/>
          <w:lang w:val="en-GB" w:eastAsia="en-GB"/>
        </w:rPr>
        <w:t xml:space="preserve"> </w:t>
      </w:r>
      <w:r w:rsidR="00F063B9">
        <w:rPr>
          <w:rFonts w:ascii="Verdana" w:eastAsia="Times New Roman" w:hAnsi="Verdana" w:cs="Times New Roman"/>
          <w:lang w:val="en-GB" w:eastAsia="en-GB"/>
        </w:rPr>
        <w:t xml:space="preserve">only </w:t>
      </w:r>
      <w:r w:rsidRPr="002F05D4">
        <w:rPr>
          <w:rFonts w:ascii="Verdana" w:eastAsia="Times New Roman" w:hAnsi="Verdana" w:cs="Times New Roman"/>
          <w:lang w:val="en-GB" w:eastAsia="en-GB"/>
        </w:rPr>
        <w:t xml:space="preserve">high earners have </w:t>
      </w:r>
      <w:r w:rsidR="00F063B9">
        <w:rPr>
          <w:rFonts w:ascii="Verdana" w:eastAsia="Times New Roman" w:hAnsi="Verdana" w:cs="Times New Roman"/>
          <w:lang w:val="en-GB" w:eastAsia="en-GB"/>
        </w:rPr>
        <w:t xml:space="preserve">seen </w:t>
      </w:r>
      <w:r w:rsidRPr="002F05D4">
        <w:rPr>
          <w:rFonts w:ascii="Verdana" w:eastAsia="Times New Roman" w:hAnsi="Verdana" w:cs="Times New Roman"/>
          <w:lang w:val="en-GB" w:eastAsia="en-GB"/>
        </w:rPr>
        <w:t>increase</w:t>
      </w:r>
      <w:r w:rsidR="00F063B9">
        <w:rPr>
          <w:rFonts w:ascii="Verdana" w:eastAsia="Times New Roman" w:hAnsi="Verdana" w:cs="Times New Roman"/>
          <w:lang w:val="en-GB" w:eastAsia="en-GB"/>
        </w:rPr>
        <w:t xml:space="preserve">s in real earnings </w:t>
      </w:r>
      <w:r w:rsidR="002F05D4" w:rsidRPr="002F05D4">
        <w:rPr>
          <w:rFonts w:ascii="Verdana" w:eastAsia="Times New Roman" w:hAnsi="Verdana" w:cs="Times New Roman"/>
          <w:lang w:val="en-GB" w:eastAsia="en-GB"/>
        </w:rPr>
        <w:t>over three decades, and in the UK increasing dispersion of graduate earnings is now being observed.</w:t>
      </w:r>
      <w:r w:rsidRPr="001B0AD0">
        <w:rPr>
          <w:rFonts w:ascii="Verdana" w:eastAsia="Times New Roman" w:hAnsi="Verdana" w:cs="Times New Roman"/>
          <w:lang w:val="en-GB" w:eastAsia="en-GB"/>
        </w:rPr>
        <w:t xml:space="preserve"> </w:t>
      </w:r>
    </w:p>
    <w:p w:rsidR="001B0AD0" w:rsidRPr="001B0AD0" w:rsidRDefault="001B0AD0"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As we pointed out last year, the fact that top earners earn very much more does not mean that they will pay any more by way of loan repayments, and their high salaries will not compensate for the lower salaries and consequently lower loan repayments of others.  And if median and low earners earn less than has been assumed then that will reduce the loan repayments, and increase the cost to the Government.  </w:t>
      </w:r>
      <w:r w:rsidR="00296997" w:rsidRPr="00296997">
        <w:rPr>
          <w:rFonts w:ascii="Verdana" w:eastAsia="Times New Roman" w:hAnsi="Verdana" w:cs="Times New Roman"/>
          <w:lang w:val="en-GB" w:eastAsia="en-GB"/>
        </w:rPr>
        <w:t>If so, then assuming</w:t>
      </w:r>
      <w:r w:rsidR="007209A5">
        <w:rPr>
          <w:rFonts w:ascii="Verdana" w:eastAsia="Times New Roman" w:hAnsi="Verdana" w:cs="Times New Roman"/>
          <w:lang w:val="en-GB" w:eastAsia="en-GB"/>
        </w:rPr>
        <w:t>, as the Government has done, that</w:t>
      </w:r>
      <w:r w:rsidR="00CF62C2" w:rsidRPr="002F05D4">
        <w:rPr>
          <w:rFonts w:ascii="Verdana" w:eastAsia="Times New Roman" w:hAnsi="Verdana" w:cs="Times New Roman"/>
          <w:lang w:val="en-GB" w:eastAsia="en-GB"/>
        </w:rPr>
        <w:t xml:space="preserve"> </w:t>
      </w:r>
      <w:r w:rsidR="00B5366E" w:rsidRPr="002F05D4">
        <w:rPr>
          <w:rFonts w:ascii="Verdana" w:eastAsia="Times New Roman" w:hAnsi="Verdana" w:cs="Times New Roman"/>
          <w:lang w:val="en-GB" w:eastAsia="en-GB"/>
        </w:rPr>
        <w:t xml:space="preserve">the career growth in salaries will be maintained not just on </w:t>
      </w:r>
      <w:r w:rsidRPr="001B0AD0">
        <w:rPr>
          <w:rFonts w:ascii="Verdana" w:eastAsia="Times New Roman" w:hAnsi="Verdana" w:cs="Times New Roman"/>
          <w:lang w:val="en-GB" w:eastAsia="en-GB"/>
        </w:rPr>
        <w:t>average</w:t>
      </w:r>
      <w:r w:rsidR="00B5366E" w:rsidRPr="002F05D4">
        <w:rPr>
          <w:rFonts w:ascii="Verdana" w:eastAsia="Times New Roman" w:hAnsi="Verdana" w:cs="Times New Roman"/>
          <w:lang w:val="en-GB" w:eastAsia="en-GB"/>
        </w:rPr>
        <w:t>, but</w:t>
      </w:r>
      <w:r w:rsidRPr="001B0AD0">
        <w:rPr>
          <w:rFonts w:ascii="Verdana" w:eastAsia="Times New Roman" w:hAnsi="Verdana" w:cs="Times New Roman"/>
          <w:lang w:val="en-GB" w:eastAsia="en-GB"/>
        </w:rPr>
        <w:t xml:space="preserve"> </w:t>
      </w:r>
      <w:r w:rsidR="007209A5">
        <w:rPr>
          <w:rFonts w:ascii="Verdana" w:eastAsia="Times New Roman" w:hAnsi="Verdana" w:cs="Times New Roman"/>
          <w:lang w:val="en-GB" w:eastAsia="en-GB"/>
        </w:rPr>
        <w:t>for</w:t>
      </w:r>
      <w:r w:rsidR="007209A5"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all </w:t>
      </w:r>
      <w:r w:rsidR="00B5366E" w:rsidRPr="002F05D4">
        <w:rPr>
          <w:rFonts w:ascii="Verdana" w:eastAsia="Times New Roman" w:hAnsi="Verdana" w:cs="Times New Roman"/>
          <w:lang w:val="en-GB" w:eastAsia="en-GB"/>
        </w:rPr>
        <w:t xml:space="preserve">earning levels of </w:t>
      </w:r>
      <w:r w:rsidRPr="001B0AD0">
        <w:rPr>
          <w:rFonts w:ascii="Verdana" w:eastAsia="Times New Roman" w:hAnsi="Verdana" w:cs="Times New Roman"/>
          <w:lang w:val="en-GB" w:eastAsia="en-GB"/>
        </w:rPr>
        <w:t>former students</w:t>
      </w:r>
      <w:r w:rsidR="004D3313">
        <w:rPr>
          <w:rFonts w:ascii="Verdana" w:eastAsia="Times New Roman" w:hAnsi="Verdana" w:cs="Times New Roman"/>
          <w:lang w:val="en-GB" w:eastAsia="en-GB"/>
        </w:rPr>
        <w:t>,</w:t>
      </w:r>
      <w:r w:rsidRPr="002F05D4">
        <w:rPr>
          <w:rFonts w:ascii="Verdana" w:eastAsia="Times New Roman" w:hAnsi="Verdana" w:cs="Times New Roman"/>
          <w:lang w:val="en-GB" w:eastAsia="en-GB"/>
        </w:rPr>
        <w:t xml:space="preserve"> </w:t>
      </w:r>
      <w:r w:rsidR="00296997">
        <w:rPr>
          <w:rFonts w:ascii="Verdana" w:eastAsia="Times New Roman" w:hAnsi="Verdana" w:cs="Times New Roman"/>
          <w:lang w:val="en-GB" w:eastAsia="en-GB"/>
        </w:rPr>
        <w:t>will</w:t>
      </w:r>
      <w:r w:rsidR="00296997" w:rsidRPr="002F05D4">
        <w:rPr>
          <w:rFonts w:ascii="Verdana" w:eastAsia="Times New Roman" w:hAnsi="Verdana" w:cs="Times New Roman"/>
          <w:lang w:val="en-GB" w:eastAsia="en-GB"/>
        </w:rPr>
        <w:t xml:space="preserve"> </w:t>
      </w:r>
      <w:r w:rsidRPr="002F05D4">
        <w:rPr>
          <w:rFonts w:ascii="Verdana" w:eastAsia="Times New Roman" w:hAnsi="Verdana" w:cs="Times New Roman"/>
          <w:lang w:val="en-GB" w:eastAsia="en-GB"/>
        </w:rPr>
        <w:t>lead</w:t>
      </w:r>
      <w:r w:rsidRPr="001B0AD0">
        <w:rPr>
          <w:rFonts w:ascii="Verdana" w:eastAsia="Times New Roman" w:hAnsi="Verdana" w:cs="Times New Roman"/>
          <w:lang w:val="en-GB" w:eastAsia="en-GB"/>
        </w:rPr>
        <w:t xml:space="preserve"> to an overstatement of the loan repayments that the Government will receive and an understatement of the RAB cost</w:t>
      </w:r>
      <w:r w:rsidRPr="002F05D4">
        <w:rPr>
          <w:rFonts w:ascii="Verdana" w:eastAsia="Times New Roman" w:hAnsi="Verdana" w:cs="Times New Roman"/>
          <w:lang w:val="en-GB" w:eastAsia="en-GB"/>
        </w:rPr>
        <w:t>.</w:t>
      </w:r>
      <w:r w:rsidR="002F05D4" w:rsidRPr="002F05D4">
        <w:rPr>
          <w:rFonts w:ascii="Verdana" w:eastAsia="Times New Roman" w:hAnsi="Verdana" w:cs="Times New Roman"/>
          <w:lang w:val="en-GB" w:eastAsia="en-GB"/>
        </w:rPr>
        <w:t xml:space="preserve"> </w:t>
      </w:r>
      <w:r w:rsidR="00F063B9">
        <w:rPr>
          <w:rFonts w:ascii="Verdana" w:eastAsia="Times New Roman" w:hAnsi="Verdana" w:cs="Times New Roman"/>
          <w:lang w:val="en-GB" w:eastAsia="en-GB"/>
        </w:rPr>
        <w:t xml:space="preserve">The simplified model can illustrate this. </w:t>
      </w:r>
      <w:r w:rsidR="00896FD4">
        <w:rPr>
          <w:rFonts w:ascii="Verdana" w:eastAsia="Times New Roman" w:hAnsi="Verdana" w:cs="Times New Roman"/>
          <w:lang w:val="en-GB" w:eastAsia="en-GB"/>
        </w:rPr>
        <w:t xml:space="preserve">In the model </w:t>
      </w:r>
      <w:r w:rsidR="00F063B9">
        <w:rPr>
          <w:rFonts w:ascii="Verdana" w:eastAsia="Times New Roman" w:hAnsi="Verdana" w:cs="Times New Roman"/>
          <w:lang w:val="en-GB" w:eastAsia="en-GB"/>
        </w:rPr>
        <w:t>the average earnings for the lowest 90 per cent</w:t>
      </w:r>
      <w:r w:rsidR="00896FD4">
        <w:rPr>
          <w:rFonts w:ascii="Verdana" w:eastAsia="Times New Roman" w:hAnsi="Verdana" w:cs="Times New Roman"/>
          <w:lang w:val="en-GB" w:eastAsia="en-GB"/>
        </w:rPr>
        <w:t xml:space="preserve"> of males</w:t>
      </w:r>
      <w:r w:rsidR="00F063B9">
        <w:rPr>
          <w:rFonts w:ascii="Verdana" w:eastAsia="Times New Roman" w:hAnsi="Verdana" w:cs="Times New Roman"/>
          <w:lang w:val="en-GB" w:eastAsia="en-GB"/>
        </w:rPr>
        <w:t xml:space="preserve"> </w:t>
      </w:r>
      <w:r w:rsidR="00896FD4">
        <w:rPr>
          <w:rFonts w:ascii="Verdana" w:eastAsia="Times New Roman" w:hAnsi="Verdana" w:cs="Times New Roman"/>
          <w:lang w:val="en-GB" w:eastAsia="en-GB"/>
        </w:rPr>
        <w:t xml:space="preserve">shows an </w:t>
      </w:r>
      <w:r w:rsidR="00F063B9">
        <w:rPr>
          <w:rFonts w:ascii="Verdana" w:eastAsia="Times New Roman" w:hAnsi="Verdana" w:cs="Times New Roman"/>
          <w:lang w:val="en-GB" w:eastAsia="en-GB"/>
        </w:rPr>
        <w:t xml:space="preserve">increase </w:t>
      </w:r>
      <w:r w:rsidR="00896FD4">
        <w:rPr>
          <w:rFonts w:ascii="Verdana" w:eastAsia="Times New Roman" w:hAnsi="Verdana" w:cs="Times New Roman"/>
          <w:lang w:val="en-GB" w:eastAsia="en-GB"/>
        </w:rPr>
        <w:t>of</w:t>
      </w:r>
      <w:r w:rsidR="00F063B9">
        <w:rPr>
          <w:rFonts w:ascii="Verdana" w:eastAsia="Times New Roman" w:hAnsi="Verdana" w:cs="Times New Roman"/>
          <w:lang w:val="en-GB" w:eastAsia="en-GB"/>
        </w:rPr>
        <w:t xml:space="preserve"> 315 per</w:t>
      </w:r>
      <w:r w:rsidR="00AF0329">
        <w:rPr>
          <w:rFonts w:ascii="Verdana" w:eastAsia="Times New Roman" w:hAnsi="Verdana" w:cs="Times New Roman"/>
          <w:lang w:val="en-GB" w:eastAsia="en-GB"/>
        </w:rPr>
        <w:t xml:space="preserve"> </w:t>
      </w:r>
      <w:r w:rsidR="00F063B9">
        <w:rPr>
          <w:rFonts w:ascii="Verdana" w:eastAsia="Times New Roman" w:hAnsi="Verdana" w:cs="Times New Roman"/>
          <w:lang w:val="en-GB" w:eastAsia="en-GB"/>
        </w:rPr>
        <w:t xml:space="preserve">cent </w:t>
      </w:r>
      <w:r w:rsidR="00F063B9">
        <w:rPr>
          <w:rFonts w:ascii="Verdana" w:eastAsia="Times New Roman" w:hAnsi="Verdana" w:cs="Times New Roman"/>
          <w:lang w:val="en-GB" w:eastAsia="en-GB"/>
        </w:rPr>
        <w:lastRenderedPageBreak/>
        <w:t xml:space="preserve">over the 30 year repayment period. </w:t>
      </w:r>
      <w:r w:rsidR="00896FD4">
        <w:rPr>
          <w:rFonts w:ascii="Verdana" w:eastAsia="Times New Roman" w:hAnsi="Verdana" w:cs="Times New Roman"/>
          <w:lang w:val="en-GB" w:eastAsia="en-GB"/>
        </w:rPr>
        <w:t>However, if the e</w:t>
      </w:r>
      <w:r w:rsidR="00AF0329">
        <w:rPr>
          <w:rFonts w:ascii="Verdana" w:eastAsia="Times New Roman" w:hAnsi="Verdana" w:cs="Times New Roman"/>
          <w:lang w:val="en-GB" w:eastAsia="en-GB"/>
        </w:rPr>
        <w:t>a</w:t>
      </w:r>
      <w:r w:rsidR="00896FD4">
        <w:rPr>
          <w:rFonts w:ascii="Verdana" w:eastAsia="Times New Roman" w:hAnsi="Verdana" w:cs="Times New Roman"/>
          <w:lang w:val="en-GB" w:eastAsia="en-GB"/>
        </w:rPr>
        <w:t xml:space="preserve">rnings growth of the bottom 90 per cent is </w:t>
      </w:r>
      <w:r w:rsidR="00F063B9">
        <w:rPr>
          <w:rFonts w:ascii="Verdana" w:eastAsia="Times New Roman" w:hAnsi="Verdana" w:cs="Times New Roman"/>
          <w:lang w:val="en-GB" w:eastAsia="en-GB"/>
        </w:rPr>
        <w:t>reduce</w:t>
      </w:r>
      <w:r w:rsidR="00896FD4">
        <w:rPr>
          <w:rFonts w:ascii="Verdana" w:eastAsia="Times New Roman" w:hAnsi="Verdana" w:cs="Times New Roman"/>
          <w:lang w:val="en-GB" w:eastAsia="en-GB"/>
        </w:rPr>
        <w:t>d</w:t>
      </w:r>
      <w:r w:rsidR="00F063B9">
        <w:rPr>
          <w:rFonts w:ascii="Verdana" w:eastAsia="Times New Roman" w:hAnsi="Verdana" w:cs="Times New Roman"/>
          <w:lang w:val="en-GB" w:eastAsia="en-GB"/>
        </w:rPr>
        <w:t xml:space="preserve"> to 204 per cent, and the savings </w:t>
      </w:r>
      <w:r w:rsidR="00896FD4">
        <w:rPr>
          <w:rFonts w:ascii="Verdana" w:eastAsia="Times New Roman" w:hAnsi="Verdana" w:cs="Times New Roman"/>
          <w:lang w:val="en-GB" w:eastAsia="en-GB"/>
        </w:rPr>
        <w:t xml:space="preserve">passed </w:t>
      </w:r>
      <w:r w:rsidR="00F063B9">
        <w:rPr>
          <w:rFonts w:ascii="Verdana" w:eastAsia="Times New Roman" w:hAnsi="Verdana" w:cs="Times New Roman"/>
          <w:lang w:val="en-GB" w:eastAsia="en-GB"/>
        </w:rPr>
        <w:t>on to the top 10 per cent, so that the average graduate premium remains unchanged, the RAB cost for men increase</w:t>
      </w:r>
      <w:r w:rsidR="007B1F49">
        <w:rPr>
          <w:rFonts w:ascii="Verdana" w:eastAsia="Times New Roman" w:hAnsi="Verdana" w:cs="Times New Roman"/>
          <w:lang w:val="en-GB" w:eastAsia="en-GB"/>
        </w:rPr>
        <w:t>s</w:t>
      </w:r>
      <w:r w:rsidR="00F063B9">
        <w:rPr>
          <w:rFonts w:ascii="Verdana" w:eastAsia="Times New Roman" w:hAnsi="Verdana" w:cs="Times New Roman"/>
          <w:lang w:val="en-GB" w:eastAsia="en-GB"/>
        </w:rPr>
        <w:t xml:space="preserve"> by 7 percentage points</w:t>
      </w:r>
      <w:r w:rsidR="00006687">
        <w:rPr>
          <w:rStyle w:val="FootnoteReference"/>
          <w:rFonts w:ascii="Verdana" w:eastAsia="Times New Roman" w:hAnsi="Verdana"/>
          <w:lang w:val="en-GB" w:eastAsia="en-GB"/>
        </w:rPr>
        <w:footnoteReference w:id="7"/>
      </w:r>
      <w:r w:rsidR="00F063B9">
        <w:rPr>
          <w:rFonts w:ascii="Verdana" w:eastAsia="Times New Roman" w:hAnsi="Verdana" w:cs="Times New Roman"/>
          <w:lang w:val="en-GB" w:eastAsia="en-GB"/>
        </w:rPr>
        <w:t xml:space="preserve">. </w:t>
      </w:r>
    </w:p>
    <w:p w:rsidR="006059EB" w:rsidRDefault="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The Minster for Higher Education</w:t>
      </w:r>
      <w:r w:rsidR="00E1315E">
        <w:rPr>
          <w:rFonts w:ascii="Verdana" w:eastAsia="Times New Roman" w:hAnsi="Verdana" w:cs="Times New Roman"/>
          <w:lang w:val="en-GB" w:eastAsia="en-GB"/>
        </w:rPr>
        <w:t>,</w:t>
      </w:r>
      <w:r w:rsidRPr="002F05D4">
        <w:rPr>
          <w:rFonts w:ascii="Verdana" w:eastAsia="Times New Roman" w:hAnsi="Verdana" w:cs="Times New Roman"/>
          <w:lang w:val="en-GB" w:eastAsia="en-GB"/>
        </w:rPr>
        <w:t xml:space="preserve"> </w:t>
      </w:r>
      <w:r w:rsidR="00E1315E">
        <w:rPr>
          <w:rFonts w:ascii="Verdana" w:eastAsia="Times New Roman" w:hAnsi="Verdana" w:cs="Times New Roman"/>
          <w:lang w:val="en-GB" w:eastAsia="en-GB"/>
        </w:rPr>
        <w:t xml:space="preserve">in providing evidence to the </w:t>
      </w:r>
      <w:r w:rsidR="00E1315E" w:rsidRPr="00E1315E">
        <w:rPr>
          <w:rFonts w:ascii="Verdana" w:eastAsia="Times New Roman" w:hAnsi="Verdana" w:cs="Times New Roman"/>
          <w:lang w:val="en-GB" w:eastAsia="en-GB"/>
        </w:rPr>
        <w:t>Business, Innovation and Skills Committee</w:t>
      </w:r>
      <w:r w:rsidR="00E1315E">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said</w:t>
      </w:r>
      <w:r w:rsidR="00E1315E">
        <w:rPr>
          <w:rFonts w:ascii="Verdana" w:eastAsia="Times New Roman" w:hAnsi="Verdana" w:cs="Times New Roman"/>
          <w:lang w:val="en-GB" w:eastAsia="en-GB"/>
        </w:rPr>
        <w:t xml:space="preserve">, </w:t>
      </w:r>
      <w:r w:rsidRPr="002F05D4">
        <w:rPr>
          <w:rFonts w:ascii="Verdana" w:eastAsia="Times New Roman" w:hAnsi="Verdana" w:cs="Times New Roman"/>
          <w:lang w:val="en-GB" w:eastAsia="en-GB"/>
        </w:rPr>
        <w:t>”</w:t>
      </w:r>
      <w:r w:rsidR="00E1315E" w:rsidRPr="00E1315E">
        <w:rPr>
          <w:rFonts w:ascii="Verdana" w:eastAsia="Times New Roman" w:hAnsi="Verdana" w:cs="Times New Roman"/>
          <w:lang w:val="en-GB" w:eastAsia="en-GB"/>
        </w:rPr>
        <w:t xml:space="preserve">I read lots of accounts of how, for example, the RAB charge, which we have estimated at 30%, is </w:t>
      </w:r>
      <w:r w:rsidR="00E1315E">
        <w:rPr>
          <w:rFonts w:ascii="Verdana" w:eastAsia="Times New Roman" w:hAnsi="Verdana" w:cs="Times New Roman"/>
          <w:lang w:val="en-GB" w:eastAsia="en-GB"/>
        </w:rPr>
        <w:t xml:space="preserve">going to be very different. . . </w:t>
      </w:r>
      <w:r w:rsidR="00E1315E" w:rsidRPr="00E1315E">
        <w:rPr>
          <w:rFonts w:ascii="Verdana" w:eastAsia="Times New Roman" w:hAnsi="Verdana" w:cs="Times New Roman"/>
          <w:lang w:val="en-GB" w:eastAsia="en-GB"/>
        </w:rPr>
        <w:t xml:space="preserve">we have had those estimates checked by the OBR and the IFS have done their estimates </w:t>
      </w:r>
      <w:r w:rsidR="00E1315E">
        <w:rPr>
          <w:rFonts w:ascii="Verdana" w:eastAsia="Times New Roman" w:hAnsi="Verdana" w:cs="Times New Roman"/>
          <w:lang w:val="en-GB" w:eastAsia="en-GB"/>
        </w:rPr>
        <w:t>“ (Willetts 2012a).</w:t>
      </w:r>
      <w:r w:rsidRPr="002F05D4">
        <w:rPr>
          <w:rFonts w:ascii="Verdana" w:eastAsia="Times New Roman" w:hAnsi="Verdana" w:cs="Times New Roman"/>
          <w:lang w:val="en-GB" w:eastAsia="en-GB"/>
        </w:rPr>
        <w:t xml:space="preserve"> And in </w:t>
      </w:r>
      <w:r w:rsidR="007B1F49">
        <w:rPr>
          <w:rFonts w:ascii="Verdana" w:eastAsia="Times New Roman" w:hAnsi="Verdana" w:cs="Times New Roman"/>
          <w:lang w:val="en-GB" w:eastAsia="en-GB"/>
        </w:rPr>
        <w:t>an article</w:t>
      </w:r>
      <w:r w:rsidRPr="001B0AD0">
        <w:rPr>
          <w:rFonts w:ascii="Verdana" w:eastAsia="Times New Roman" w:hAnsi="Verdana" w:cs="Times New Roman"/>
          <w:lang w:val="en-GB" w:eastAsia="en-GB"/>
        </w:rPr>
        <w:t xml:space="preserve"> in the </w:t>
      </w:r>
      <w:r w:rsidR="007B1F49">
        <w:rPr>
          <w:rFonts w:ascii="Verdana" w:eastAsia="Times New Roman" w:hAnsi="Verdana" w:cs="Times New Roman"/>
          <w:lang w:val="en-GB" w:eastAsia="en-GB"/>
        </w:rPr>
        <w:t xml:space="preserve">Times Higher </w:t>
      </w:r>
      <w:r w:rsidRPr="001B0AD0">
        <w:rPr>
          <w:rFonts w:ascii="Verdana" w:eastAsia="Times New Roman" w:hAnsi="Verdana" w:cs="Times New Roman"/>
          <w:lang w:val="en-GB" w:eastAsia="en-GB"/>
        </w:rPr>
        <w:t xml:space="preserve">he </w:t>
      </w:r>
      <w:r w:rsidR="007B1F49">
        <w:rPr>
          <w:rFonts w:ascii="Verdana" w:eastAsia="Times New Roman" w:hAnsi="Verdana" w:cs="Times New Roman"/>
          <w:lang w:val="en-GB" w:eastAsia="en-GB"/>
        </w:rPr>
        <w:t xml:space="preserve">claimed </w:t>
      </w:r>
      <w:r w:rsidRPr="001B0AD0">
        <w:rPr>
          <w:rFonts w:ascii="Verdana" w:eastAsia="Times New Roman" w:hAnsi="Verdana" w:cs="Times New Roman"/>
          <w:lang w:val="en-GB" w:eastAsia="en-GB"/>
        </w:rPr>
        <w:t xml:space="preserve">the Institute for Fiscal Studies (IFS) </w:t>
      </w:r>
      <w:r w:rsidR="007B1F49">
        <w:rPr>
          <w:rFonts w:ascii="Verdana" w:eastAsia="Times New Roman" w:hAnsi="Verdana" w:cs="Times New Roman"/>
          <w:lang w:val="en-GB" w:eastAsia="en-GB"/>
        </w:rPr>
        <w:t>“</w:t>
      </w:r>
      <w:r w:rsidR="007B1F49" w:rsidRPr="007B1F49">
        <w:rPr>
          <w:rFonts w:ascii="Verdana" w:eastAsia="Times New Roman" w:hAnsi="Verdana" w:cs="Times New Roman"/>
          <w:lang w:val="en-GB" w:eastAsia="en-GB"/>
        </w:rPr>
        <w:t>following a more sophisticated methodology, estimates the resource accounting and budgeting (RAB) charge to be around 30 per cent</w:t>
      </w:r>
      <w:r w:rsidR="007B1F49">
        <w:rPr>
          <w:rFonts w:ascii="Verdana" w:eastAsia="Times New Roman" w:hAnsi="Verdana" w:cs="Times New Roman"/>
          <w:lang w:val="en-GB" w:eastAsia="en-GB"/>
        </w:rPr>
        <w:t>” (Wille</w:t>
      </w:r>
      <w:r w:rsidR="00296997">
        <w:rPr>
          <w:rFonts w:ascii="Verdana" w:eastAsia="Times New Roman" w:hAnsi="Verdana" w:cs="Times New Roman"/>
          <w:lang w:val="en-GB" w:eastAsia="en-GB"/>
        </w:rPr>
        <w:t>t</w:t>
      </w:r>
      <w:r w:rsidR="007B1F49">
        <w:rPr>
          <w:rFonts w:ascii="Verdana" w:eastAsia="Times New Roman" w:hAnsi="Verdana" w:cs="Times New Roman"/>
          <w:lang w:val="en-GB" w:eastAsia="en-GB"/>
        </w:rPr>
        <w:t>ts, 2012</w:t>
      </w:r>
      <w:r w:rsidR="00E1315E">
        <w:rPr>
          <w:rFonts w:ascii="Verdana" w:eastAsia="Times New Roman" w:hAnsi="Verdana" w:cs="Times New Roman"/>
          <w:lang w:val="en-GB" w:eastAsia="en-GB"/>
        </w:rPr>
        <w:t>b</w:t>
      </w:r>
      <w:r w:rsidR="007B1F49">
        <w:rPr>
          <w:rFonts w:ascii="Verdana" w:eastAsia="Times New Roman" w:hAnsi="Verdana" w:cs="Times New Roman"/>
          <w:lang w:val="en-GB" w:eastAsia="en-GB"/>
        </w:rPr>
        <w:t>).</w:t>
      </w:r>
      <w:r w:rsidR="007B1F49" w:rsidRPr="007B1F49">
        <w:rPr>
          <w:rFonts w:ascii="Verdana" w:eastAsia="Times New Roman" w:hAnsi="Verdana" w:cs="Times New Roman"/>
          <w:lang w:val="en-GB" w:eastAsia="en-GB"/>
        </w:rPr>
        <w:t xml:space="preserve">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Although we do not have access to the IFS model, and they have not answered our requests for information about it, the results of their modelling have been published. Assuming long-run average real-terms earnings growth of 2 per cent per year (the Government's original assumption), they estimated a RAB cost of 33 per cent. This was their central estimate, and even that was 3 percentage points higher than the RAB cost claimed in the White Paper and 1 percentage point higher than that contained in the papers that accompanied the White Paper. For a "pessimistic" estimate  the long term average real earnings growth was reduced to 1.5 per cent per year, and the medium term earnings growth replaced OBR estimates with IFS’s own ‘pessimistic’ values. The IFS "pessimistic" long term assumption is probably (it depends on exact definitions used) actually less pessimistic than the most recent OBR assumptions used by BIS (for example, the IFS assumed average real-terms annual salary increases of 1.5 per cent compared to the 1.3 per cent which </w:t>
      </w:r>
      <w:r w:rsidR="00E1315E">
        <w:rPr>
          <w:rFonts w:ascii="Verdana" w:eastAsia="Times New Roman" w:hAnsi="Verdana" w:cs="Times New Roman"/>
          <w:lang w:val="en-GB" w:eastAsia="en-GB"/>
        </w:rPr>
        <w:t>is probably</w:t>
      </w:r>
      <w:r w:rsidRPr="001B0AD0">
        <w:rPr>
          <w:rFonts w:ascii="Verdana" w:eastAsia="Times New Roman" w:hAnsi="Verdana" w:cs="Times New Roman"/>
          <w:lang w:val="en-GB" w:eastAsia="en-GB"/>
        </w:rPr>
        <w:t xml:space="preserve"> the </w:t>
      </w:r>
      <w:r w:rsidR="00E1315E">
        <w:rPr>
          <w:rFonts w:ascii="Verdana" w:eastAsia="Times New Roman" w:hAnsi="Verdana" w:cs="Times New Roman"/>
          <w:lang w:val="en-GB" w:eastAsia="en-GB"/>
        </w:rPr>
        <w:t>equivalent figure using</w:t>
      </w:r>
      <w:r w:rsidRPr="001B0AD0">
        <w:rPr>
          <w:rFonts w:ascii="Verdana" w:eastAsia="Times New Roman" w:hAnsi="Verdana" w:cs="Times New Roman"/>
          <w:lang w:val="en-GB" w:eastAsia="en-GB"/>
        </w:rPr>
        <w:t xml:space="preserve"> OBR’s </w:t>
      </w:r>
      <w:r w:rsidR="00E1315E">
        <w:rPr>
          <w:rFonts w:ascii="Verdana" w:eastAsia="Times New Roman" w:hAnsi="Verdana" w:cs="Times New Roman"/>
          <w:lang w:val="en-GB" w:eastAsia="en-GB"/>
        </w:rPr>
        <w:t>a</w:t>
      </w:r>
      <w:r w:rsidRPr="001B0AD0">
        <w:rPr>
          <w:rFonts w:ascii="Verdana" w:eastAsia="Times New Roman" w:hAnsi="Verdana" w:cs="Times New Roman"/>
          <w:lang w:val="en-GB" w:eastAsia="en-GB"/>
        </w:rPr>
        <w:t>ss</w:t>
      </w:r>
      <w:r w:rsidR="00E1315E">
        <w:rPr>
          <w:rFonts w:ascii="Verdana" w:eastAsia="Times New Roman" w:hAnsi="Verdana" w:cs="Times New Roman"/>
          <w:lang w:val="en-GB" w:eastAsia="en-GB"/>
        </w:rPr>
        <w:t>umption</w:t>
      </w:r>
      <w:r w:rsidR="00896FD4">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w:t>
      </w:r>
      <w:r w:rsidR="00E1315E">
        <w:rPr>
          <w:rFonts w:ascii="Verdana" w:eastAsia="Times New Roman" w:hAnsi="Verdana" w:cs="Times New Roman"/>
          <w:lang w:val="en-GB" w:eastAsia="en-GB"/>
        </w:rPr>
        <w:t xml:space="preserve">This </w:t>
      </w:r>
      <w:r w:rsidR="00896FD4">
        <w:rPr>
          <w:rFonts w:ascii="Verdana" w:eastAsia="Times New Roman" w:hAnsi="Verdana" w:cs="Times New Roman"/>
          <w:lang w:val="en-GB" w:eastAsia="en-GB"/>
        </w:rPr>
        <w:t>“</w:t>
      </w:r>
      <w:r w:rsidR="00E1315E">
        <w:rPr>
          <w:rFonts w:ascii="Verdana" w:eastAsia="Times New Roman" w:hAnsi="Verdana" w:cs="Times New Roman"/>
          <w:lang w:val="en-GB" w:eastAsia="en-GB"/>
        </w:rPr>
        <w:t>pessimistic</w:t>
      </w:r>
      <w:r w:rsidR="00896FD4">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RAB cost </w:t>
      </w:r>
      <w:r w:rsidR="00E1315E">
        <w:rPr>
          <w:rFonts w:ascii="Verdana" w:eastAsia="Times New Roman" w:hAnsi="Verdana" w:cs="Times New Roman"/>
          <w:lang w:val="en-GB" w:eastAsia="en-GB"/>
        </w:rPr>
        <w:t>came out at</w:t>
      </w:r>
      <w:r w:rsidRPr="001B0AD0">
        <w:rPr>
          <w:rFonts w:ascii="Verdana" w:eastAsia="Times New Roman" w:hAnsi="Verdana" w:cs="Times New Roman"/>
          <w:lang w:val="en-GB" w:eastAsia="en-GB"/>
        </w:rPr>
        <w:t xml:space="preserve"> 37 per cent.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This "pessimistic" estimate of the IFS, which leads to a 37 per cent RAB estimate compared to the department' s present estimate of 32 per cent, is still based on the broad assumptions that the graduate growth in career earnings will be maintained on average, and that the dispersion of these earnings will stay the same. IFS are fully aware of these uncertainties and they warn that predicting the earnings of future graduates poses severe difficulties.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lastRenderedPageBreak/>
        <w:t xml:space="preserve">The Minister for higher education should stop saying that the IFS has endorsed the Government's estimate of a 30 per cent RAB cost. Its estimate was always higher than the Government's, and the projection that most closely incorporates the Government's present assumption of long term earnings growth has a RAB cost of </w:t>
      </w:r>
      <w:r w:rsidR="00DE294A">
        <w:rPr>
          <w:rFonts w:ascii="Verdana" w:eastAsia="Times New Roman" w:hAnsi="Verdana" w:cs="Times New Roman"/>
          <w:lang w:val="en-GB" w:eastAsia="en-GB"/>
        </w:rPr>
        <w:t xml:space="preserve">at least </w:t>
      </w:r>
      <w:r w:rsidRPr="001B0AD0">
        <w:rPr>
          <w:rFonts w:ascii="Verdana" w:eastAsia="Times New Roman" w:hAnsi="Verdana" w:cs="Times New Roman"/>
          <w:lang w:val="en-GB" w:eastAsia="en-GB"/>
        </w:rPr>
        <w:t>37 per cent</w:t>
      </w:r>
      <w:r w:rsidR="00DE294A">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The difference between a RAB cost of 30 per cent and one of 37 per cent amounts to </w:t>
      </w:r>
      <w:r w:rsidRPr="00AF0329">
        <w:rPr>
          <w:rFonts w:ascii="Verdana" w:hAnsi="Verdana"/>
          <w:lang w:val="en-GB"/>
        </w:rPr>
        <w:t>£0.</w:t>
      </w:r>
      <w:r w:rsidR="00AE4B54" w:rsidRPr="00AE4B54">
        <w:rPr>
          <w:rFonts w:ascii="Verdana" w:eastAsia="Times New Roman" w:hAnsi="Verdana" w:cs="Times New Roman"/>
          <w:lang w:val="en-GB" w:eastAsia="en-GB"/>
        </w:rPr>
        <w:t>68</w:t>
      </w:r>
      <w:r w:rsidRPr="001B0AD0">
        <w:rPr>
          <w:rFonts w:ascii="Verdana" w:eastAsia="Times New Roman" w:hAnsi="Verdana" w:cs="Times New Roman"/>
          <w:lang w:val="en-GB" w:eastAsia="en-GB"/>
        </w:rPr>
        <w:t xml:space="preserve"> billion per year</w:t>
      </w:r>
      <w:r w:rsidR="00C27CB1">
        <w:rPr>
          <w:rStyle w:val="FootnoteReference"/>
          <w:rFonts w:ascii="Verdana" w:eastAsia="Times New Roman" w:hAnsi="Verdana"/>
          <w:lang w:val="en-GB" w:eastAsia="en-GB"/>
        </w:rPr>
        <w:footnoteReference w:id="8"/>
      </w:r>
      <w:r w:rsidR="00C27CB1">
        <w:rPr>
          <w:rFonts w:ascii="Verdana" w:eastAsia="Times New Roman" w:hAnsi="Verdana" w:cs="Times New Roman"/>
          <w:lang w:val="en-GB" w:eastAsia="en-GB"/>
        </w:rPr>
        <w:t>.</w:t>
      </w:r>
    </w:p>
    <w:p w:rsidR="001B0AD0" w:rsidRPr="001B0AD0" w:rsidRDefault="004909F6" w:rsidP="001B0AD0">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T</w:t>
      </w:r>
      <w:r w:rsidR="001B0AD0" w:rsidRPr="001B0AD0">
        <w:rPr>
          <w:rFonts w:ascii="Verdana" w:eastAsia="Times New Roman" w:hAnsi="Verdana" w:cs="Times New Roman"/>
          <w:lang w:val="en-GB" w:eastAsia="en-GB"/>
        </w:rPr>
        <w:t>he Min</w:t>
      </w:r>
      <w:r>
        <w:rPr>
          <w:rFonts w:ascii="Verdana" w:eastAsia="Times New Roman" w:hAnsi="Verdana" w:cs="Times New Roman"/>
          <w:lang w:val="en-GB" w:eastAsia="en-GB"/>
        </w:rPr>
        <w:t>i</w:t>
      </w:r>
      <w:r w:rsidR="001B0AD0" w:rsidRPr="001B0AD0">
        <w:rPr>
          <w:rFonts w:ascii="Verdana" w:eastAsia="Times New Roman" w:hAnsi="Verdana" w:cs="Times New Roman"/>
          <w:lang w:val="en-GB" w:eastAsia="en-GB"/>
        </w:rPr>
        <w:t>ster</w:t>
      </w:r>
      <w:r>
        <w:rPr>
          <w:rFonts w:ascii="Verdana" w:eastAsia="Times New Roman" w:hAnsi="Verdana" w:cs="Times New Roman"/>
          <w:lang w:val="en-GB" w:eastAsia="en-GB"/>
        </w:rPr>
        <w:t>’s reassurance</w:t>
      </w:r>
      <w:r w:rsidR="00125A95">
        <w:rPr>
          <w:rFonts w:ascii="Verdana" w:eastAsia="Times New Roman" w:hAnsi="Verdana" w:cs="Times New Roman"/>
          <w:lang w:val="en-GB" w:eastAsia="en-GB"/>
        </w:rPr>
        <w:t xml:space="preserve"> </w:t>
      </w:r>
      <w:r w:rsidR="001B0AD0" w:rsidRPr="001B0AD0">
        <w:rPr>
          <w:rFonts w:ascii="Verdana" w:eastAsia="Times New Roman" w:hAnsi="Verdana" w:cs="Times New Roman"/>
          <w:lang w:val="en-GB" w:eastAsia="en-GB"/>
        </w:rPr>
        <w:t xml:space="preserve">that the OBR had checked their estimate of the </w:t>
      </w:r>
      <w:proofErr w:type="gramStart"/>
      <w:r w:rsidR="001B0AD0" w:rsidRPr="001B0AD0">
        <w:rPr>
          <w:rFonts w:ascii="Verdana" w:eastAsia="Times New Roman" w:hAnsi="Verdana" w:cs="Times New Roman"/>
          <w:lang w:val="en-GB" w:eastAsia="en-GB"/>
        </w:rPr>
        <w:t>RAB,</w:t>
      </w:r>
      <w:proofErr w:type="gramEnd"/>
      <w:r w:rsidR="001B0AD0" w:rsidRPr="001B0AD0">
        <w:rPr>
          <w:rFonts w:ascii="Verdana" w:eastAsia="Times New Roman" w:hAnsi="Verdana" w:cs="Times New Roman"/>
          <w:lang w:val="en-GB" w:eastAsia="en-GB"/>
        </w:rPr>
        <w:t xml:space="preserve"> turns out to be potentially misleading.  While the </w:t>
      </w:r>
      <w:r w:rsidR="001B0AD0" w:rsidRPr="001B0AD0">
        <w:rPr>
          <w:rFonts w:ascii="Verdana" w:eastAsia="Times New Roman" w:hAnsi="Verdana"/>
        </w:rPr>
        <w:t>OBR were given the opportunity to challenge the methodology and underpinning assumptions</w:t>
      </w:r>
      <w:r w:rsidR="001B0AD0" w:rsidRPr="001B0AD0">
        <w:rPr>
          <w:rFonts w:ascii="Verdana" w:eastAsia="Times New Roman" w:hAnsi="Verdana" w:cs="Times New Roman"/>
          <w:lang w:val="en-GB" w:eastAsia="en-GB"/>
        </w:rPr>
        <w:t xml:space="preserve"> of the model, they, so far as we can establish, did not go further than this.</w:t>
      </w:r>
    </w:p>
    <w:p w:rsidR="006059EB" w:rsidRDefault="001B0AD0">
      <w:pPr>
        <w:keepNext/>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The impact of fees on inflation</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Tuition fees are included in the calculation of the both the Retail Price Index (RPI) and the Consumer Price Index (CPI). The Office for Budget Responsibility (OBR) has estimated that</w:t>
      </w:r>
      <w:r w:rsidR="00705D41">
        <w:rPr>
          <w:rFonts w:ascii="Verdana" w:eastAsia="Times New Roman" w:hAnsi="Verdana" w:cs="Times New Roman"/>
          <w:lang w:val="en-GB" w:eastAsia="en-GB"/>
        </w:rPr>
        <w:t xml:space="preserve"> the</w:t>
      </w:r>
      <w:r w:rsidRPr="001B0AD0">
        <w:rPr>
          <w:rFonts w:ascii="Verdana" w:eastAsia="Times New Roman" w:hAnsi="Verdana" w:cs="Times New Roman"/>
          <w:lang w:val="en-GB" w:eastAsia="en-GB"/>
        </w:rPr>
        <w:t xml:space="preserve"> increase in fees is expected to add 0.2 per cent to the CPI as the first cohort pays the new fees in 2012</w:t>
      </w:r>
      <w:r w:rsidR="00C27CB1">
        <w:rPr>
          <w:rFonts w:ascii="Verdana" w:eastAsia="Times New Roman" w:hAnsi="Verdana" w:cs="Times New Roman"/>
          <w:lang w:val="en-GB" w:eastAsia="en-GB"/>
        </w:rPr>
        <w:t xml:space="preserve"> (OBR, 2011)</w:t>
      </w:r>
      <w:r w:rsidRPr="001B0AD0">
        <w:rPr>
          <w:rFonts w:ascii="Verdana" w:eastAsia="Times New Roman" w:hAnsi="Verdana" w:cs="Times New Roman"/>
          <w:lang w:val="en-GB" w:eastAsia="en-GB"/>
        </w:rPr>
        <w:t xml:space="preserve">. This increased inflation will lead to bigger rises in various state benefits and Civil Service pensions which are uprated annually in line with the CPI.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This much is generally accepted. What is not agreed is the size of the additional expenditure that will be generated. </w:t>
      </w:r>
      <w:r w:rsidR="00C27CB1">
        <w:rPr>
          <w:rFonts w:ascii="Verdana" w:eastAsia="Times New Roman" w:hAnsi="Verdana" w:cs="Times New Roman"/>
          <w:lang w:val="en-GB" w:eastAsia="en-GB"/>
        </w:rPr>
        <w:t xml:space="preserve">A cost </w:t>
      </w:r>
      <w:r w:rsidR="00705D41">
        <w:rPr>
          <w:rFonts w:ascii="Verdana" w:eastAsia="Times New Roman" w:hAnsi="Verdana" w:cs="Times New Roman"/>
          <w:lang w:val="en-GB" w:eastAsia="en-GB"/>
        </w:rPr>
        <w:t xml:space="preserve">of up to </w:t>
      </w:r>
      <w:r w:rsidR="00C27CB1">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2.2 billion pa. </w:t>
      </w:r>
      <w:proofErr w:type="gramStart"/>
      <w:r w:rsidR="00C27CB1">
        <w:rPr>
          <w:rFonts w:ascii="Verdana" w:eastAsia="Times New Roman" w:hAnsi="Verdana" w:cs="Times New Roman"/>
          <w:lang w:val="en-GB" w:eastAsia="en-GB"/>
        </w:rPr>
        <w:t>has</w:t>
      </w:r>
      <w:proofErr w:type="gramEnd"/>
      <w:r w:rsidR="00C27CB1">
        <w:rPr>
          <w:rFonts w:ascii="Verdana" w:eastAsia="Times New Roman" w:hAnsi="Verdana" w:cs="Times New Roman"/>
          <w:lang w:val="en-GB" w:eastAsia="en-GB"/>
        </w:rPr>
        <w:t xml:space="preserve"> been claimed. </w:t>
      </w:r>
      <w:r w:rsidRPr="001B0AD0">
        <w:rPr>
          <w:rFonts w:ascii="Verdana" w:eastAsia="Times New Roman" w:hAnsi="Verdana" w:cs="Times New Roman"/>
          <w:lang w:val="en-GB" w:eastAsia="en-GB"/>
        </w:rPr>
        <w:t xml:space="preserve">We </w:t>
      </w:r>
      <w:r w:rsidR="00C27CB1">
        <w:rPr>
          <w:rFonts w:ascii="Verdana" w:eastAsia="Times New Roman" w:hAnsi="Verdana" w:cs="Times New Roman"/>
          <w:lang w:val="en-GB" w:eastAsia="en-GB"/>
        </w:rPr>
        <w:t xml:space="preserve">do not </w:t>
      </w:r>
      <w:r w:rsidRPr="001B0AD0">
        <w:rPr>
          <w:rFonts w:ascii="Verdana" w:eastAsia="Times New Roman" w:hAnsi="Verdana" w:cs="Times New Roman"/>
          <w:lang w:val="en-GB" w:eastAsia="en-GB"/>
        </w:rPr>
        <w:t>believe th</w:t>
      </w:r>
      <w:r w:rsidR="00C27CB1">
        <w:rPr>
          <w:rFonts w:ascii="Verdana" w:eastAsia="Times New Roman" w:hAnsi="Verdana" w:cs="Times New Roman"/>
          <w:lang w:val="en-GB" w:eastAsia="en-GB"/>
        </w:rPr>
        <w:t xml:space="preserve">is </w:t>
      </w:r>
      <w:r w:rsidRPr="001B0AD0">
        <w:rPr>
          <w:rFonts w:ascii="Verdana" w:eastAsia="Times New Roman" w:hAnsi="Verdana" w:cs="Times New Roman"/>
          <w:lang w:val="en-GB" w:eastAsia="en-GB"/>
        </w:rPr>
        <w:t>credible and</w:t>
      </w:r>
      <w:r w:rsidR="00296997">
        <w:rPr>
          <w:rFonts w:ascii="Verdana" w:eastAsia="Times New Roman" w:hAnsi="Verdana" w:cs="Times New Roman"/>
          <w:lang w:val="en-GB" w:eastAsia="en-GB"/>
        </w:rPr>
        <w:t xml:space="preserve"> think</w:t>
      </w:r>
      <w:r w:rsidRPr="001B0AD0">
        <w:rPr>
          <w:rFonts w:ascii="Verdana" w:eastAsia="Times New Roman" w:hAnsi="Verdana" w:cs="Times New Roman"/>
          <w:lang w:val="en-GB" w:eastAsia="en-GB"/>
        </w:rPr>
        <w:t xml:space="preserve"> the range should be </w:t>
      </w:r>
      <w:r w:rsidRPr="00AF0329">
        <w:rPr>
          <w:rFonts w:ascii="Verdana" w:hAnsi="Verdana"/>
          <w:lang w:val="en-GB"/>
        </w:rPr>
        <w:t>£</w:t>
      </w:r>
      <w:r w:rsidR="00CB5714" w:rsidRPr="00CB5714">
        <w:rPr>
          <w:rFonts w:ascii="Verdana" w:eastAsia="Times New Roman" w:hAnsi="Verdana" w:cs="Times New Roman"/>
          <w:lang w:val="en-GB" w:eastAsia="en-GB"/>
        </w:rPr>
        <w:t>420</w:t>
      </w:r>
      <w:r w:rsidRPr="001B0AD0">
        <w:rPr>
          <w:rFonts w:ascii="Verdana" w:eastAsia="Times New Roman" w:hAnsi="Verdana" w:cs="Times New Roman"/>
          <w:lang w:val="en-GB" w:eastAsia="en-GB"/>
        </w:rPr>
        <w:t xml:space="preserve"> million pa to </w:t>
      </w:r>
      <w:r w:rsidRPr="00AF0329">
        <w:rPr>
          <w:rFonts w:ascii="Verdana" w:hAnsi="Verdana"/>
          <w:lang w:val="en-GB"/>
        </w:rPr>
        <w:t>£</w:t>
      </w:r>
      <w:r w:rsidR="0090078A">
        <w:rPr>
          <w:rFonts w:ascii="Verdana" w:hAnsi="Verdana"/>
          <w:lang w:val="en-GB"/>
        </w:rPr>
        <w:t>1.14</w:t>
      </w:r>
      <w:r w:rsidRPr="00AF0329">
        <w:rPr>
          <w:rFonts w:ascii="Verdana" w:hAnsi="Verdana"/>
          <w:lang w:val="en-GB"/>
        </w:rPr>
        <w:t xml:space="preserve"> billion</w:t>
      </w:r>
      <w:r w:rsidRPr="001B0AD0">
        <w:rPr>
          <w:rFonts w:ascii="Verdana" w:eastAsia="Times New Roman" w:hAnsi="Verdana" w:cs="Times New Roman"/>
          <w:lang w:val="en-GB" w:eastAsia="en-GB"/>
        </w:rPr>
        <w:t xml:space="preserve"> pa. (See Annex B for details.)</w:t>
      </w:r>
    </w:p>
    <w:p w:rsidR="001B0AD0" w:rsidRPr="001B0AD0" w:rsidRDefault="00296997" w:rsidP="001B0AD0">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Our</w:t>
      </w:r>
      <w:r w:rsidRPr="001B0AD0">
        <w:rPr>
          <w:rFonts w:ascii="Verdana" w:eastAsia="Times New Roman" w:hAnsi="Verdana" w:cs="Times New Roman"/>
          <w:lang w:val="en-GB" w:eastAsia="en-GB"/>
        </w:rPr>
        <w:t xml:space="preserve"> </w:t>
      </w:r>
      <w:r w:rsidR="001B0AD0" w:rsidRPr="001B0AD0">
        <w:rPr>
          <w:rFonts w:ascii="Verdana" w:eastAsia="Times New Roman" w:hAnsi="Verdana" w:cs="Times New Roman"/>
          <w:lang w:val="en-GB" w:eastAsia="en-GB"/>
        </w:rPr>
        <w:t>higher figure assumes that the higher fees will continue to increase inflation beyond the initial increase arising from the entrants starting in the autumn of 2012, and that this continuing impact will give rise to increased public expenditure . This may not happen for two reasons:</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Firstly, the Bank of England’s Monetary Policy Committee may take addition measures to ensure that this inflation pressure does not lead to inflation after the </w:t>
      </w:r>
      <w:r w:rsidR="00DE294A">
        <w:rPr>
          <w:rFonts w:ascii="Verdana" w:eastAsia="Times New Roman" w:hAnsi="Verdana" w:cs="Times New Roman"/>
          <w:lang w:val="en-GB" w:eastAsia="en-GB"/>
        </w:rPr>
        <w:t xml:space="preserve">impact of the </w:t>
      </w:r>
      <w:r w:rsidRPr="001B0AD0">
        <w:rPr>
          <w:rFonts w:ascii="Verdana" w:eastAsia="Times New Roman" w:hAnsi="Verdana" w:cs="Times New Roman"/>
          <w:lang w:val="en-GB" w:eastAsia="en-GB"/>
        </w:rPr>
        <w:t>2012 intake.</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u w:val="single"/>
          <w:lang w:val="en-GB" w:eastAsia="en-GB"/>
        </w:rPr>
      </w:pPr>
      <w:r w:rsidRPr="001B0AD0">
        <w:rPr>
          <w:rFonts w:ascii="Verdana" w:eastAsia="Times New Roman" w:hAnsi="Verdana" w:cs="Times New Roman"/>
          <w:lang w:val="en-GB" w:eastAsia="en-GB"/>
        </w:rPr>
        <w:t xml:space="preserve">Secondly, the Government may decide not to continue to update benefits </w:t>
      </w:r>
      <w:r w:rsidR="00296997">
        <w:rPr>
          <w:rFonts w:ascii="Verdana" w:eastAsia="Times New Roman" w:hAnsi="Verdana" w:cs="Times New Roman"/>
          <w:lang w:val="en-GB" w:eastAsia="en-GB"/>
        </w:rPr>
        <w:t xml:space="preserve">in line </w:t>
      </w:r>
      <w:r w:rsidRPr="001B0AD0">
        <w:rPr>
          <w:rFonts w:ascii="Verdana" w:eastAsia="Times New Roman" w:hAnsi="Verdana" w:cs="Times New Roman"/>
          <w:lang w:val="en-GB" w:eastAsia="en-GB"/>
        </w:rPr>
        <w:t xml:space="preserve">with the CPI after 2013. There have even been suggestions that benefits will be frozen from 2014 </w:t>
      </w:r>
    </w:p>
    <w:p w:rsidR="006F39D0" w:rsidRDefault="006F39D0" w:rsidP="001B0AD0">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lastRenderedPageBreak/>
        <w:t>If the higher figure came about this would take most of the £1.3 billion pa savings the changes are projected to make using the assumptions made for the White Paper costings. Even without any changes to the underlyin</w:t>
      </w:r>
      <w:r w:rsidR="005838DB">
        <w:rPr>
          <w:rFonts w:ascii="Verdana" w:eastAsia="Times New Roman" w:hAnsi="Verdana" w:cs="Times New Roman"/>
          <w:lang w:val="en-GB" w:eastAsia="en-GB"/>
        </w:rPr>
        <w:t>g</w:t>
      </w:r>
      <w:r>
        <w:rPr>
          <w:rFonts w:ascii="Verdana" w:eastAsia="Times New Roman" w:hAnsi="Verdana" w:cs="Times New Roman"/>
          <w:lang w:val="en-GB" w:eastAsia="en-GB"/>
        </w:rPr>
        <w:t xml:space="preserve"> assumptions about future earnings, repayments etc, just increas</w:t>
      </w:r>
      <w:r w:rsidR="00551610">
        <w:rPr>
          <w:rFonts w:ascii="Verdana" w:eastAsia="Times New Roman" w:hAnsi="Verdana" w:cs="Times New Roman"/>
          <w:lang w:val="en-GB" w:eastAsia="en-GB"/>
        </w:rPr>
        <w:t xml:space="preserve">ing </w:t>
      </w:r>
      <w:r>
        <w:rPr>
          <w:rFonts w:ascii="Verdana" w:eastAsia="Times New Roman" w:hAnsi="Verdana" w:cs="Times New Roman"/>
          <w:lang w:val="en-GB" w:eastAsia="en-GB"/>
        </w:rPr>
        <w:t xml:space="preserve">the fee assumption from </w:t>
      </w:r>
      <w:r w:rsidR="005838DB">
        <w:rPr>
          <w:rFonts w:ascii="Verdana" w:eastAsia="Times New Roman" w:hAnsi="Verdana" w:cs="Times New Roman"/>
          <w:lang w:val="en-GB" w:eastAsia="en-GB"/>
        </w:rPr>
        <w:t>£7500 to our estimate of £</w:t>
      </w:r>
      <w:r w:rsidR="005279AA">
        <w:rPr>
          <w:rFonts w:ascii="Verdana" w:eastAsia="Times New Roman" w:hAnsi="Verdana" w:cs="Times New Roman"/>
          <w:lang w:val="en-GB" w:eastAsia="en-GB"/>
        </w:rPr>
        <w:t>8234</w:t>
      </w:r>
      <w:r w:rsidR="005838DB">
        <w:rPr>
          <w:rFonts w:ascii="Verdana" w:eastAsia="Times New Roman" w:hAnsi="Verdana" w:cs="Times New Roman"/>
          <w:lang w:val="en-GB" w:eastAsia="en-GB"/>
        </w:rPr>
        <w:t xml:space="preserve"> would mean </w:t>
      </w:r>
      <w:r w:rsidR="00DE294A">
        <w:rPr>
          <w:rFonts w:ascii="Verdana" w:eastAsia="Times New Roman" w:hAnsi="Verdana" w:cs="Times New Roman"/>
          <w:lang w:val="en-GB" w:eastAsia="en-GB"/>
        </w:rPr>
        <w:t xml:space="preserve">that </w:t>
      </w:r>
      <w:r w:rsidR="005838DB">
        <w:rPr>
          <w:rFonts w:ascii="Verdana" w:eastAsia="Times New Roman" w:hAnsi="Verdana" w:cs="Times New Roman"/>
          <w:lang w:val="en-GB" w:eastAsia="en-GB"/>
        </w:rPr>
        <w:t>the ‘savings’</w:t>
      </w:r>
      <w:r w:rsidR="0090078A">
        <w:rPr>
          <w:rFonts w:ascii="Verdana" w:eastAsia="Times New Roman" w:hAnsi="Verdana" w:cs="Times New Roman"/>
          <w:lang w:val="en-GB" w:eastAsia="en-GB"/>
        </w:rPr>
        <w:t xml:space="preserve"> would increase costs by £15</w:t>
      </w:r>
      <w:r w:rsidR="00DE294A">
        <w:rPr>
          <w:rFonts w:ascii="Verdana" w:eastAsia="Times New Roman" w:hAnsi="Verdana" w:cs="Times New Roman"/>
          <w:lang w:val="en-GB" w:eastAsia="en-GB"/>
        </w:rPr>
        <w:t xml:space="preserve">0 million pa. </w:t>
      </w:r>
    </w:p>
    <w:p w:rsidR="001B0AD0" w:rsidRPr="00AF0329" w:rsidRDefault="001B0AD0" w:rsidP="00AF0329">
      <w:pPr>
        <w:spacing w:after="240"/>
        <w:ind w:left="0"/>
        <w:rPr>
          <w:rFonts w:ascii="Verdana" w:hAnsi="Verdana"/>
          <w:b/>
        </w:rPr>
      </w:pPr>
      <w:r w:rsidRPr="00AF0329">
        <w:rPr>
          <w:rFonts w:ascii="Verdana" w:hAnsi="Verdana"/>
          <w:b/>
        </w:rPr>
        <w:t xml:space="preserve">The impact on the Public Sector Net Cash Requirement (PSNCR) - the deficit -and the Public Sector Net Debt (PSND) - the debt </w:t>
      </w:r>
    </w:p>
    <w:p w:rsidR="008B09B8" w:rsidRPr="001B0AD0" w:rsidRDefault="008B09B8" w:rsidP="008B09B8">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So long as the Government </w:t>
      </w:r>
      <w:r>
        <w:rPr>
          <w:rFonts w:ascii="Verdana" w:eastAsia="Times New Roman" w:hAnsi="Verdana" w:cs="Times New Roman"/>
          <w:lang w:val="en-GB" w:eastAsia="en-GB"/>
        </w:rPr>
        <w:t xml:space="preserve">bases its calculations on a RAB cost of 32 per cent </w:t>
      </w:r>
      <w:r w:rsidRPr="001B0AD0">
        <w:rPr>
          <w:rFonts w:ascii="Verdana" w:eastAsia="Times New Roman" w:hAnsi="Verdana" w:cs="Times New Roman"/>
          <w:lang w:val="en-GB" w:eastAsia="en-GB"/>
        </w:rPr>
        <w:t>it can claim that the deficit will be reduced</w:t>
      </w:r>
      <w:r w:rsidRPr="008B09B8">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because it will be spending</w:t>
      </w:r>
      <w:r>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less to make direct grants to universities through HEFCE</w:t>
      </w:r>
      <w:r>
        <w:rPr>
          <w:rFonts w:ascii="Verdana" w:eastAsia="Times New Roman" w:hAnsi="Verdana" w:cs="Times New Roman"/>
          <w:lang w:val="en-GB" w:eastAsia="en-GB"/>
        </w:rPr>
        <w:t xml:space="preserve">. The expected savings would be even greater if the RAB cost of 30 per cent quoted in the White paper were used. </w:t>
      </w:r>
      <w:r w:rsidRPr="001B0AD0">
        <w:rPr>
          <w:rFonts w:ascii="Verdana" w:eastAsia="Times New Roman" w:hAnsi="Verdana" w:cs="Times New Roman"/>
          <w:lang w:val="en-GB" w:eastAsia="en-GB"/>
        </w:rPr>
        <w:t xml:space="preserve"> However, if </w:t>
      </w:r>
      <w:r>
        <w:rPr>
          <w:rFonts w:ascii="Verdana" w:eastAsia="Times New Roman" w:hAnsi="Verdana" w:cs="Times New Roman"/>
          <w:lang w:val="en-GB" w:eastAsia="en-GB"/>
        </w:rPr>
        <w:t>as seems apparent</w:t>
      </w:r>
      <w:r w:rsidRPr="001B0AD0">
        <w:rPr>
          <w:rFonts w:ascii="Verdana" w:eastAsia="Times New Roman" w:hAnsi="Verdana" w:cs="Times New Roman"/>
          <w:lang w:val="en-GB" w:eastAsia="en-GB"/>
        </w:rPr>
        <w:t xml:space="preserve"> the RAB cost is much higher, and </w:t>
      </w:r>
      <w:r>
        <w:rPr>
          <w:rFonts w:ascii="Verdana" w:eastAsia="Times New Roman" w:hAnsi="Verdana" w:cs="Times New Roman"/>
          <w:lang w:val="en-GB" w:eastAsia="en-GB"/>
        </w:rPr>
        <w:t>public</w:t>
      </w:r>
      <w:r w:rsidRPr="001B0AD0">
        <w:rPr>
          <w:rFonts w:ascii="Verdana" w:eastAsia="Times New Roman" w:hAnsi="Verdana" w:cs="Times New Roman"/>
          <w:lang w:val="en-GB" w:eastAsia="en-GB"/>
        </w:rPr>
        <w:t xml:space="preserve"> spending </w:t>
      </w:r>
      <w:r>
        <w:rPr>
          <w:rFonts w:ascii="Verdana" w:eastAsia="Times New Roman" w:hAnsi="Verdana" w:cs="Times New Roman"/>
          <w:lang w:val="en-GB" w:eastAsia="en-GB"/>
        </w:rPr>
        <w:t>increases because of</w:t>
      </w:r>
      <w:r w:rsidRPr="001B0AD0">
        <w:rPr>
          <w:rFonts w:ascii="Verdana" w:eastAsia="Times New Roman" w:hAnsi="Verdana" w:cs="Times New Roman"/>
          <w:lang w:val="en-GB" w:eastAsia="en-GB"/>
        </w:rPr>
        <w:t xml:space="preserve"> the inflationary impact of fee rises, then the reduction in the deficit will be much less</w:t>
      </w:r>
      <w:r>
        <w:rPr>
          <w:rFonts w:ascii="Verdana" w:eastAsia="Times New Roman" w:hAnsi="Verdana" w:cs="Times New Roman"/>
          <w:lang w:val="en-GB" w:eastAsia="en-GB"/>
        </w:rPr>
        <w:t xml:space="preserve"> – perhaps less than zero</w:t>
      </w:r>
      <w:r w:rsidRPr="001B0AD0">
        <w:rPr>
          <w:rFonts w:ascii="Verdana" w:eastAsia="Times New Roman" w:hAnsi="Verdana" w:cs="Times New Roman"/>
          <w:lang w:val="en-GB" w:eastAsia="en-GB"/>
        </w:rPr>
        <w:t xml:space="preserve">. </w:t>
      </w:r>
      <w:r>
        <w:rPr>
          <w:rFonts w:ascii="Verdana" w:eastAsia="Times New Roman" w:hAnsi="Verdana" w:cs="Times New Roman"/>
          <w:lang w:val="en-GB" w:eastAsia="en-GB"/>
        </w:rPr>
        <w:t>If, as we expect, it becomes evident that the</w:t>
      </w:r>
      <w:r w:rsidRPr="001B0AD0">
        <w:rPr>
          <w:rFonts w:ascii="Verdana" w:eastAsia="Times New Roman" w:hAnsi="Verdana" w:cs="Times New Roman"/>
          <w:lang w:val="en-GB" w:eastAsia="en-GB"/>
        </w:rPr>
        <w:t xml:space="preserve"> RAB cost</w:t>
      </w:r>
      <w:r>
        <w:rPr>
          <w:rFonts w:ascii="Verdana" w:eastAsia="Times New Roman" w:hAnsi="Verdana" w:cs="Times New Roman"/>
          <w:lang w:val="en-GB" w:eastAsia="en-GB"/>
        </w:rPr>
        <w:t xml:space="preserve"> has been underestimated</w:t>
      </w:r>
      <w:proofErr w:type="gramStart"/>
      <w:r w:rsidRPr="001B0AD0">
        <w:rPr>
          <w:rFonts w:ascii="Verdana" w:eastAsia="Times New Roman" w:hAnsi="Verdana" w:cs="Times New Roman"/>
          <w:lang w:val="en-GB" w:eastAsia="en-GB"/>
        </w:rPr>
        <w:t>,  it</w:t>
      </w:r>
      <w:proofErr w:type="gramEnd"/>
      <w:r w:rsidRPr="001B0AD0">
        <w:rPr>
          <w:rFonts w:ascii="Verdana" w:eastAsia="Times New Roman" w:hAnsi="Verdana" w:cs="Times New Roman"/>
          <w:lang w:val="en-GB" w:eastAsia="en-GB"/>
        </w:rPr>
        <w:t xml:space="preserve"> is unclear what would trigger a decision to revise it - perhaps a decision from the Treasury or a different part of Government, a challenge from the OBR or ONS, or else an attempt to sell the loan book.  However if,</w:t>
      </w:r>
      <w:r>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as </w:t>
      </w:r>
      <w:r>
        <w:rPr>
          <w:rFonts w:ascii="Verdana" w:eastAsia="Times New Roman" w:hAnsi="Verdana" w:cs="Times New Roman"/>
          <w:lang w:val="en-GB" w:eastAsia="en-GB"/>
        </w:rPr>
        <w:t>appears clear,</w:t>
      </w:r>
      <w:r w:rsidRPr="001B0AD0">
        <w:rPr>
          <w:rFonts w:ascii="Verdana" w:eastAsia="Times New Roman" w:hAnsi="Verdana" w:cs="Times New Roman"/>
          <w:lang w:val="en-GB" w:eastAsia="en-GB"/>
        </w:rPr>
        <w:t xml:space="preserve"> the real cost of the loans has been underestimated by the </w:t>
      </w:r>
      <w:r>
        <w:rPr>
          <w:rFonts w:ascii="Verdana" w:eastAsia="Times New Roman" w:hAnsi="Verdana" w:cs="Times New Roman"/>
          <w:lang w:val="en-GB" w:eastAsia="en-GB"/>
        </w:rPr>
        <w:t>G</w:t>
      </w:r>
      <w:r w:rsidRPr="001B0AD0">
        <w:rPr>
          <w:rFonts w:ascii="Verdana" w:eastAsia="Times New Roman" w:hAnsi="Verdana" w:cs="Times New Roman"/>
          <w:lang w:val="en-GB" w:eastAsia="en-GB"/>
        </w:rPr>
        <w:t>overnment, at some point there will have to be an adjustment.</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Although </w:t>
      </w:r>
      <w:r w:rsidR="00760D82">
        <w:rPr>
          <w:rFonts w:ascii="Verdana" w:eastAsia="Times New Roman" w:hAnsi="Verdana" w:cs="Times New Roman"/>
          <w:lang w:val="en-GB" w:eastAsia="en-GB"/>
        </w:rPr>
        <w:t>ex</w:t>
      </w:r>
      <w:r w:rsidRPr="001B0AD0">
        <w:rPr>
          <w:rFonts w:ascii="Verdana" w:eastAsia="Times New Roman" w:hAnsi="Verdana" w:cs="Times New Roman"/>
          <w:lang w:val="en-GB" w:eastAsia="en-GB"/>
        </w:rPr>
        <w:t xml:space="preserve">pected future repayments reduce the deficit at the time that the loans are made, </w:t>
      </w:r>
      <w:r w:rsidR="00760D82">
        <w:rPr>
          <w:rFonts w:ascii="Verdana" w:eastAsia="Times New Roman" w:hAnsi="Verdana" w:cs="Times New Roman"/>
          <w:lang w:val="en-GB" w:eastAsia="en-GB"/>
        </w:rPr>
        <w:t>and so the RAB cost impacts on the extent of the deficit, t</w:t>
      </w:r>
      <w:r w:rsidR="00760D82" w:rsidRPr="001B0AD0">
        <w:rPr>
          <w:rFonts w:ascii="Verdana" w:eastAsia="Times New Roman" w:hAnsi="Verdana" w:cs="Times New Roman"/>
          <w:lang w:val="en-GB" w:eastAsia="en-GB"/>
        </w:rPr>
        <w:t xml:space="preserve">he debt is different. </w:t>
      </w:r>
      <w:r w:rsidR="00760D82">
        <w:rPr>
          <w:rFonts w:ascii="Verdana" w:eastAsia="Times New Roman" w:hAnsi="Verdana" w:cs="Times New Roman"/>
          <w:lang w:val="en-GB" w:eastAsia="en-GB"/>
        </w:rPr>
        <w:t>Repayments</w:t>
      </w:r>
      <w:r w:rsidR="00760D82"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only reduce the PSND at the time they are </w:t>
      </w:r>
      <w:r w:rsidR="00B03ED6">
        <w:rPr>
          <w:rFonts w:ascii="Verdana" w:eastAsia="Times New Roman" w:hAnsi="Verdana" w:cs="Times New Roman"/>
          <w:lang w:val="en-GB" w:eastAsia="en-GB"/>
        </w:rPr>
        <w:t>paid</w:t>
      </w:r>
      <w:r w:rsidRPr="001B0AD0">
        <w:rPr>
          <w:rFonts w:ascii="Verdana" w:eastAsia="Times New Roman" w:hAnsi="Verdana" w:cs="Times New Roman"/>
          <w:lang w:val="en-GB" w:eastAsia="en-GB"/>
        </w:rPr>
        <w:t xml:space="preserve"> (if they are </w:t>
      </w:r>
      <w:r w:rsidR="00B03ED6">
        <w:rPr>
          <w:rFonts w:ascii="Verdana" w:eastAsia="Times New Roman" w:hAnsi="Verdana" w:cs="Times New Roman"/>
          <w:lang w:val="en-GB" w:eastAsia="en-GB"/>
        </w:rPr>
        <w:t>paid</w:t>
      </w:r>
      <w:r w:rsidRPr="001B0AD0">
        <w:rPr>
          <w:rFonts w:ascii="Verdana" w:eastAsia="Times New Roman" w:hAnsi="Verdana" w:cs="Times New Roman"/>
          <w:lang w:val="en-GB" w:eastAsia="en-GB"/>
        </w:rPr>
        <w:t>), not before. Because of the sums involved, and the long time period for repayment, and therefore the uncertainty of repayment, the impact of students</w:t>
      </w:r>
      <w:r w:rsidR="005838DB">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loans on the debt is of concern, irrespective of the RAB </w:t>
      </w:r>
      <w:r w:rsidR="00296997">
        <w:rPr>
          <w:rFonts w:ascii="Verdana" w:eastAsia="Times New Roman" w:hAnsi="Verdana" w:cs="Times New Roman"/>
          <w:lang w:val="en-GB" w:eastAsia="en-GB"/>
        </w:rPr>
        <w:t>cost</w:t>
      </w:r>
      <w:r w:rsidRPr="001B0AD0">
        <w:rPr>
          <w:rFonts w:ascii="Verdana" w:eastAsia="Times New Roman" w:hAnsi="Verdana" w:cs="Times New Roman"/>
          <w:lang w:val="en-GB" w:eastAsia="en-GB"/>
        </w:rPr>
        <w:t xml:space="preserve">. The most recent OBR projections show the PSND from </w:t>
      </w:r>
      <w:r w:rsidRPr="001B0AD0">
        <w:rPr>
          <w:rFonts w:ascii="Verdana" w:eastAsia="Times New Roman" w:hAnsi="Verdana"/>
        </w:rPr>
        <w:t xml:space="preserve">from student loans will peak at </w:t>
      </w:r>
      <w:r w:rsidR="000F3B4F">
        <w:rPr>
          <w:rFonts w:ascii="Verdana" w:eastAsia="Times New Roman" w:hAnsi="Verdana"/>
        </w:rPr>
        <w:t>6.1</w:t>
      </w:r>
      <w:r w:rsidRPr="001B0AD0">
        <w:rPr>
          <w:rFonts w:ascii="Verdana" w:eastAsia="Times New Roman" w:hAnsi="Verdana"/>
        </w:rPr>
        <w:t xml:space="preserve"> per cent of GDP in the early 2030s and will the only fall off slowly to </w:t>
      </w:r>
      <w:r w:rsidR="000F3B4F">
        <w:rPr>
          <w:rFonts w:ascii="Verdana" w:eastAsia="Times New Roman" w:hAnsi="Verdana"/>
        </w:rPr>
        <w:t>4.4</w:t>
      </w:r>
      <w:r w:rsidRPr="001B0AD0">
        <w:rPr>
          <w:rFonts w:ascii="Verdana" w:eastAsia="Times New Roman" w:hAnsi="Verdana"/>
        </w:rPr>
        <w:t xml:space="preserve"> per cent by 2061</w:t>
      </w:r>
      <w:r w:rsidR="00551610">
        <w:rPr>
          <w:rFonts w:ascii="Verdana" w:eastAsia="Times New Roman" w:hAnsi="Verdana"/>
        </w:rPr>
        <w:t>-</w:t>
      </w:r>
      <w:r w:rsidRPr="001B0AD0">
        <w:rPr>
          <w:rFonts w:ascii="Verdana" w:eastAsia="Times New Roman" w:hAnsi="Verdana"/>
        </w:rPr>
        <w:t>62</w:t>
      </w:r>
      <w:r w:rsidR="00B03ED6">
        <w:rPr>
          <w:rFonts w:ascii="Verdana" w:eastAsia="Times New Roman" w:hAnsi="Verdana"/>
        </w:rPr>
        <w:t>,</w:t>
      </w:r>
      <w:r w:rsidRPr="001B0AD0">
        <w:rPr>
          <w:rFonts w:ascii="Verdana" w:eastAsia="Times New Roman" w:hAnsi="Verdana"/>
        </w:rPr>
        <w:t xml:space="preserve"> still a high figure</w:t>
      </w:r>
      <w:r w:rsidR="00B018D8">
        <w:rPr>
          <w:rFonts w:ascii="Verdana" w:eastAsia="Times New Roman" w:hAnsi="Verdana"/>
        </w:rPr>
        <w:t xml:space="preserve"> (OBR, 2012b</w:t>
      </w:r>
      <w:r w:rsidR="00FB2D50">
        <w:rPr>
          <w:rFonts w:ascii="Verdana" w:eastAsia="Times New Roman" w:hAnsi="Verdana"/>
        </w:rPr>
        <w:t>, paragraph 3</w:t>
      </w:r>
      <w:r w:rsidR="000F3B4F">
        <w:rPr>
          <w:rFonts w:ascii="Verdana" w:eastAsia="Times New Roman" w:hAnsi="Verdana"/>
        </w:rPr>
        <w:t>.</w:t>
      </w:r>
      <w:r w:rsidR="00FB2D50">
        <w:rPr>
          <w:rFonts w:ascii="Verdana" w:eastAsia="Times New Roman" w:hAnsi="Verdana"/>
        </w:rPr>
        <w:t>6</w:t>
      </w:r>
      <w:r w:rsidR="000F3B4F">
        <w:rPr>
          <w:rFonts w:ascii="Verdana" w:eastAsia="Times New Roman" w:hAnsi="Verdana"/>
        </w:rPr>
        <w:t>1</w:t>
      </w:r>
      <w:r w:rsidR="000F3B4F">
        <w:rPr>
          <w:rStyle w:val="FootnoteReference"/>
          <w:rFonts w:ascii="Verdana" w:eastAsia="Times New Roman" w:hAnsi="Verdana"/>
        </w:rPr>
        <w:footnoteReference w:id="9"/>
      </w:r>
      <w:r w:rsidR="00B018D8">
        <w:rPr>
          <w:rFonts w:ascii="Verdana" w:eastAsia="Times New Roman" w:hAnsi="Verdana"/>
        </w:rPr>
        <w:t>)</w:t>
      </w:r>
      <w:r w:rsidRPr="001B0AD0">
        <w:rPr>
          <w:rFonts w:ascii="Verdana" w:eastAsia="Times New Roman" w:hAnsi="Verdana"/>
        </w:rPr>
        <w:t>.</w:t>
      </w:r>
    </w:p>
    <w:p w:rsidR="001B0AD0" w:rsidRPr="001B0AD0" w:rsidRDefault="001B0AD0" w:rsidP="001B0AD0">
      <w:pPr>
        <w:numPr>
          <w:ilvl w:val="0"/>
          <w:numId w:val="1"/>
        </w:numPr>
        <w:spacing w:after="240" w:line="300" w:lineRule="atLeast"/>
        <w:ind w:left="0" w:right="0"/>
        <w:jc w:val="left"/>
        <w:rPr>
          <w:rFonts w:ascii="Verdana" w:eastAsia="Times New Roman" w:hAnsi="Verdana" w:cs="FuturaBT-Book"/>
          <w:lang w:val="en-GB"/>
        </w:rPr>
      </w:pPr>
      <w:r w:rsidRPr="001B0AD0">
        <w:rPr>
          <w:rFonts w:ascii="Verdana" w:eastAsia="Times New Roman" w:hAnsi="Verdana" w:cs="Times New Roman"/>
          <w:lang w:val="en-GB" w:eastAsia="en-GB"/>
        </w:rPr>
        <w:t>Given the size of this contribution to the debt, it is not surprising that OBR wish</w:t>
      </w:r>
      <w:r w:rsidR="00296997">
        <w:rPr>
          <w:rFonts w:ascii="Verdana" w:eastAsia="Times New Roman" w:hAnsi="Verdana" w:cs="Times New Roman"/>
          <w:lang w:val="en-GB" w:eastAsia="en-GB"/>
        </w:rPr>
        <w:t>es</w:t>
      </w:r>
      <w:r w:rsidRPr="001B0AD0">
        <w:rPr>
          <w:rFonts w:ascii="Verdana" w:eastAsia="Times New Roman" w:hAnsi="Verdana" w:cs="Times New Roman"/>
          <w:lang w:val="en-GB" w:eastAsia="en-GB"/>
        </w:rPr>
        <w:t xml:space="preserve"> to refine these estimates, and </w:t>
      </w:r>
      <w:r w:rsidR="00296997">
        <w:rPr>
          <w:rFonts w:ascii="Verdana" w:eastAsia="Times New Roman" w:hAnsi="Verdana" w:cs="Times New Roman"/>
          <w:lang w:val="en-GB" w:eastAsia="en-GB"/>
        </w:rPr>
        <w:t>it has</w:t>
      </w:r>
      <w:r w:rsidRPr="001B0AD0">
        <w:rPr>
          <w:rFonts w:ascii="Verdana" w:eastAsia="Times New Roman" w:hAnsi="Verdana" w:cs="Times New Roman"/>
          <w:lang w:val="en-GB" w:eastAsia="en-GB"/>
        </w:rPr>
        <w:t xml:space="preserve"> </w:t>
      </w:r>
      <w:r w:rsidRPr="001B0AD0">
        <w:rPr>
          <w:rFonts w:ascii="Verdana" w:eastAsia="Times New Roman" w:hAnsi="Verdana"/>
        </w:rPr>
        <w:t xml:space="preserve">commissioned </w:t>
      </w:r>
      <w:r w:rsidRPr="001B0AD0">
        <w:rPr>
          <w:rFonts w:ascii="Verdana" w:eastAsia="Times New Roman" w:hAnsi="Verdana" w:cs="FuturaBT-Book"/>
        </w:rPr>
        <w:t>BIS to model projections of loans and repayments over the next 50 years</w:t>
      </w:r>
      <w:r w:rsidRPr="001B0AD0">
        <w:rPr>
          <w:rFonts w:ascii="Verdana" w:eastAsia="Times New Roman" w:hAnsi="Verdana" w:cs="Times New Roman"/>
          <w:lang w:val="en-GB" w:eastAsia="en-GB"/>
        </w:rPr>
        <w:t xml:space="preserve">. </w:t>
      </w:r>
      <w:r w:rsidRPr="001B0AD0">
        <w:rPr>
          <w:rFonts w:ascii="Verdana" w:eastAsia="Times New Roman" w:hAnsi="Verdana" w:cs="FuturaBT-Book"/>
          <w:lang w:val="en-GB"/>
        </w:rPr>
        <w:t xml:space="preserve"> </w:t>
      </w:r>
    </w:p>
    <w:p w:rsidR="001B0AD0" w:rsidRPr="001B0AD0" w:rsidRDefault="001B0AD0" w:rsidP="001B0AD0">
      <w:pPr>
        <w:autoSpaceDE w:val="0"/>
        <w:autoSpaceDN w:val="0"/>
        <w:adjustRightInd w:val="0"/>
        <w:spacing w:after="240" w:line="240" w:lineRule="auto"/>
        <w:ind w:left="567" w:right="0"/>
        <w:jc w:val="left"/>
        <w:rPr>
          <w:rFonts w:ascii="Verdana" w:eastAsia="Times New Roman" w:hAnsi="Verdana" w:cs="FuturaBT-Book"/>
          <w:lang w:val="en-GB"/>
        </w:rPr>
      </w:pPr>
      <w:r w:rsidRPr="001B0AD0">
        <w:rPr>
          <w:rFonts w:ascii="Verdana" w:eastAsia="Times New Roman" w:hAnsi="Verdana" w:cs="FuturaBT-Book"/>
          <w:lang w:val="en-GB"/>
        </w:rPr>
        <w:lastRenderedPageBreak/>
        <w:t>“We have commissioned the Department for Business, Innovation and Skills (BIS) to model projections of loans and repayments over the next 50 years. Our key assumptions here are that student numbers are assumed to be flat at their current numbers and the initial average fee loan per student is £7,000. We also assume that the tuition fee cap and maintenance grants and loans are uprated in line with earnings after the forecast peri</w:t>
      </w:r>
      <w:r w:rsidR="008125BA">
        <w:rPr>
          <w:rFonts w:ascii="Verdana" w:eastAsia="Times New Roman" w:hAnsi="Verdana" w:cs="FuturaBT-Book"/>
          <w:lang w:val="en-GB"/>
        </w:rPr>
        <w:t>od." OBR, 2012b, paragraph 3.60</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These key assumptions on student numbers, fee loans and the uprating of fees, loans and grants are of interest for two reasons. Firstly, given what we understand about the RAB estimates, should they be viewed as representing the most likely outcome? Secondly, we can assume they reflect Government policy and expectations, or at least what OBR think are Governments policies and expectations. Taking each in turn in reverse order.</w:t>
      </w:r>
    </w:p>
    <w:p w:rsidR="001B0AD0" w:rsidRPr="001B0AD0" w:rsidRDefault="001B0AD0" w:rsidP="001B0AD0">
      <w:pPr>
        <w:autoSpaceDE w:val="0"/>
        <w:autoSpaceDN w:val="0"/>
        <w:adjustRightInd w:val="0"/>
        <w:spacing w:after="240" w:line="240" w:lineRule="auto"/>
        <w:ind w:left="0"/>
        <w:rPr>
          <w:rFonts w:ascii="Verdana" w:eastAsia="Times New Roman" w:hAnsi="Verdana" w:cs="FuturaBT-Book"/>
          <w:i/>
        </w:rPr>
      </w:pPr>
      <w:r w:rsidRPr="001B0AD0">
        <w:rPr>
          <w:rFonts w:ascii="Verdana" w:eastAsia="Times New Roman" w:hAnsi="Verdana" w:cs="FuturaBT-Book"/>
          <w:i/>
        </w:rPr>
        <w:t>Fees and loans uprated with earnings</w:t>
      </w:r>
    </w:p>
    <w:p w:rsidR="001B0AD0" w:rsidRPr="00453218" w:rsidRDefault="001B0AD0" w:rsidP="00C5365C">
      <w:pPr>
        <w:numPr>
          <w:ilvl w:val="0"/>
          <w:numId w:val="1"/>
        </w:numPr>
        <w:spacing w:after="240" w:line="300" w:lineRule="atLeast"/>
        <w:ind w:left="0" w:right="0"/>
        <w:jc w:val="left"/>
        <w:rPr>
          <w:rFonts w:ascii="Verdana" w:eastAsia="Times New Roman" w:hAnsi="Verdana" w:cs="Times New Roman"/>
          <w:lang w:val="en-GB" w:eastAsia="en-GB"/>
        </w:rPr>
      </w:pPr>
      <w:r w:rsidRPr="00AF0329">
        <w:rPr>
          <w:rFonts w:ascii="Verdana" w:hAnsi="Verdana"/>
          <w:lang w:val="en-GB"/>
        </w:rPr>
        <w:t xml:space="preserve">This is assumed to occur after the forecast </w:t>
      </w:r>
      <w:proofErr w:type="gramStart"/>
      <w:r w:rsidRPr="00AF0329">
        <w:rPr>
          <w:rFonts w:ascii="Verdana" w:hAnsi="Verdana"/>
          <w:lang w:val="en-GB"/>
        </w:rPr>
        <w:t>period, that</w:t>
      </w:r>
      <w:proofErr w:type="gramEnd"/>
      <w:r w:rsidRPr="00AF0329">
        <w:rPr>
          <w:rFonts w:ascii="Verdana" w:hAnsi="Verdana"/>
          <w:lang w:val="en-GB"/>
        </w:rPr>
        <w:t xml:space="preserve"> is after 2016-17. In their modelling BIS are assuming that they will increase with inflation before then. Both of these assumptions seem pessimistic - that is they will inflate the debt to more than </w:t>
      </w:r>
      <w:proofErr w:type="gramStart"/>
      <w:r w:rsidRPr="00AF0329">
        <w:rPr>
          <w:rFonts w:ascii="Verdana" w:hAnsi="Verdana"/>
          <w:lang w:val="en-GB"/>
        </w:rPr>
        <w:t>seems</w:t>
      </w:r>
      <w:proofErr w:type="gramEnd"/>
      <w:r w:rsidRPr="00AF0329">
        <w:rPr>
          <w:rFonts w:ascii="Verdana" w:hAnsi="Verdana"/>
          <w:lang w:val="en-GB"/>
        </w:rPr>
        <w:t xml:space="preserve"> likely.</w:t>
      </w:r>
      <w:r w:rsidR="00006687">
        <w:rPr>
          <w:rFonts w:ascii="Verdana" w:hAnsi="Verdana"/>
          <w:lang w:val="en-GB"/>
        </w:rPr>
        <w:t xml:space="preserve"> </w:t>
      </w:r>
      <w:r w:rsidRPr="00AF0329">
        <w:rPr>
          <w:rFonts w:ascii="Verdana" w:hAnsi="Verdana"/>
          <w:lang w:val="en-GB"/>
        </w:rPr>
        <w:t xml:space="preserve"> </w:t>
      </w:r>
      <w:r w:rsidR="00006687">
        <w:rPr>
          <w:rFonts w:ascii="Verdana" w:hAnsi="Verdana"/>
          <w:lang w:val="en-GB"/>
        </w:rPr>
        <w:t xml:space="preserve">(We do </w:t>
      </w:r>
      <w:proofErr w:type="gramStart"/>
      <w:r w:rsidR="00006687">
        <w:rPr>
          <w:rFonts w:ascii="Verdana" w:hAnsi="Verdana"/>
          <w:lang w:val="en-GB"/>
        </w:rPr>
        <w:t>however,</w:t>
      </w:r>
      <w:proofErr w:type="gramEnd"/>
      <w:r w:rsidR="00006687">
        <w:rPr>
          <w:rFonts w:ascii="Verdana" w:hAnsi="Verdana"/>
          <w:lang w:val="en-GB"/>
        </w:rPr>
        <w:t xml:space="preserve"> entirely accept the point that, if income d</w:t>
      </w:r>
      <w:r w:rsidR="000248C5">
        <w:rPr>
          <w:rFonts w:ascii="Verdana" w:hAnsi="Verdana"/>
          <w:lang w:val="en-GB"/>
        </w:rPr>
        <w:t>oes</w:t>
      </w:r>
      <w:r w:rsidR="00006687">
        <w:rPr>
          <w:rFonts w:ascii="Verdana" w:hAnsi="Verdana"/>
          <w:lang w:val="en-GB"/>
        </w:rPr>
        <w:t xml:space="preserve"> not increase in line with earnings, it is difficult to see how quality could be maintained, given the high proportion of higher education costs taken up by salaries.)</w:t>
      </w:r>
    </w:p>
    <w:p w:rsidR="00C951AB" w:rsidRDefault="001B0AD0" w:rsidP="00C5365C">
      <w:pPr>
        <w:keepNext/>
        <w:keepLines/>
        <w:autoSpaceDE w:val="0"/>
        <w:autoSpaceDN w:val="0"/>
        <w:adjustRightInd w:val="0"/>
        <w:spacing w:after="240" w:line="240" w:lineRule="auto"/>
        <w:ind w:left="0"/>
        <w:rPr>
          <w:rFonts w:ascii="Verdana" w:eastAsia="Times New Roman" w:hAnsi="Verdana" w:cs="FuturaBT-Book"/>
          <w:i/>
        </w:rPr>
      </w:pPr>
      <w:r w:rsidRPr="001B0AD0">
        <w:rPr>
          <w:rFonts w:ascii="Verdana" w:eastAsia="Times New Roman" w:hAnsi="Verdana" w:cs="FuturaBT-Book"/>
          <w:i/>
        </w:rPr>
        <w:t>Average fee loan per student is £7,000</w:t>
      </w:r>
    </w:p>
    <w:p w:rsidR="001B0AD0" w:rsidRPr="001B0AD0" w:rsidRDefault="001B0AD0" w:rsidP="00C5365C">
      <w:pPr>
        <w:numPr>
          <w:ilvl w:val="0"/>
          <w:numId w:val="1"/>
        </w:numPr>
        <w:spacing w:after="240" w:line="300" w:lineRule="atLeast"/>
        <w:ind w:left="0" w:right="0"/>
        <w:jc w:val="left"/>
        <w:rPr>
          <w:rFonts w:ascii="Verdana" w:eastAsia="Times New Roman" w:hAnsi="Verdana" w:cs="FuturaBT-Book"/>
        </w:rPr>
      </w:pPr>
      <w:r w:rsidRPr="00AF0329">
        <w:rPr>
          <w:rFonts w:ascii="Verdana" w:hAnsi="Verdana"/>
          <w:lang w:val="en-GB"/>
        </w:rPr>
        <w:t>BIS have assumed an average fee loan per borrower of £7777 and 90 per cent take up. The fee per borrower takes into account those who take</w:t>
      </w:r>
      <w:r w:rsidR="00760D82">
        <w:rPr>
          <w:rFonts w:ascii="Verdana" w:hAnsi="Verdana"/>
          <w:lang w:val="en-GB"/>
        </w:rPr>
        <w:t xml:space="preserve"> loans of</w:t>
      </w:r>
      <w:r w:rsidRPr="00AF0329">
        <w:rPr>
          <w:rFonts w:ascii="Verdana" w:hAnsi="Verdana"/>
          <w:lang w:val="en-GB"/>
        </w:rPr>
        <w:t xml:space="preserve"> less </w:t>
      </w:r>
      <w:r w:rsidR="00760D82">
        <w:rPr>
          <w:rFonts w:ascii="Verdana" w:hAnsi="Verdana"/>
          <w:lang w:val="en-GB"/>
        </w:rPr>
        <w:t>than</w:t>
      </w:r>
      <w:r w:rsidR="00203B96">
        <w:rPr>
          <w:rFonts w:ascii="Verdana" w:hAnsi="Verdana"/>
          <w:lang w:val="en-GB"/>
        </w:rPr>
        <w:t xml:space="preserve"> </w:t>
      </w:r>
      <w:r w:rsidRPr="00AF0329">
        <w:rPr>
          <w:rFonts w:ascii="Verdana" w:hAnsi="Verdana"/>
          <w:lang w:val="en-GB"/>
        </w:rPr>
        <w:t xml:space="preserve">100 per cent, and those who do not pay the full fee through non-completion. The </w:t>
      </w:r>
      <w:r w:rsidR="00760D82">
        <w:rPr>
          <w:rFonts w:ascii="Verdana" w:hAnsi="Verdana"/>
          <w:lang w:val="en-GB"/>
        </w:rPr>
        <w:t>G</w:t>
      </w:r>
      <w:r w:rsidRPr="00AF0329">
        <w:rPr>
          <w:rFonts w:ascii="Verdana" w:hAnsi="Verdana"/>
          <w:lang w:val="en-GB"/>
        </w:rPr>
        <w:t>overnment and the OBR assumptions in this respect differ. That of the OBR is more pessimistic - we would consider it to be more realistic</w:t>
      </w:r>
      <w:r w:rsidR="00296997">
        <w:rPr>
          <w:rFonts w:ascii="Verdana" w:hAnsi="Verdana"/>
          <w:lang w:val="en-GB"/>
        </w:rPr>
        <w:t>, in that it is based on the actual fees reported by OFFA</w:t>
      </w:r>
      <w:r w:rsidR="00760D82">
        <w:rPr>
          <w:rFonts w:ascii="Verdana" w:hAnsi="Verdana"/>
          <w:lang w:val="en-GB"/>
        </w:rPr>
        <w:t xml:space="preserve"> </w:t>
      </w:r>
      <w:r w:rsidRPr="00AF0329">
        <w:rPr>
          <w:rFonts w:ascii="Verdana" w:hAnsi="Verdana"/>
          <w:lang w:val="en-GB"/>
        </w:rPr>
        <w:t>- than</w:t>
      </w:r>
      <w:r w:rsidRPr="001B0AD0">
        <w:rPr>
          <w:rFonts w:ascii="Verdana" w:eastAsia="Times New Roman" w:hAnsi="Verdana" w:cs="Times New Roman"/>
          <w:lang w:val="en-GB" w:eastAsia="en-GB"/>
        </w:rPr>
        <w:t xml:space="preserve"> </w:t>
      </w:r>
      <w:r w:rsidRPr="00AF0329">
        <w:rPr>
          <w:rFonts w:ascii="Verdana" w:hAnsi="Verdana"/>
          <w:lang w:val="en-GB"/>
        </w:rPr>
        <w:t>that currently used to estimate the RAB charge.</w:t>
      </w:r>
    </w:p>
    <w:p w:rsidR="001B0AD0" w:rsidRPr="001B0AD0" w:rsidRDefault="001B0AD0" w:rsidP="001B0AD0">
      <w:pPr>
        <w:autoSpaceDE w:val="0"/>
        <w:autoSpaceDN w:val="0"/>
        <w:adjustRightInd w:val="0"/>
        <w:spacing w:after="240" w:line="240" w:lineRule="auto"/>
        <w:ind w:left="0"/>
        <w:rPr>
          <w:rFonts w:ascii="Verdana" w:eastAsia="Times New Roman" w:hAnsi="Verdana" w:cs="FuturaBT-Book"/>
          <w:i/>
        </w:rPr>
      </w:pPr>
      <w:r w:rsidRPr="001B0AD0">
        <w:rPr>
          <w:rFonts w:ascii="Verdana" w:eastAsia="Times New Roman" w:hAnsi="Verdana" w:cs="FuturaBT-Book"/>
          <w:i/>
        </w:rPr>
        <w:t>Flat student numbers</w:t>
      </w:r>
      <w:r w:rsidRPr="001B0AD0">
        <w:rPr>
          <w:rFonts w:ascii="Verdana" w:eastAsia="Times New Roman" w:hAnsi="Verdana" w:cs="Times New Roman"/>
          <w:i/>
          <w:vertAlign w:val="superscript"/>
        </w:rPr>
        <w:footnoteReference w:id="10"/>
      </w:r>
    </w:p>
    <w:p w:rsidR="001B0AD0" w:rsidRPr="00AF0329" w:rsidRDefault="001B0AD0" w:rsidP="00C5365C">
      <w:pPr>
        <w:numPr>
          <w:ilvl w:val="0"/>
          <w:numId w:val="1"/>
        </w:numPr>
        <w:spacing w:after="240" w:line="300" w:lineRule="atLeast"/>
        <w:ind w:left="0" w:right="0"/>
        <w:jc w:val="left"/>
        <w:rPr>
          <w:rFonts w:ascii="Verdana" w:hAnsi="Verdana"/>
          <w:lang w:val="en-GB"/>
        </w:rPr>
      </w:pPr>
      <w:r w:rsidRPr="00AF0329">
        <w:rPr>
          <w:rFonts w:ascii="Verdana" w:hAnsi="Verdana"/>
          <w:lang w:val="en-GB"/>
        </w:rPr>
        <w:t xml:space="preserve">The change in population size means that even with flat numbers the participation rate will rise until about </w:t>
      </w:r>
      <w:r w:rsidR="008C22AE" w:rsidRPr="002F6D5E">
        <w:rPr>
          <w:rFonts w:ascii="Verdana" w:eastAsia="Times New Roman" w:hAnsi="Verdana" w:cs="Times New Roman"/>
          <w:lang w:val="en-GB" w:eastAsia="en-GB"/>
        </w:rPr>
        <w:t>20</w:t>
      </w:r>
      <w:r w:rsidR="002F6D5E" w:rsidRPr="002F6D5E">
        <w:rPr>
          <w:rFonts w:ascii="Verdana" w:eastAsia="Times New Roman" w:hAnsi="Verdana" w:cs="Times New Roman"/>
          <w:lang w:val="en-GB" w:eastAsia="en-GB"/>
        </w:rPr>
        <w:t>20</w:t>
      </w:r>
      <w:r w:rsidR="008C22AE" w:rsidRPr="002F6D5E">
        <w:rPr>
          <w:rFonts w:ascii="Verdana" w:eastAsia="Times New Roman" w:hAnsi="Verdana" w:cs="Times New Roman"/>
          <w:lang w:val="en-GB" w:eastAsia="en-GB"/>
        </w:rPr>
        <w:t>,</w:t>
      </w:r>
      <w:r w:rsidRPr="00AF0329">
        <w:rPr>
          <w:rFonts w:ascii="Verdana" w:hAnsi="Verdana"/>
          <w:lang w:val="en-GB"/>
        </w:rPr>
        <w:t xml:space="preserve"> and from then it will fall </w:t>
      </w:r>
      <w:r w:rsidR="002F6D5E">
        <w:rPr>
          <w:rFonts w:ascii="Verdana" w:eastAsia="Times New Roman" w:hAnsi="Verdana" w:cs="Times New Roman"/>
          <w:lang w:val="en-GB" w:eastAsia="en-GB"/>
        </w:rPr>
        <w:lastRenderedPageBreak/>
        <w:t>dipping below current</w:t>
      </w:r>
      <w:r w:rsidRPr="00AF0329">
        <w:rPr>
          <w:rFonts w:ascii="Verdana" w:hAnsi="Verdana"/>
          <w:lang w:val="en-GB"/>
        </w:rPr>
        <w:t xml:space="preserve"> rates </w:t>
      </w:r>
      <w:r w:rsidR="002F6D5E">
        <w:rPr>
          <w:rFonts w:ascii="Verdana" w:eastAsia="Times New Roman" w:hAnsi="Verdana" w:cs="Times New Roman"/>
          <w:lang w:val="en-GB" w:eastAsia="en-GB"/>
        </w:rPr>
        <w:t>around 2026 – 2027.</w:t>
      </w:r>
      <w:r w:rsidR="002F6D5E">
        <w:rPr>
          <w:rStyle w:val="FootnoteReference"/>
          <w:rFonts w:ascii="Verdana" w:eastAsia="Times New Roman" w:hAnsi="Verdana"/>
          <w:lang w:val="en-GB" w:eastAsia="en-GB"/>
        </w:rPr>
        <w:footnoteReference w:id="11"/>
      </w:r>
      <w:r w:rsidRPr="00AF0329">
        <w:rPr>
          <w:rFonts w:ascii="Verdana" w:hAnsi="Verdana"/>
          <w:lang w:val="en-GB"/>
        </w:rPr>
        <w:t xml:space="preserve"> This does not seem plausible.</w:t>
      </w:r>
    </w:p>
    <w:p w:rsidR="001B0AD0" w:rsidRPr="00AF0329" w:rsidRDefault="001B0AD0" w:rsidP="0036233F">
      <w:pPr>
        <w:numPr>
          <w:ilvl w:val="0"/>
          <w:numId w:val="1"/>
        </w:numPr>
        <w:spacing w:after="240" w:line="300" w:lineRule="atLeast"/>
        <w:ind w:left="0" w:right="0"/>
        <w:jc w:val="left"/>
        <w:rPr>
          <w:rFonts w:ascii="Verdana" w:hAnsi="Verdana"/>
          <w:lang w:val="en-GB"/>
        </w:rPr>
      </w:pPr>
      <w:r w:rsidRPr="00AF0329">
        <w:rPr>
          <w:rFonts w:ascii="Verdana" w:hAnsi="Verdana"/>
          <w:lang w:val="en-GB"/>
        </w:rPr>
        <w:t>Much attention is being given to the impact of the new arrangements on the demand for higher education</w:t>
      </w:r>
      <w:r w:rsidR="008C22AE" w:rsidRPr="008C22AE">
        <w:rPr>
          <w:rFonts w:ascii="Verdana" w:eastAsia="Times New Roman" w:hAnsi="Verdana" w:cs="Times New Roman"/>
          <w:lang w:val="en-GB" w:eastAsia="en-GB"/>
        </w:rPr>
        <w:t>,</w:t>
      </w:r>
      <w:r w:rsidRPr="00AF0329">
        <w:rPr>
          <w:rFonts w:ascii="Verdana" w:hAnsi="Verdana"/>
          <w:lang w:val="en-GB"/>
        </w:rPr>
        <w:t xml:space="preserve"> but these constraints on supply, if followed, maybe of more significance</w:t>
      </w:r>
    </w:p>
    <w:p w:rsidR="001B0AD0" w:rsidRPr="00AF0329" w:rsidRDefault="00F85609" w:rsidP="00203B96">
      <w:pPr>
        <w:numPr>
          <w:ilvl w:val="0"/>
          <w:numId w:val="1"/>
        </w:numPr>
        <w:spacing w:after="240" w:line="300" w:lineRule="atLeast"/>
        <w:ind w:left="0" w:right="0"/>
        <w:jc w:val="left"/>
        <w:rPr>
          <w:rFonts w:ascii="Verdana" w:hAnsi="Verdana"/>
          <w:lang w:val="en-GB"/>
        </w:rPr>
      </w:pPr>
      <w:r w:rsidRPr="00AF0329">
        <w:rPr>
          <w:rFonts w:ascii="Verdana" w:hAnsi="Verdana"/>
          <w:lang w:val="en-GB"/>
        </w:rPr>
        <w:t>S</w:t>
      </w:r>
      <w:r w:rsidR="001B0AD0" w:rsidRPr="00AF0329">
        <w:rPr>
          <w:rFonts w:ascii="Verdana" w:hAnsi="Verdana"/>
          <w:lang w:val="en-GB"/>
        </w:rPr>
        <w:t>o long as student numbers do indeed remain flat</w:t>
      </w:r>
      <w:r w:rsidRPr="00AF0329">
        <w:rPr>
          <w:rFonts w:ascii="Verdana" w:hAnsi="Verdana"/>
          <w:lang w:val="en-GB"/>
        </w:rPr>
        <w:t xml:space="preserve"> these assumptions look balanced - if anything they may give an over-estimation of debt</w:t>
      </w:r>
      <w:r w:rsidR="001B0AD0" w:rsidRPr="00AF0329">
        <w:rPr>
          <w:rFonts w:ascii="Verdana" w:hAnsi="Verdana"/>
          <w:lang w:val="en-GB"/>
        </w:rPr>
        <w:t>. But if, as seems likely, BIS estimate the level of repayments using the same assumptions about future earnings as they have for the RAB, then we would view them as optimistic. It is to be hoped that the OBR, in line with its intention to ‘probe the robustness’ of its central forecasts, will ask BIS to produce projections of loans and repayments under a range of assumptions about the growth in the earnings of former students.</w:t>
      </w:r>
    </w:p>
    <w:p w:rsidR="001B0AD0" w:rsidRPr="00B73A39" w:rsidRDefault="001B0AD0" w:rsidP="001B0AD0">
      <w:pPr>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Conclusion</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One of the main arguments used to justify the introduction of the present reforms, was that they would reduce public expenditure, reduce Government borrowing, and put the future funding of higher education on a sustainable footing.  There may be other arguments in favour of the reforms, but </w:t>
      </w:r>
      <w:r w:rsidR="004851CB">
        <w:rPr>
          <w:rFonts w:ascii="Verdana" w:eastAsia="Times New Roman" w:hAnsi="Verdana" w:cs="Times New Roman"/>
          <w:lang w:val="en-GB" w:eastAsia="en-GB"/>
        </w:rPr>
        <w:t>this</w:t>
      </w:r>
      <w:r w:rsidRPr="001B0AD0">
        <w:rPr>
          <w:rFonts w:ascii="Verdana" w:eastAsia="Times New Roman" w:hAnsi="Verdana" w:cs="Times New Roman"/>
          <w:lang w:val="en-GB" w:eastAsia="en-GB"/>
        </w:rPr>
        <w:t xml:space="preserve"> justification does not stand up. A reduction of the PSNCR on the scale claimed by the Government is unlikely</w:t>
      </w:r>
      <w:r w:rsidR="004851CB">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 it is even possible that there will not be any reduction whatever. Further, given the size of the loans and the repayment period, the PSND will be increased substantially over the first half of the twenty first century.</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In conclusion therefore, it is likely that the Government’s budgetary assumptions have seriously understated the cost of the new policies as:</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Loan repayments will be less than anticipated, and so the RAB cost will be higher; and</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There will be additional expenditure from other departments’ budgets, as inflation leads to an increase in benefits.</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To put a figure on the extent of that shortfall would entail making predictions about what is unpredictable, but it is likely to be substantial. For example, taking the lowe</w:t>
      </w:r>
      <w:r w:rsidR="002F6D5E">
        <w:rPr>
          <w:rFonts w:ascii="Verdana" w:eastAsia="Times New Roman" w:hAnsi="Verdana" w:cs="Times New Roman"/>
          <w:lang w:val="en-GB" w:eastAsia="en-GB"/>
        </w:rPr>
        <w:t>r</w:t>
      </w:r>
      <w:r w:rsidRPr="001B0AD0">
        <w:rPr>
          <w:rFonts w:ascii="Verdana" w:eastAsia="Times New Roman" w:hAnsi="Verdana" w:cs="Times New Roman"/>
          <w:lang w:val="en-GB" w:eastAsia="en-GB"/>
        </w:rPr>
        <w:t xml:space="preserve"> value of the inflation impact (£0.</w:t>
      </w:r>
      <w:r w:rsidR="00D44236">
        <w:rPr>
          <w:rFonts w:ascii="Verdana" w:eastAsia="Times New Roman" w:hAnsi="Verdana" w:cs="Times New Roman"/>
          <w:lang w:val="en-GB" w:eastAsia="en-GB"/>
        </w:rPr>
        <w:t>42 b</w:t>
      </w:r>
      <w:r w:rsidRPr="001B0AD0">
        <w:rPr>
          <w:rFonts w:ascii="Verdana" w:eastAsia="Times New Roman" w:hAnsi="Verdana" w:cs="Times New Roman"/>
          <w:lang w:val="en-GB" w:eastAsia="en-GB"/>
        </w:rPr>
        <w:t>illion), and a RAB value, say equal to the IFS pessimistic estimate of 37 per cent</w:t>
      </w:r>
      <w:r w:rsidR="00D44236">
        <w:rPr>
          <w:rFonts w:ascii="Verdana" w:eastAsia="Times New Roman" w:hAnsi="Verdana" w:cs="Times New Roman"/>
          <w:lang w:val="en-GB" w:eastAsia="en-GB"/>
        </w:rPr>
        <w:t>, and a more realistic fee loan assumption of £8000</w:t>
      </w:r>
      <w:r w:rsidRPr="001B0AD0">
        <w:rPr>
          <w:rFonts w:ascii="Verdana" w:eastAsia="Times New Roman" w:hAnsi="Verdana" w:cs="Times New Roman"/>
          <w:lang w:val="en-GB" w:eastAsia="en-GB"/>
        </w:rPr>
        <w:t xml:space="preserve"> – the increased cost </w:t>
      </w:r>
      <w:r w:rsidRPr="001B0AD0">
        <w:rPr>
          <w:rFonts w:ascii="Verdana" w:eastAsia="Times New Roman" w:hAnsi="Verdana" w:cs="Times New Roman"/>
          <w:lang w:val="en-GB" w:eastAsia="en-GB"/>
        </w:rPr>
        <w:lastRenderedPageBreak/>
        <w:t xml:space="preserve">will be </w:t>
      </w:r>
      <w:r w:rsidR="005C3B8C">
        <w:rPr>
          <w:rFonts w:ascii="Verdana" w:eastAsia="Times New Roman" w:hAnsi="Verdana" w:cs="Times New Roman"/>
          <w:lang w:val="en-GB" w:eastAsia="en-GB"/>
        </w:rPr>
        <w:t>over</w:t>
      </w:r>
      <w:r w:rsidRPr="001B0AD0">
        <w:rPr>
          <w:rFonts w:ascii="Verdana" w:eastAsia="Times New Roman" w:hAnsi="Verdana" w:cs="Times New Roman"/>
          <w:lang w:val="en-GB" w:eastAsia="en-GB"/>
        </w:rPr>
        <w:t xml:space="preserve"> £1 billion per year. This sort of cost would very largely eliminate the savings that the Government claims its policies will generate of £1.3 billion per year. A slightly higher RAB cost or a slightly greater inflationary effect than the most optimistic that we have considered here would mean that the present policy is actually more expensive than the one it has replaced. </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The shortfall may not be apparent right away, and it is clear that the Government continues to deny it despite evidence to the contrary.  That will mean that the consequences will be some other Government’s problem to resolve.  But the problem will not disappear, and the books will need to be balanced in due course.  </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What measures will be available to balance the books in future?  When we have discussed this previously, we have identified three candidates for meeting the shortfall.</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The remaining HEFCE grant could be reduced. As a large part of this is in respect of research funding and funding for STEM subjects, and the beneficiaries of that funding are disproportionately among in the old universities, the effects of such actions would impact most on those</w:t>
      </w:r>
      <w:r w:rsidR="008125BA">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Student numbers could be held down. Numbers were already being cut, and the reductions in enrolment through UCAS this year, if repeated, might represent a significant cut in student numbers, (although we believe that the reduction is almost certainly a temporary first year effect).   Reduced numbers will mean reduced loans, and therefore reduced loan subsidies by the Government. The RAB cost will not reduce, but the total cost to the Government will do so because volumes will be lower.</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Loan subsidies provided by the Government could be reduced. The reason that the RAB cost is so high is because the loans are subsidised. The greater the subsidies, the greater the RAB cost.  If the interest rate increased, the repayment threshold were reduced, the percentage of salary taken to repay the loans were to increase or the 30 year cut-off beyond which loans are forgiven were lengthened, then the RAB cost would reduce, but at the expense of those former students who had taken out loans. The reason that the Government has been unwilling to give commitments about honouring in the future the conditions under which students are presently taking out loans is to leave this option open as a means of balancing the budget.</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rPr>
      </w:pPr>
      <w:r w:rsidRPr="001B0AD0">
        <w:rPr>
          <w:rFonts w:ascii="Verdana" w:eastAsia="Times New Roman" w:hAnsi="Verdana" w:cs="Times New Roman"/>
          <w:lang w:val="en-GB" w:eastAsia="en-GB"/>
        </w:rPr>
        <w:lastRenderedPageBreak/>
        <w:t xml:space="preserve">In setting out the </w:t>
      </w:r>
      <w:r w:rsidR="004851CB">
        <w:rPr>
          <w:rFonts w:ascii="Verdana" w:eastAsia="Times New Roman" w:hAnsi="Verdana" w:cs="Times New Roman"/>
          <w:lang w:val="en-GB" w:eastAsia="en-GB"/>
        </w:rPr>
        <w:t>last of these</w:t>
      </w:r>
      <w:r w:rsidRPr="001B0AD0">
        <w:rPr>
          <w:rFonts w:ascii="Verdana" w:eastAsia="Times New Roman" w:hAnsi="Verdana" w:cs="Times New Roman"/>
          <w:lang w:val="en-GB" w:eastAsia="en-GB"/>
        </w:rPr>
        <w:t xml:space="preserve"> we previously had in mind modifications to the repayment conditions for new students. But every student seeking a loan has to sign up to the following condition:</w:t>
      </w:r>
    </w:p>
    <w:p w:rsidR="001B0AD0" w:rsidRPr="001B0AD0" w:rsidRDefault="001B0AD0" w:rsidP="001B0AD0">
      <w:pPr>
        <w:spacing w:after="240" w:line="300" w:lineRule="atLeast"/>
        <w:ind w:right="0"/>
        <w:jc w:val="left"/>
        <w:rPr>
          <w:rFonts w:ascii="Verdana" w:eastAsia="Times New Roman" w:hAnsi="Verdana"/>
        </w:rPr>
      </w:pPr>
      <w:r w:rsidRPr="001B0AD0">
        <w:rPr>
          <w:rFonts w:ascii="Verdana" w:eastAsia="Times New Roman" w:hAnsi="Verdana"/>
        </w:rPr>
        <w:t xml:space="preserve">“You must agree to repay your loan in line with the </w:t>
      </w:r>
      <w:r w:rsidRPr="001B0AD0">
        <w:rPr>
          <w:rFonts w:ascii="Verdana" w:eastAsia="Times New Roman" w:hAnsi="Verdana"/>
          <w:b/>
        </w:rPr>
        <w:t>regulations that apply at the time the repayments are due</w:t>
      </w:r>
      <w:r w:rsidRPr="001B0AD0">
        <w:rPr>
          <w:rFonts w:ascii="Verdana" w:eastAsia="Times New Roman" w:hAnsi="Verdana"/>
        </w:rPr>
        <w:t xml:space="preserve"> and as they are amended.” (Emphasis added)</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rPr>
      </w:pPr>
      <w:r w:rsidRPr="001B0AD0">
        <w:rPr>
          <w:rFonts w:ascii="Verdana" w:eastAsia="Times New Roman" w:hAnsi="Verdana" w:cs="Times New Roman"/>
          <w:lang w:val="en-GB" w:eastAsia="en-GB"/>
        </w:rPr>
        <w:t>This is not a new condition, but the size of the loans, and the time it will take for them to be repaid increases the risk that it will be invoked</w:t>
      </w:r>
      <w:r w:rsidR="00CE3D9A">
        <w:rPr>
          <w:rFonts w:ascii="Verdana" w:eastAsia="Times New Roman" w:hAnsi="Verdana" w:cs="Times New Roman"/>
          <w:lang w:val="en-GB" w:eastAsia="en-GB"/>
        </w:rPr>
        <w:t>.</w:t>
      </w:r>
    </w:p>
    <w:p w:rsidR="00FE0956" w:rsidRDefault="001B0AD0" w:rsidP="00AF0329">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4851CB">
        <w:rPr>
          <w:rFonts w:ascii="Verdana" w:eastAsia="Times New Roman" w:hAnsi="Verdana" w:cs="Times New Roman"/>
          <w:lang w:val="en-GB" w:eastAsia="en-GB"/>
        </w:rPr>
        <w:t>In its response to criticism of its calculations of the RAB cost, the Government has responded that estimating what will happen so far into the future is an uncertain business</w:t>
      </w:r>
      <w:r w:rsidR="005C3B8C" w:rsidRPr="00AF0329">
        <w:rPr>
          <w:rFonts w:ascii="Verdana" w:eastAsia="Times New Roman" w:hAnsi="Verdana" w:cs="Times New Roman"/>
          <w:lang w:val="en-GB" w:eastAsia="en-GB"/>
        </w:rPr>
        <w:t>. The Minster for Higher Education told the Business, Innovation</w:t>
      </w:r>
      <w:r w:rsidR="00B73A39" w:rsidRPr="00AF0329">
        <w:rPr>
          <w:rFonts w:ascii="Verdana" w:eastAsia="Times New Roman" w:hAnsi="Verdana" w:cs="Times New Roman"/>
          <w:lang w:val="en-GB" w:eastAsia="en-GB"/>
        </w:rPr>
        <w:t xml:space="preserve"> and </w:t>
      </w:r>
      <w:r w:rsidR="005C3B8C" w:rsidRPr="00AF0329">
        <w:rPr>
          <w:rFonts w:ascii="Verdana" w:eastAsia="Times New Roman" w:hAnsi="Verdana" w:cs="Times New Roman"/>
          <w:lang w:val="en-GB" w:eastAsia="en-GB"/>
        </w:rPr>
        <w:t>Skills Committee that</w:t>
      </w:r>
      <w:r w:rsidR="00CE3D9A">
        <w:rPr>
          <w:rFonts w:ascii="Verdana" w:eastAsia="Times New Roman" w:hAnsi="Verdana" w:cs="Times New Roman"/>
          <w:lang w:val="en-GB" w:eastAsia="en-GB"/>
        </w:rPr>
        <w:t xml:space="preserve"> </w:t>
      </w:r>
      <w:r w:rsidR="00CE3D9A" w:rsidRPr="008A6797">
        <w:rPr>
          <w:rFonts w:ascii="Verdana" w:hAnsi="Verdana" w:cs="Times New Roman"/>
          <w:lang w:val="en-GB" w:eastAsia="en-GB"/>
        </w:rPr>
        <w:t>“nobody can know” what</w:t>
      </w:r>
      <w:r w:rsidR="00CE3D9A">
        <w:rPr>
          <w:rFonts w:ascii="Verdana" w:hAnsi="Verdana" w:cs="Times New Roman"/>
          <w:lang w:val="en-GB" w:eastAsia="en-GB"/>
        </w:rPr>
        <w:t xml:space="preserve"> the RAB charge is going to be.</w:t>
      </w:r>
      <w:r w:rsidR="005C3B8C" w:rsidRPr="00AF0329">
        <w:rPr>
          <w:rFonts w:ascii="Verdana" w:eastAsia="Times New Roman" w:hAnsi="Verdana" w:cs="Times New Roman"/>
          <w:lang w:val="en-GB" w:eastAsia="en-GB"/>
        </w:rPr>
        <w:t xml:space="preserve"> (Willet</w:t>
      </w:r>
      <w:r w:rsidR="00CE3D9A">
        <w:rPr>
          <w:rFonts w:ascii="Verdana" w:eastAsia="Times New Roman" w:hAnsi="Verdana" w:cs="Times New Roman"/>
          <w:lang w:val="en-GB" w:eastAsia="en-GB"/>
        </w:rPr>
        <w:t>t</w:t>
      </w:r>
      <w:r w:rsidR="005C3B8C" w:rsidRPr="00AF0329">
        <w:rPr>
          <w:rFonts w:ascii="Verdana" w:eastAsia="Times New Roman" w:hAnsi="Verdana" w:cs="Times New Roman"/>
          <w:lang w:val="en-GB" w:eastAsia="en-GB"/>
        </w:rPr>
        <w:t>s, 2012a)</w:t>
      </w:r>
      <w:r w:rsidRPr="00AF0329">
        <w:rPr>
          <w:rFonts w:ascii="Verdana" w:hAnsi="Verdana"/>
          <w:lang w:val="en-GB"/>
        </w:rPr>
        <w:t>.</w:t>
      </w:r>
      <w:r w:rsidRPr="00AF0329">
        <w:rPr>
          <w:rFonts w:ascii="Verdana" w:eastAsia="Times New Roman" w:hAnsi="Verdana" w:cs="Times New Roman"/>
          <w:lang w:val="en-GB" w:eastAsia="en-GB"/>
        </w:rPr>
        <w:t xml:space="preserve"> That is true, but indeed that is one of the main criticisms of the Government's actions. Quite apart from the likely underestimate of the costs, discussed above, is the fact that the Government is implementing a policy about whose cost, on its own admission, it can have no clear idea and which is potentially building up large liabilities for future generations to redeem. </w:t>
      </w:r>
    </w:p>
    <w:p w:rsidR="00FE0956" w:rsidRDefault="00FE0956">
      <w:pPr>
        <w:rPr>
          <w:rFonts w:ascii="Verdana" w:eastAsia="Times New Roman" w:hAnsi="Verdana" w:cs="Times New Roman"/>
          <w:lang w:val="en-GB" w:eastAsia="en-GB"/>
        </w:rPr>
      </w:pPr>
      <w:r>
        <w:rPr>
          <w:rFonts w:ascii="Verdana" w:eastAsia="Times New Roman" w:hAnsi="Verdana" w:cs="Times New Roman"/>
          <w:lang w:val="en-GB" w:eastAsia="en-GB"/>
        </w:rPr>
        <w:br w:type="page"/>
      </w:r>
    </w:p>
    <w:p w:rsidR="00FE0956" w:rsidRPr="00FE0956" w:rsidRDefault="00FE0956" w:rsidP="00FE0956">
      <w:pPr>
        <w:spacing w:after="240" w:line="240" w:lineRule="auto"/>
        <w:ind w:left="0" w:right="0"/>
        <w:jc w:val="left"/>
        <w:rPr>
          <w:rFonts w:ascii="Verdana" w:eastAsia="Times New Roman" w:hAnsi="Verdana" w:cs="Times New Roman"/>
          <w:b/>
          <w:sz w:val="24"/>
          <w:szCs w:val="24"/>
          <w:lang w:val="en-GB" w:eastAsia="en-GB"/>
        </w:rPr>
      </w:pPr>
      <w:r w:rsidRPr="00FE0956">
        <w:rPr>
          <w:rFonts w:ascii="Verdana" w:eastAsia="Times New Roman" w:hAnsi="Verdana" w:cs="Times New Roman"/>
          <w:b/>
          <w:sz w:val="24"/>
          <w:szCs w:val="24"/>
          <w:lang w:val="en-GB" w:eastAsia="en-GB"/>
        </w:rPr>
        <w:lastRenderedPageBreak/>
        <w:t>References</w:t>
      </w:r>
    </w:p>
    <w:p w:rsidR="00FE0956" w:rsidRPr="00FE0956" w:rsidRDefault="00FE0956" w:rsidP="00FE0956">
      <w:pPr>
        <w:spacing w:after="0" w:line="300" w:lineRule="atLeast"/>
        <w:ind w:left="0" w:right="0"/>
        <w:jc w:val="left"/>
        <w:rPr>
          <w:rFonts w:ascii="Verdana" w:eastAsia="Times New Roman" w:hAnsi="Verdana" w:cs="Times New Roman"/>
          <w:lang w:val="en-GB" w:eastAsia="en-GB"/>
        </w:rPr>
      </w:pPr>
      <w:r w:rsidRPr="00FE0956">
        <w:rPr>
          <w:rFonts w:ascii="Verdana" w:eastAsia="Times New Roman" w:hAnsi="Verdana" w:cs="Times New Roman"/>
          <w:lang w:val="en-GB" w:eastAsia="en-GB"/>
        </w:rPr>
        <w:t>Brown P, Lauder H and Ashton D, (2011), ‘The Global Auction’, Oxford University Press. Figure 8.1, page 118.</w:t>
      </w:r>
    </w:p>
    <w:p w:rsidR="00FE0956" w:rsidRPr="00FE0956" w:rsidRDefault="00FE0956" w:rsidP="00FE0956">
      <w:pPr>
        <w:spacing w:after="0" w:line="300" w:lineRule="atLeast"/>
        <w:ind w:left="0" w:right="0"/>
        <w:jc w:val="left"/>
        <w:rPr>
          <w:rFonts w:ascii="Verdana" w:eastAsia="Times New Roman" w:hAnsi="Verdana" w:cs="Times New Roman"/>
          <w:lang w:val="en-GB" w:eastAsia="en-GB"/>
        </w:rPr>
      </w:pPr>
    </w:p>
    <w:p w:rsidR="00FE0956" w:rsidRPr="00FE0956" w:rsidRDefault="00FE0956" w:rsidP="00FE0956">
      <w:pPr>
        <w:spacing w:after="0" w:line="300" w:lineRule="atLeast"/>
        <w:ind w:left="0" w:right="0"/>
        <w:jc w:val="left"/>
        <w:rPr>
          <w:rFonts w:ascii="Verdana" w:eastAsia="Times New Roman" w:hAnsi="Verdana" w:cs="Times New Roman"/>
          <w:lang w:val="en-GB" w:eastAsia="en-GB"/>
        </w:rPr>
      </w:pPr>
      <w:r w:rsidRPr="00FE0956">
        <w:rPr>
          <w:rFonts w:ascii="Verdana" w:eastAsia="Times New Roman" w:hAnsi="Verdana" w:cs="Times New Roman"/>
          <w:lang w:val="en-GB" w:eastAsia="en-GB"/>
        </w:rPr>
        <w:t>BIS, (2012), ‘Guide to the simplified student loan repayment model</w:t>
      </w:r>
    </w:p>
    <w:p w:rsidR="00FE0956" w:rsidRPr="00FE0956" w:rsidRDefault="00FE0956" w:rsidP="00FE0956">
      <w:pPr>
        <w:spacing w:after="0" w:line="300" w:lineRule="atLeast"/>
        <w:ind w:left="0" w:right="0"/>
        <w:jc w:val="left"/>
        <w:rPr>
          <w:rFonts w:ascii="Verdana" w:eastAsia="Times New Roman" w:hAnsi="Verdana" w:cs="Times New Roman"/>
          <w:lang w:val="en-GB" w:eastAsia="en-GB"/>
        </w:rPr>
      </w:pPr>
      <w:r w:rsidRPr="00FE0956">
        <w:rPr>
          <w:rFonts w:ascii="Verdana" w:eastAsia="Times New Roman" w:hAnsi="Verdana" w:cs="Times New Roman"/>
          <w:lang w:val="en-GB" w:eastAsia="en-GB"/>
        </w:rPr>
        <w:t>(</w:t>
      </w:r>
      <w:proofErr w:type="gramStart"/>
      <w:r w:rsidRPr="00FE0956">
        <w:rPr>
          <w:rFonts w:ascii="Verdana" w:eastAsia="Times New Roman" w:hAnsi="Verdana" w:cs="Times New Roman"/>
          <w:lang w:val="en-GB" w:eastAsia="en-GB"/>
        </w:rPr>
        <w:t>beta</w:t>
      </w:r>
      <w:proofErr w:type="gramEnd"/>
      <w:r w:rsidRPr="00FE0956">
        <w:rPr>
          <w:rFonts w:ascii="Verdana" w:eastAsia="Times New Roman" w:hAnsi="Verdana" w:cs="Times New Roman"/>
          <w:lang w:val="en-GB" w:eastAsia="en-GB"/>
        </w:rPr>
        <w:t xml:space="preserve"> version, August 2012)’</w:t>
      </w:r>
    </w:p>
    <w:p w:rsidR="00FE0956" w:rsidRPr="00FE0956" w:rsidRDefault="00FE0956" w:rsidP="00FE0956">
      <w:pPr>
        <w:spacing w:after="0" w:line="300" w:lineRule="atLeast"/>
        <w:ind w:left="0" w:right="0"/>
        <w:jc w:val="left"/>
        <w:rPr>
          <w:rFonts w:ascii="Verdana" w:eastAsia="Times New Roman" w:hAnsi="Verdana" w:cs="Times New Roman"/>
          <w:lang w:val="en-GB" w:eastAsia="en-GB"/>
        </w:rPr>
      </w:pPr>
    </w:p>
    <w:p w:rsidR="00FE0956" w:rsidRPr="00FE0956" w:rsidRDefault="00FE0956" w:rsidP="00FE0956">
      <w:pPr>
        <w:autoSpaceDE w:val="0"/>
        <w:autoSpaceDN w:val="0"/>
        <w:adjustRightInd w:val="0"/>
        <w:spacing w:after="240" w:line="300" w:lineRule="atLeast"/>
        <w:ind w:left="0" w:right="0"/>
        <w:jc w:val="left"/>
        <w:rPr>
          <w:rFonts w:ascii="Verdana" w:eastAsia="Times New Roman" w:hAnsi="Verdana" w:cs="Courier New"/>
          <w:lang w:val="en-GB" w:eastAsia="en-GB"/>
        </w:rPr>
      </w:pPr>
      <w:proofErr w:type="spellStart"/>
      <w:r w:rsidRPr="00FE0956">
        <w:rPr>
          <w:rFonts w:ascii="Verdana" w:eastAsia="Times New Roman" w:hAnsi="Verdana" w:cs="Courier New"/>
          <w:lang w:val="en-GB" w:eastAsia="en-GB"/>
        </w:rPr>
        <w:t>Chowdry</w:t>
      </w:r>
      <w:proofErr w:type="spellEnd"/>
      <w:r w:rsidRPr="00FE0956">
        <w:rPr>
          <w:rFonts w:ascii="Verdana" w:eastAsia="Times New Roman" w:hAnsi="Verdana" w:cs="Courier New"/>
          <w:lang w:val="en-GB" w:eastAsia="en-GB"/>
        </w:rPr>
        <w:t xml:space="preserve"> H, </w:t>
      </w:r>
      <w:proofErr w:type="spellStart"/>
      <w:r w:rsidRPr="00FE0956">
        <w:rPr>
          <w:rFonts w:ascii="Verdana" w:eastAsia="Times New Roman" w:hAnsi="Verdana" w:cs="Courier New"/>
          <w:lang w:val="en-GB" w:eastAsia="en-GB"/>
        </w:rPr>
        <w:t>Dearden</w:t>
      </w:r>
      <w:proofErr w:type="spellEnd"/>
      <w:r w:rsidRPr="00FE0956">
        <w:rPr>
          <w:rFonts w:ascii="Verdana" w:eastAsia="Times New Roman" w:hAnsi="Verdana" w:cs="Courier New"/>
          <w:lang w:val="en-GB" w:eastAsia="en-GB"/>
        </w:rPr>
        <w:t xml:space="preserve"> L, Goodmans A and Jin W, (2012, ‘The Distributional Impact of the 2012–13 Higher Education Funding Reforms in England’, Fiscal Studies, 33(2), 211–236 </w:t>
      </w:r>
    </w:p>
    <w:p w:rsidR="00FE0956" w:rsidRPr="00FE0956" w:rsidRDefault="00FE0956" w:rsidP="00FE0956">
      <w:pPr>
        <w:autoSpaceDE w:val="0"/>
        <w:autoSpaceDN w:val="0"/>
        <w:adjustRightInd w:val="0"/>
        <w:spacing w:after="240" w:line="300" w:lineRule="atLeast"/>
        <w:ind w:left="0" w:right="0"/>
        <w:jc w:val="left"/>
        <w:rPr>
          <w:rFonts w:ascii="Verdana" w:eastAsia="Times New Roman" w:hAnsi="Verdana" w:cs="Courier New"/>
          <w:lang w:val="en-GB" w:eastAsia="en-GB"/>
        </w:rPr>
      </w:pPr>
      <w:proofErr w:type="spellStart"/>
      <w:r w:rsidRPr="00FE0956">
        <w:rPr>
          <w:rFonts w:ascii="Verdana" w:eastAsia="Times New Roman" w:hAnsi="Verdana" w:cs="Courier New"/>
          <w:lang w:val="en-GB" w:eastAsia="en-GB"/>
        </w:rPr>
        <w:t>Dearden</w:t>
      </w:r>
      <w:proofErr w:type="spellEnd"/>
      <w:r w:rsidRPr="00FE0956">
        <w:rPr>
          <w:rFonts w:ascii="Verdana" w:eastAsia="Times New Roman" w:hAnsi="Verdana" w:cs="Courier New"/>
          <w:lang w:val="en-GB" w:eastAsia="en-GB"/>
        </w:rPr>
        <w:t xml:space="preserve"> L, </w:t>
      </w:r>
      <w:proofErr w:type="spellStart"/>
      <w:r w:rsidRPr="00FE0956">
        <w:rPr>
          <w:rFonts w:ascii="Verdana" w:eastAsia="Times New Roman" w:hAnsi="Verdana" w:cs="Courier New"/>
          <w:lang w:val="en-GB" w:eastAsia="en-GB"/>
        </w:rPr>
        <w:t>McGranahan</w:t>
      </w:r>
      <w:proofErr w:type="spellEnd"/>
      <w:r w:rsidRPr="00FE0956">
        <w:rPr>
          <w:rFonts w:ascii="Verdana" w:eastAsia="Times New Roman" w:hAnsi="Verdana" w:cs="Courier New"/>
          <w:lang w:val="en-GB" w:eastAsia="en-GB"/>
        </w:rPr>
        <w:t xml:space="preserve"> L and </w:t>
      </w:r>
      <w:proofErr w:type="spellStart"/>
      <w:r w:rsidRPr="00FE0956">
        <w:rPr>
          <w:rFonts w:ascii="Verdana" w:eastAsia="Times New Roman" w:hAnsi="Verdana" w:cs="Courier New"/>
          <w:lang w:val="en-GB" w:eastAsia="en-GB"/>
        </w:rPr>
        <w:t>Sianesi</w:t>
      </w:r>
      <w:proofErr w:type="spellEnd"/>
      <w:r w:rsidRPr="00FE0956">
        <w:rPr>
          <w:rFonts w:ascii="Verdana" w:eastAsia="Times New Roman" w:hAnsi="Verdana" w:cs="Courier New"/>
          <w:lang w:val="en-GB" w:eastAsia="en-GB"/>
        </w:rPr>
        <w:t xml:space="preserve"> B</w:t>
      </w:r>
      <w:proofErr w:type="gramStart"/>
      <w:r w:rsidRPr="00FE0956">
        <w:rPr>
          <w:rFonts w:ascii="Verdana" w:eastAsia="Times New Roman" w:hAnsi="Verdana" w:cs="Courier New"/>
          <w:lang w:val="en-GB" w:eastAsia="en-GB"/>
        </w:rPr>
        <w:t>,(</w:t>
      </w:r>
      <w:proofErr w:type="gramEnd"/>
      <w:r w:rsidRPr="00FE0956">
        <w:rPr>
          <w:rFonts w:ascii="Verdana" w:eastAsia="Times New Roman" w:hAnsi="Verdana" w:cs="Courier New"/>
          <w:lang w:val="en-GB" w:eastAsia="en-GB"/>
        </w:rPr>
        <w:t xml:space="preserve">2004), ‘Returns to Education for the ‘Marginal </w:t>
      </w:r>
      <w:proofErr w:type="spellStart"/>
      <w:r w:rsidRPr="00FE0956">
        <w:rPr>
          <w:rFonts w:ascii="Verdana" w:eastAsia="Times New Roman" w:hAnsi="Verdana" w:cs="Courier New"/>
          <w:lang w:val="en-GB" w:eastAsia="en-GB"/>
        </w:rPr>
        <w:t>Learner’:Evidence</w:t>
      </w:r>
      <w:proofErr w:type="spellEnd"/>
      <w:r w:rsidRPr="00FE0956">
        <w:rPr>
          <w:rFonts w:ascii="Verdana" w:eastAsia="Times New Roman" w:hAnsi="Verdana" w:cs="Courier New"/>
          <w:lang w:val="en-GB" w:eastAsia="en-GB"/>
        </w:rPr>
        <w:t xml:space="preserve"> from the BCS70’, Centre for the Economics of Education Discussion Paper 45. </w:t>
      </w:r>
    </w:p>
    <w:p w:rsidR="00FE0956" w:rsidRPr="00FE0956" w:rsidRDefault="00FE0956" w:rsidP="00FE0956">
      <w:pPr>
        <w:autoSpaceDE w:val="0"/>
        <w:autoSpaceDN w:val="0"/>
        <w:adjustRightInd w:val="0"/>
        <w:spacing w:after="240" w:line="300" w:lineRule="atLeast"/>
        <w:ind w:left="0" w:right="0"/>
        <w:jc w:val="left"/>
        <w:rPr>
          <w:rFonts w:ascii="Verdana" w:eastAsia="Times New Roman" w:hAnsi="Verdana" w:cs="Courier New"/>
          <w:lang w:val="en-GB" w:eastAsia="en-GB"/>
        </w:rPr>
      </w:pPr>
      <w:r w:rsidRPr="00FE0956">
        <w:rPr>
          <w:rFonts w:ascii="Verdana" w:eastAsia="Times New Roman" w:hAnsi="Verdana" w:cs="Courier New"/>
          <w:lang w:val="en-GB" w:eastAsia="en-GB"/>
        </w:rPr>
        <w:t>Green F and Zhuy Y, (2010), ‘Overqualification, job dissatisfaction, and increasing dispersion in the returns to graduate education’, Oxford Economic Papers 62, 740–763</w:t>
      </w:r>
    </w:p>
    <w:p w:rsidR="00FE0956" w:rsidRPr="00FE0956" w:rsidRDefault="00FE0956" w:rsidP="00FE0956">
      <w:pPr>
        <w:autoSpaceDE w:val="0"/>
        <w:autoSpaceDN w:val="0"/>
        <w:adjustRightInd w:val="0"/>
        <w:spacing w:after="240" w:line="300" w:lineRule="atLeast"/>
        <w:ind w:left="0" w:right="0"/>
        <w:jc w:val="left"/>
        <w:rPr>
          <w:rFonts w:ascii="Verdana" w:eastAsia="Times New Roman" w:hAnsi="Verdana" w:cs="Courier New"/>
          <w:sz w:val="18"/>
          <w:szCs w:val="18"/>
          <w:lang w:val="en-GB" w:eastAsia="en-GB"/>
        </w:rPr>
      </w:pPr>
      <w:proofErr w:type="spellStart"/>
      <w:r w:rsidRPr="00FE0956">
        <w:rPr>
          <w:rFonts w:ascii="Verdana" w:eastAsia="Times New Roman" w:hAnsi="Verdana" w:cs="Courier New"/>
          <w:lang w:val="en-GB" w:eastAsia="en-GB"/>
        </w:rPr>
        <w:t>McGettigan</w:t>
      </w:r>
      <w:proofErr w:type="spellEnd"/>
      <w:r w:rsidRPr="00FE0956">
        <w:rPr>
          <w:rFonts w:ascii="Verdana" w:eastAsia="Times New Roman" w:hAnsi="Verdana" w:cs="Courier New"/>
          <w:lang w:val="en-GB" w:eastAsia="en-GB"/>
        </w:rPr>
        <w:t xml:space="preserve"> A, (2012), ‘False Accounting? Why the government’s Higher Education reforms don’t add up’. </w:t>
      </w:r>
      <w:proofErr w:type="gramStart"/>
      <w:r w:rsidRPr="00FE0956">
        <w:rPr>
          <w:rFonts w:ascii="Verdana" w:eastAsia="Times New Roman" w:hAnsi="Verdana" w:cs="Courier New"/>
          <w:lang w:val="en-GB" w:eastAsia="en-GB"/>
        </w:rPr>
        <w:t>intergenerational</w:t>
      </w:r>
      <w:proofErr w:type="gramEnd"/>
      <w:r w:rsidRPr="00FE0956">
        <w:rPr>
          <w:rFonts w:ascii="Verdana" w:eastAsia="Times New Roman" w:hAnsi="Verdana" w:cs="Courier New"/>
          <w:lang w:val="en-GB" w:eastAsia="en-GB"/>
        </w:rPr>
        <w:t xml:space="preserve"> foundation report. Available at: </w:t>
      </w:r>
      <w:hyperlink r:id="rId10" w:history="1">
        <w:r w:rsidRPr="00FE0956">
          <w:rPr>
            <w:rFonts w:ascii="Verdana" w:eastAsia="Times New Roman" w:hAnsi="Verdana" w:cs="Courier New"/>
            <w:color w:val="0000FF" w:themeColor="hyperlink"/>
            <w:sz w:val="18"/>
            <w:u w:val="single"/>
            <w:lang w:val="en-GB" w:eastAsia="en-GB"/>
          </w:rPr>
          <w:t>www.if.org.uk/archives/category/research</w:t>
        </w:r>
      </w:hyperlink>
    </w:p>
    <w:p w:rsidR="00FE0956" w:rsidRPr="00FE0956" w:rsidRDefault="00FE0956" w:rsidP="00FE0956">
      <w:pPr>
        <w:autoSpaceDE w:val="0"/>
        <w:autoSpaceDN w:val="0"/>
        <w:adjustRightInd w:val="0"/>
        <w:spacing w:after="240" w:line="300" w:lineRule="atLeast"/>
        <w:ind w:left="0" w:right="0"/>
        <w:jc w:val="left"/>
        <w:rPr>
          <w:rFonts w:ascii="Verdana" w:eastAsia="Times New Roman" w:hAnsi="Verdana" w:cs="Courier New"/>
          <w:lang w:val="en-GB" w:eastAsia="en-GB"/>
        </w:rPr>
      </w:pPr>
      <w:r w:rsidRPr="00FE0956">
        <w:rPr>
          <w:rFonts w:ascii="Verdana" w:eastAsia="Times New Roman" w:hAnsi="Verdana" w:cs="Courier New"/>
          <w:lang w:val="en-GB" w:eastAsia="en-GB"/>
        </w:rPr>
        <w:t xml:space="preserve">McIntosh S, (2004), ‘Further analysis of the returns to academic and vocational qualifications’, Centre for the Economics of Education Discussion paper 34. </w:t>
      </w:r>
    </w:p>
    <w:p w:rsidR="00FE0956" w:rsidRPr="00FE0956" w:rsidRDefault="00FE0956" w:rsidP="00FE0956">
      <w:pPr>
        <w:autoSpaceDE w:val="0"/>
        <w:autoSpaceDN w:val="0"/>
        <w:adjustRightInd w:val="0"/>
        <w:spacing w:after="240" w:line="300" w:lineRule="atLeast"/>
        <w:ind w:left="0" w:right="0"/>
        <w:jc w:val="left"/>
        <w:rPr>
          <w:rFonts w:ascii="Verdana" w:eastAsia="Times New Roman" w:hAnsi="Verdana" w:cs="Times New Roman"/>
          <w:sz w:val="16"/>
          <w:szCs w:val="16"/>
          <w:lang w:val="en-GB" w:eastAsia="en-GB"/>
        </w:rPr>
      </w:pPr>
      <w:proofErr w:type="gramStart"/>
      <w:r w:rsidRPr="00FE0956">
        <w:rPr>
          <w:rFonts w:ascii="Verdana" w:eastAsia="Times New Roman" w:hAnsi="Verdana" w:cs="Times New Roman"/>
          <w:lang w:val="en-GB" w:eastAsia="en-GB"/>
        </w:rPr>
        <w:t>Office of Budget Responsibility, (2011),’Economic and fiscal outlook – November 2011’, paragraph 3.106.</w:t>
      </w:r>
      <w:proofErr w:type="gramEnd"/>
      <w:r w:rsidRPr="00FE0956">
        <w:rPr>
          <w:rFonts w:ascii="Verdana" w:eastAsia="Times New Roman" w:hAnsi="Verdana" w:cs="Times New Roman"/>
          <w:lang w:val="en-GB" w:eastAsia="en-GB"/>
        </w:rPr>
        <w:t xml:space="preserve"> Available at: </w:t>
      </w:r>
      <w:hyperlink r:id="rId11" w:history="1">
        <w:r w:rsidRPr="00FE0956">
          <w:rPr>
            <w:rFonts w:ascii="Verdana" w:eastAsia="Times New Roman" w:hAnsi="Verdana" w:cs="Times New Roman"/>
            <w:color w:val="0000FF" w:themeColor="hyperlink"/>
            <w:sz w:val="16"/>
            <w:szCs w:val="16"/>
            <w:u w:val="single"/>
            <w:lang w:val="en-GB" w:eastAsia="en-GB"/>
          </w:rPr>
          <w:t>http://budgetresponsibility.independent.gov.uk/economic-and-fiscal-outlook-november-2011/</w:t>
        </w:r>
      </w:hyperlink>
    </w:p>
    <w:p w:rsidR="00FE0956" w:rsidRPr="00FE0956" w:rsidRDefault="00FE0956" w:rsidP="00FE0956">
      <w:pPr>
        <w:spacing w:after="240" w:line="300" w:lineRule="atLeast"/>
        <w:ind w:left="0" w:right="0"/>
        <w:jc w:val="left"/>
        <w:rPr>
          <w:rFonts w:ascii="Verdana" w:eastAsia="Times New Roman" w:hAnsi="Verdana" w:cs="Times New Roman"/>
          <w:sz w:val="18"/>
          <w:szCs w:val="18"/>
          <w:lang w:val="en-GB" w:eastAsia="en-GB"/>
        </w:rPr>
      </w:pPr>
      <w:proofErr w:type="gramStart"/>
      <w:r w:rsidRPr="00FE0956">
        <w:rPr>
          <w:rFonts w:ascii="Verdana" w:eastAsia="Times New Roman" w:hAnsi="Verdana" w:cs="Times New Roman"/>
          <w:lang w:val="en-GB" w:eastAsia="en-GB"/>
        </w:rPr>
        <w:t>Office of Budget Responsibility, (2012a),’</w:t>
      </w:r>
      <w:r w:rsidRPr="00FE0956">
        <w:rPr>
          <w:rFonts w:ascii="Arial" w:eastAsia="Times New Roman" w:hAnsi="Arial" w:cs="Times New Roman"/>
          <w:sz w:val="21"/>
          <w:szCs w:val="20"/>
          <w:lang w:val="en-GB" w:eastAsia="en-GB"/>
        </w:rPr>
        <w:t xml:space="preserve"> </w:t>
      </w:r>
      <w:r w:rsidRPr="00FE0956">
        <w:rPr>
          <w:rFonts w:ascii="Verdana" w:eastAsia="Times New Roman" w:hAnsi="Verdana" w:cs="Times New Roman"/>
          <w:lang w:val="en-GB" w:eastAsia="en-GB"/>
        </w:rPr>
        <w:t>Economic and fiscal outlook – March 2012.</w:t>
      </w:r>
      <w:proofErr w:type="gramEnd"/>
      <w:r w:rsidRPr="00FE0956">
        <w:rPr>
          <w:rFonts w:ascii="Verdana" w:eastAsia="Times New Roman" w:hAnsi="Verdana" w:cs="Times New Roman"/>
          <w:lang w:val="en-GB" w:eastAsia="en-GB"/>
        </w:rPr>
        <w:t xml:space="preserve"> Available at:</w:t>
      </w:r>
      <w:r w:rsidRPr="00FE0956">
        <w:rPr>
          <w:rFonts w:ascii="Arial" w:eastAsia="Times New Roman" w:hAnsi="Arial" w:cs="Times New Roman"/>
          <w:sz w:val="21"/>
          <w:szCs w:val="20"/>
          <w:lang w:val="en-GB" w:eastAsia="en-GB"/>
        </w:rPr>
        <w:t xml:space="preserve">                                           </w:t>
      </w:r>
      <w:hyperlink r:id="rId12" w:history="1">
        <w:r w:rsidRPr="00FE0956">
          <w:rPr>
            <w:rFonts w:ascii="Verdana" w:eastAsia="Times New Roman" w:hAnsi="Verdana" w:cs="Times New Roman"/>
            <w:color w:val="0000FF" w:themeColor="hyperlink"/>
            <w:sz w:val="18"/>
            <w:u w:val="single"/>
            <w:lang w:val="en-GB" w:eastAsia="en-GB"/>
          </w:rPr>
          <w:t>http://budgetresponsibility.independent.gov.uk/economic-and-fiscal-outlook-march-2012/</w:t>
        </w:r>
      </w:hyperlink>
    </w:p>
    <w:p w:rsidR="00FE0956" w:rsidRPr="00FE0956" w:rsidRDefault="00FE0956" w:rsidP="00FE0956">
      <w:pPr>
        <w:spacing w:after="240" w:line="300" w:lineRule="atLeast"/>
        <w:ind w:left="0" w:right="0"/>
        <w:jc w:val="left"/>
        <w:rPr>
          <w:rFonts w:ascii="Arial" w:eastAsia="Times New Roman" w:hAnsi="Arial" w:cs="Times New Roman"/>
          <w:sz w:val="21"/>
          <w:szCs w:val="20"/>
          <w:lang w:val="en-GB" w:eastAsia="en-GB"/>
        </w:rPr>
      </w:pPr>
      <w:proofErr w:type="gramStart"/>
      <w:r w:rsidRPr="00FE0956">
        <w:rPr>
          <w:rFonts w:ascii="Verdana" w:eastAsia="Times New Roman" w:hAnsi="Verdana" w:cs="Times New Roman"/>
          <w:lang w:val="en-GB" w:eastAsia="en-GB"/>
        </w:rPr>
        <w:t>Office of Budget Responsibility, (2012b),’Fiscal sustainability report (12 July 2012)’.</w:t>
      </w:r>
      <w:proofErr w:type="gramEnd"/>
      <w:r w:rsidRPr="00FE0956">
        <w:rPr>
          <w:rFonts w:ascii="Verdana" w:eastAsia="Times New Roman" w:hAnsi="Verdana" w:cs="Times New Roman"/>
          <w:lang w:val="en-GB" w:eastAsia="en-GB"/>
        </w:rPr>
        <w:t xml:space="preserve">  Available at:                                                 </w:t>
      </w:r>
      <w:hyperlink r:id="rId13" w:history="1">
        <w:r w:rsidRPr="00FE0956">
          <w:rPr>
            <w:rFonts w:ascii="Verdana" w:eastAsia="Times New Roman" w:hAnsi="Verdana" w:cs="Times New Roman"/>
            <w:color w:val="0000FF" w:themeColor="hyperlink"/>
            <w:sz w:val="18"/>
            <w:u w:val="single"/>
            <w:lang w:val="en-GB" w:eastAsia="en-GB"/>
          </w:rPr>
          <w:t>http://budgetresponsibility.independent.gov.uk/fiscal-sustainability-report-july-2012/</w:t>
        </w:r>
      </w:hyperlink>
    </w:p>
    <w:p w:rsidR="00FE0956" w:rsidRPr="00FE0956" w:rsidRDefault="00FE0956" w:rsidP="00FE0956">
      <w:pPr>
        <w:spacing w:after="240" w:line="300" w:lineRule="atLeast"/>
        <w:ind w:left="0" w:right="0"/>
        <w:jc w:val="left"/>
        <w:rPr>
          <w:rFonts w:ascii="Verdana" w:eastAsia="Times New Roman" w:hAnsi="Verdana" w:cs="Times New Roman"/>
          <w:lang w:val="en-GB" w:eastAsia="en-GB"/>
        </w:rPr>
      </w:pPr>
      <w:r w:rsidRPr="00FE0956">
        <w:rPr>
          <w:rFonts w:ascii="Verdana" w:eastAsia="Times New Roman" w:hAnsi="Verdana" w:cs="Times New Roman"/>
          <w:lang w:val="en-GB" w:eastAsia="en-GB"/>
        </w:rPr>
        <w:t>O’Leary NC and Sloane PJ, (2011), ‘The Wage Premium for University Education in Great Britain During a Decade of Change’, The Manchester School 79(4), 740–764</w:t>
      </w:r>
    </w:p>
    <w:p w:rsidR="00FE0956" w:rsidRPr="00FE0956" w:rsidRDefault="00FE0956" w:rsidP="00FE0956">
      <w:pPr>
        <w:spacing w:after="240" w:line="300" w:lineRule="atLeast"/>
        <w:ind w:left="0" w:right="0"/>
        <w:jc w:val="left"/>
        <w:rPr>
          <w:rFonts w:ascii="Verdana" w:eastAsia="Times New Roman" w:hAnsi="Verdana" w:cs="Times New Roman"/>
          <w:sz w:val="18"/>
          <w:szCs w:val="18"/>
          <w:lang w:val="en-GB" w:eastAsia="en-GB"/>
        </w:rPr>
      </w:pPr>
      <w:proofErr w:type="gramStart"/>
      <w:r w:rsidRPr="00FE0956">
        <w:rPr>
          <w:rFonts w:ascii="Verdana" w:eastAsia="Times New Roman" w:hAnsi="Verdana" w:cs="Times New Roman"/>
          <w:lang w:val="en-GB" w:eastAsia="en-GB"/>
        </w:rPr>
        <w:t>PricewaterhouseCoopers LLP (2007), ‘The economic benefits of a degree’, UUK Research Report.</w:t>
      </w:r>
      <w:proofErr w:type="gramEnd"/>
      <w:r w:rsidRPr="00FE0956">
        <w:rPr>
          <w:rFonts w:ascii="Verdana" w:eastAsia="Times New Roman" w:hAnsi="Verdana" w:cs="Times New Roman"/>
          <w:lang w:val="en-GB" w:eastAsia="en-GB"/>
        </w:rPr>
        <w:t xml:space="preserve"> Available at:</w:t>
      </w:r>
      <w:r w:rsidRPr="00FE0956">
        <w:rPr>
          <w:rFonts w:ascii="Arial" w:eastAsia="Times New Roman" w:hAnsi="Arial" w:cs="Times New Roman"/>
          <w:sz w:val="21"/>
          <w:szCs w:val="20"/>
          <w:lang w:val="en-GB" w:eastAsia="en-GB"/>
        </w:rPr>
        <w:t xml:space="preserve"> </w:t>
      </w:r>
      <w:hyperlink r:id="rId14" w:history="1">
        <w:r w:rsidRPr="00FE0956">
          <w:rPr>
            <w:rFonts w:ascii="Verdana" w:eastAsia="Times New Roman" w:hAnsi="Verdana" w:cs="Times New Roman"/>
            <w:color w:val="0000FF" w:themeColor="hyperlink"/>
            <w:sz w:val="18"/>
            <w:u w:val="single"/>
            <w:lang w:val="en-GB" w:eastAsia="en-GB"/>
          </w:rPr>
          <w:t>www.universitiesuk.ac.uk/Publications/Documents/research-gradprem.pdf</w:t>
        </w:r>
      </w:hyperlink>
    </w:p>
    <w:p w:rsidR="00FE0956" w:rsidRPr="00FE0956" w:rsidRDefault="00FE0956" w:rsidP="00FE0956">
      <w:pPr>
        <w:spacing w:after="240" w:line="240" w:lineRule="auto"/>
        <w:ind w:left="0" w:right="0"/>
        <w:jc w:val="left"/>
        <w:rPr>
          <w:rFonts w:ascii="Arial" w:eastAsia="Times New Roman" w:hAnsi="Arial" w:cs="Times New Roman"/>
          <w:sz w:val="21"/>
          <w:szCs w:val="20"/>
          <w:lang w:val="en-GB" w:eastAsia="en-GB"/>
        </w:rPr>
      </w:pPr>
      <w:r w:rsidRPr="00FE0956">
        <w:rPr>
          <w:rFonts w:ascii="Verdana" w:eastAsia="Times New Roman" w:hAnsi="Verdana" w:cs="Times New Roman"/>
          <w:lang w:val="en-GB" w:eastAsia="en-GB"/>
        </w:rPr>
        <w:lastRenderedPageBreak/>
        <w:t>Thompson J and Bekhradnia B, (2010a), ‘The Independent Review of Higher Education Funding: an analysis.’  HEPI Report 15 October 2010. November 2011, amended 14 December 2011.</w:t>
      </w:r>
    </w:p>
    <w:p w:rsidR="00FE0956" w:rsidRPr="00FE0956" w:rsidRDefault="00FE0956" w:rsidP="00FE0956">
      <w:pPr>
        <w:spacing w:after="240" w:line="240" w:lineRule="auto"/>
        <w:ind w:left="0" w:right="0"/>
        <w:jc w:val="left"/>
        <w:rPr>
          <w:rFonts w:ascii="Arial" w:eastAsia="Times New Roman" w:hAnsi="Arial" w:cs="Times New Roman"/>
          <w:sz w:val="21"/>
          <w:szCs w:val="20"/>
          <w:lang w:val="en-GB" w:eastAsia="en-GB"/>
        </w:rPr>
      </w:pPr>
      <w:proofErr w:type="gramStart"/>
      <w:r w:rsidRPr="00FE0956">
        <w:rPr>
          <w:rFonts w:ascii="Verdana" w:eastAsia="Times New Roman" w:hAnsi="Verdana" w:cs="Times New Roman"/>
          <w:lang w:val="en-GB" w:eastAsia="en-GB"/>
        </w:rPr>
        <w:t>Thompson J and Bekhradnia B, (2010b), ‘The government's proposals for higher education funding and student finance – an analysis’.</w:t>
      </w:r>
      <w:proofErr w:type="gramEnd"/>
      <w:r w:rsidRPr="00FE0956">
        <w:rPr>
          <w:rFonts w:ascii="Verdana" w:eastAsia="Times New Roman" w:hAnsi="Verdana" w:cs="Times New Roman"/>
          <w:lang w:val="en-GB" w:eastAsia="en-GB"/>
        </w:rPr>
        <w:t xml:space="preserve"> HEPI Report 11 November </w:t>
      </w:r>
      <w:proofErr w:type="gramStart"/>
      <w:r w:rsidRPr="00FE0956">
        <w:rPr>
          <w:rFonts w:ascii="Verdana" w:eastAsia="Times New Roman" w:hAnsi="Verdana" w:cs="Times New Roman"/>
          <w:lang w:val="en-GB" w:eastAsia="en-GB"/>
        </w:rPr>
        <w:t>2010,</w:t>
      </w:r>
      <w:proofErr w:type="gramEnd"/>
      <w:r w:rsidRPr="00FE0956">
        <w:rPr>
          <w:rFonts w:ascii="Verdana" w:eastAsia="Times New Roman" w:hAnsi="Verdana" w:cs="Times New Roman"/>
          <w:lang w:val="en-GB" w:eastAsia="en-GB"/>
        </w:rPr>
        <w:t xml:space="preserve"> amended 14 December 2010.</w:t>
      </w:r>
    </w:p>
    <w:p w:rsidR="00FE0956" w:rsidRPr="00FE0956" w:rsidRDefault="00FE0956" w:rsidP="00FE0956">
      <w:pPr>
        <w:spacing w:after="240" w:line="240" w:lineRule="auto"/>
        <w:ind w:left="0" w:right="0"/>
        <w:jc w:val="left"/>
        <w:rPr>
          <w:rFonts w:ascii="Verdana" w:eastAsia="Times New Roman" w:hAnsi="Verdana" w:cs="Times New Roman"/>
          <w:lang w:val="en-GB" w:eastAsia="en-GB"/>
        </w:rPr>
      </w:pPr>
      <w:r w:rsidRPr="00FE0956">
        <w:rPr>
          <w:rFonts w:ascii="Verdana" w:eastAsia="Times New Roman" w:hAnsi="Verdana" w:cs="Times New Roman"/>
          <w:lang w:val="en-GB" w:eastAsia="en-GB"/>
        </w:rPr>
        <w:t>Thompson J and Bekhradnia B, (2011), ‘Higher Education: Students at the Heart of the System. An Analysis of the Higher Education White Paper’, HEPI Report 17 August 2011.</w:t>
      </w:r>
    </w:p>
    <w:p w:rsidR="00FE0956" w:rsidRPr="00FE0956" w:rsidRDefault="00FE0956" w:rsidP="00FE0956">
      <w:pPr>
        <w:spacing w:after="240" w:line="240" w:lineRule="auto"/>
        <w:ind w:left="0" w:right="0"/>
        <w:jc w:val="left"/>
        <w:rPr>
          <w:rFonts w:ascii="Verdana" w:eastAsia="Times New Roman" w:hAnsi="Verdana" w:cs="Times New Roman"/>
          <w:lang w:val="en-GB" w:eastAsia="en-GB"/>
        </w:rPr>
      </w:pPr>
      <w:r w:rsidRPr="00FE0956">
        <w:rPr>
          <w:rFonts w:ascii="Verdana" w:eastAsia="Times New Roman" w:hAnsi="Verdana" w:cs="Times New Roman"/>
          <w:lang w:val="en-GB" w:eastAsia="en-GB"/>
        </w:rPr>
        <w:t>Thompson J and Bekhradnia B, (2012), ‘The impact on demand of the Government's reforms of higher education’</w:t>
      </w:r>
      <w:proofErr w:type="gramStart"/>
      <w:r w:rsidRPr="00FE0956">
        <w:rPr>
          <w:rFonts w:ascii="Verdana" w:eastAsia="Times New Roman" w:hAnsi="Verdana" w:cs="Times New Roman"/>
          <w:lang w:val="en-GB" w:eastAsia="en-GB"/>
        </w:rPr>
        <w:t>,  HEPI</w:t>
      </w:r>
      <w:proofErr w:type="gramEnd"/>
      <w:r w:rsidRPr="00FE0956">
        <w:rPr>
          <w:rFonts w:ascii="Verdana" w:eastAsia="Times New Roman" w:hAnsi="Verdana" w:cs="Times New Roman"/>
          <w:lang w:val="en-GB" w:eastAsia="en-GB"/>
        </w:rPr>
        <w:t xml:space="preserve"> Report to be published 8 November 2012.</w:t>
      </w:r>
    </w:p>
    <w:p w:rsidR="00FE0956" w:rsidRPr="00FE0956" w:rsidRDefault="00FE0956" w:rsidP="00FE0956">
      <w:pPr>
        <w:spacing w:after="240" w:line="240" w:lineRule="auto"/>
        <w:ind w:left="0" w:right="0"/>
        <w:jc w:val="left"/>
        <w:rPr>
          <w:rFonts w:ascii="Arial" w:eastAsia="Times New Roman" w:hAnsi="Arial" w:cs="Times New Roman"/>
          <w:sz w:val="21"/>
          <w:szCs w:val="20"/>
          <w:lang w:val="en-GB" w:eastAsia="en-GB"/>
        </w:rPr>
      </w:pPr>
      <w:r w:rsidRPr="00FE0956">
        <w:rPr>
          <w:rFonts w:ascii="Verdana" w:eastAsia="Times New Roman" w:hAnsi="Verdana" w:cs="Times New Roman"/>
          <w:lang w:val="en-GB" w:eastAsia="en-GB"/>
        </w:rPr>
        <w:t xml:space="preserve">HEPI reports available at: </w:t>
      </w:r>
      <w:hyperlink r:id="rId15" w:history="1">
        <w:r w:rsidRPr="00FE0956">
          <w:rPr>
            <w:rFonts w:ascii="Verdana" w:eastAsia="Times New Roman" w:hAnsi="Verdana" w:cs="Times New Roman"/>
            <w:color w:val="0000FF" w:themeColor="hyperlink"/>
            <w:sz w:val="18"/>
            <w:u w:val="single"/>
            <w:lang w:val="en-GB" w:eastAsia="en-GB"/>
          </w:rPr>
          <w:t>www.hepi.ac.uk/466/Reports.html</w:t>
        </w:r>
      </w:hyperlink>
    </w:p>
    <w:p w:rsidR="00FE0956" w:rsidRPr="00FE0956" w:rsidRDefault="00FE0956" w:rsidP="00FE0956">
      <w:pPr>
        <w:spacing w:after="240" w:line="240" w:lineRule="auto"/>
        <w:ind w:left="0" w:right="0"/>
        <w:jc w:val="left"/>
        <w:rPr>
          <w:rFonts w:ascii="Verdana" w:eastAsia="Times New Roman" w:hAnsi="Verdana" w:cs="Times New Roman"/>
          <w:sz w:val="18"/>
          <w:szCs w:val="18"/>
          <w:lang w:val="en-GB" w:eastAsia="en-GB"/>
        </w:rPr>
      </w:pPr>
      <w:r w:rsidRPr="00FE0956">
        <w:rPr>
          <w:rFonts w:ascii="Verdana" w:eastAsia="Times New Roman" w:hAnsi="Verdana" w:cs="Times New Roman"/>
          <w:lang w:val="en-GB" w:eastAsia="en-GB"/>
        </w:rPr>
        <w:t xml:space="preserve">Treasury, (2011), Bank of England Quarterly Inflation Report Q&amp;A, 10th August 2011. Available at: </w:t>
      </w:r>
      <w:hyperlink r:id="rId16" w:history="1">
        <w:r w:rsidRPr="00FE0956">
          <w:rPr>
            <w:rFonts w:ascii="Verdana" w:eastAsia="Times New Roman" w:hAnsi="Verdana" w:cs="Times New Roman"/>
            <w:color w:val="0000FF" w:themeColor="hyperlink"/>
            <w:sz w:val="18"/>
            <w:szCs w:val="18"/>
            <w:u w:val="single"/>
            <w:lang w:val="en-GB" w:eastAsia="en-GB"/>
          </w:rPr>
          <w:t>www.bankofengland.co.uk/publications/Documents/inflationreport/conf120808.pdf</w:t>
        </w:r>
      </w:hyperlink>
    </w:p>
    <w:p w:rsidR="00FE0956" w:rsidRPr="00FE0956" w:rsidRDefault="00FE0956" w:rsidP="00FE0956">
      <w:pPr>
        <w:spacing w:after="240" w:line="300" w:lineRule="atLeast"/>
        <w:ind w:left="0" w:right="0"/>
        <w:jc w:val="left"/>
        <w:rPr>
          <w:rFonts w:ascii="Arial" w:eastAsia="Times New Roman" w:hAnsi="Arial" w:cs="Times New Roman"/>
          <w:sz w:val="21"/>
          <w:szCs w:val="20"/>
          <w:lang w:val="en-GB" w:eastAsia="en-GB"/>
        </w:rPr>
      </w:pPr>
      <w:r w:rsidRPr="00FE0956">
        <w:rPr>
          <w:rFonts w:ascii="Verdana" w:eastAsia="Times New Roman" w:hAnsi="Verdana" w:cs="Times New Roman"/>
          <w:lang w:val="en-GB" w:eastAsia="en-GB"/>
        </w:rPr>
        <w:t xml:space="preserve">Ward S, (2011), “Tuition fee rise to boost CPI and CPI-linked spending, reducing fiscal gain”. Available at </w:t>
      </w:r>
      <w:hyperlink r:id="rId17" w:history="1">
        <w:r w:rsidRPr="00FE0956">
          <w:rPr>
            <w:rFonts w:ascii="Verdana" w:eastAsia="Times New Roman" w:hAnsi="Verdana" w:cs="Times New Roman"/>
            <w:color w:val="0000FF" w:themeColor="hyperlink"/>
            <w:sz w:val="18"/>
            <w:u w:val="single"/>
            <w:lang w:val="en-GB" w:eastAsia="en-GB"/>
          </w:rPr>
          <w:t>http://moneymovesmarkets.com/journal/2011/4/12/tuition-fee-rise-to-boost-cpi-and-cpi-linked-spending-reduci.html</w:t>
        </w:r>
      </w:hyperlink>
    </w:p>
    <w:p w:rsidR="00FE0956" w:rsidRPr="00FE0956" w:rsidRDefault="00FE0956" w:rsidP="00FE0956">
      <w:pPr>
        <w:spacing w:after="240" w:line="300" w:lineRule="atLeast"/>
        <w:ind w:left="0" w:right="0"/>
        <w:jc w:val="left"/>
        <w:rPr>
          <w:rFonts w:ascii="Verdana" w:eastAsia="Times New Roman" w:hAnsi="Verdana" w:cs="Times New Roman"/>
          <w:sz w:val="18"/>
          <w:szCs w:val="18"/>
          <w:lang w:val="en-GB" w:eastAsia="en-GB"/>
        </w:rPr>
      </w:pPr>
      <w:r w:rsidRPr="00FE0956">
        <w:rPr>
          <w:rFonts w:ascii="Verdana" w:eastAsia="Times New Roman" w:hAnsi="Verdana" w:cs="Times New Roman"/>
          <w:lang w:val="en-GB" w:eastAsia="en-GB"/>
        </w:rPr>
        <w:t xml:space="preserve">Willetts D, (2011), Speech given to the Guardian HE Summit. Available at: </w:t>
      </w:r>
      <w:hyperlink r:id="rId18" w:history="1">
        <w:r w:rsidRPr="00FE0956">
          <w:rPr>
            <w:rFonts w:ascii="Verdana" w:eastAsia="Times New Roman" w:hAnsi="Verdana" w:cs="Times New Roman"/>
            <w:color w:val="0000FF" w:themeColor="hyperlink"/>
            <w:sz w:val="18"/>
            <w:u w:val="single"/>
            <w:lang w:val="en-GB" w:eastAsia="en-GB"/>
          </w:rPr>
          <w:t>www.bis.gov.uk/news/speeches/david-willetts-guardian-he-summit</w:t>
        </w:r>
      </w:hyperlink>
    </w:p>
    <w:p w:rsidR="00FE0956" w:rsidRPr="00FE0956" w:rsidRDefault="00FE0956" w:rsidP="00FE0956">
      <w:pPr>
        <w:spacing w:after="240" w:line="300" w:lineRule="atLeast"/>
        <w:ind w:left="0" w:right="0"/>
        <w:jc w:val="left"/>
        <w:rPr>
          <w:rFonts w:ascii="Verdana" w:eastAsia="Times New Roman" w:hAnsi="Verdana" w:cs="Times New Roman"/>
          <w:lang w:val="en-GB" w:eastAsia="en-GB"/>
        </w:rPr>
      </w:pPr>
      <w:r w:rsidRPr="00FE0956">
        <w:rPr>
          <w:rFonts w:ascii="Verdana" w:eastAsia="Times New Roman" w:hAnsi="Verdana" w:cs="Times New Roman"/>
          <w:lang w:val="en-GB" w:eastAsia="en-GB"/>
        </w:rPr>
        <w:t>Willetts D, (2012a), Oral evidence taken before the Business, Innovation and Skills Committee, Government reform of Higher Education: Follow up                    12 June 2012</w:t>
      </w:r>
    </w:p>
    <w:p w:rsidR="00FE0956" w:rsidRPr="00FE0956" w:rsidRDefault="00FE0956" w:rsidP="00FE0956">
      <w:pPr>
        <w:spacing w:after="240" w:line="300" w:lineRule="atLeast"/>
        <w:ind w:left="0" w:right="0"/>
        <w:jc w:val="left"/>
        <w:rPr>
          <w:rFonts w:ascii="Verdana" w:eastAsia="Times New Roman" w:hAnsi="Verdana" w:cs="Times New Roman"/>
          <w:sz w:val="18"/>
          <w:szCs w:val="18"/>
          <w:lang w:val="en-GB" w:eastAsia="en-GB"/>
        </w:rPr>
      </w:pPr>
      <w:r w:rsidRPr="00FE0956">
        <w:rPr>
          <w:rFonts w:ascii="Verdana" w:eastAsia="Times New Roman" w:hAnsi="Verdana" w:cs="Times New Roman"/>
          <w:lang w:val="en-GB" w:eastAsia="en-GB"/>
        </w:rPr>
        <w:t xml:space="preserve">Willetts D, (2012b), “Without fees reform, our children would really feel the pinch”, Times Higher Education, 31 May 2012. Available at: </w:t>
      </w:r>
      <w:hyperlink r:id="rId19" w:history="1">
        <w:r w:rsidRPr="00FE0956">
          <w:rPr>
            <w:rFonts w:ascii="Verdana" w:eastAsia="Times New Roman" w:hAnsi="Verdana" w:cs="Times New Roman"/>
            <w:color w:val="0000FF" w:themeColor="hyperlink"/>
            <w:sz w:val="18"/>
            <w:u w:val="single"/>
            <w:lang w:val="en-GB" w:eastAsia="en-GB"/>
          </w:rPr>
          <w:t>www.timeshighereducation.co.uk/story.asp?sectioncode=26&amp;storycode=420151&amp;c=1</w:t>
        </w:r>
      </w:hyperlink>
    </w:p>
    <w:p w:rsidR="00FE0956" w:rsidRPr="00FE0956" w:rsidRDefault="00FE0956" w:rsidP="00FE0956">
      <w:pPr>
        <w:spacing w:after="240" w:line="300" w:lineRule="atLeast"/>
        <w:ind w:left="0" w:right="0"/>
        <w:jc w:val="left"/>
        <w:rPr>
          <w:rFonts w:ascii="Verdana" w:eastAsia="Times New Roman" w:hAnsi="Verdana" w:cs="Times New Roman"/>
          <w:sz w:val="18"/>
          <w:szCs w:val="18"/>
          <w:lang w:val="en-GB" w:eastAsia="en-GB"/>
        </w:rPr>
      </w:pPr>
    </w:p>
    <w:p w:rsidR="00FE0956" w:rsidRPr="00FE0956" w:rsidRDefault="00FE0956" w:rsidP="00FE0956">
      <w:pPr>
        <w:spacing w:after="240" w:line="300" w:lineRule="atLeast"/>
        <w:ind w:left="0" w:right="0"/>
        <w:jc w:val="left"/>
        <w:rPr>
          <w:rFonts w:ascii="Verdana" w:eastAsia="Times New Roman" w:hAnsi="Verdana" w:cs="Times New Roman"/>
          <w:lang w:val="en-GB" w:eastAsia="en-GB"/>
        </w:rPr>
      </w:pPr>
    </w:p>
    <w:p w:rsidR="00FE0956" w:rsidRPr="00FE0956" w:rsidRDefault="00FE0956" w:rsidP="00FE0956">
      <w:pPr>
        <w:spacing w:after="240" w:line="300" w:lineRule="atLeast"/>
        <w:ind w:left="0" w:right="0"/>
        <w:jc w:val="left"/>
        <w:rPr>
          <w:rFonts w:ascii="Verdana" w:eastAsia="Times New Roman" w:hAnsi="Verdana" w:cs="Times New Roman"/>
          <w:sz w:val="21"/>
          <w:szCs w:val="20"/>
          <w:lang w:val="en-GB" w:eastAsia="en-GB"/>
        </w:rPr>
      </w:pPr>
    </w:p>
    <w:p w:rsidR="00AA3EB8" w:rsidRPr="00FE0956" w:rsidRDefault="00AA3EB8" w:rsidP="00FE0956">
      <w:pPr>
        <w:spacing w:after="240" w:line="300" w:lineRule="atLeast"/>
        <w:ind w:left="0" w:right="0"/>
        <w:jc w:val="left"/>
      </w:pPr>
    </w:p>
    <w:sectPr w:rsidR="00AA3EB8" w:rsidRPr="00FE0956" w:rsidSect="00114E2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0EA" w:rsidRDefault="001610EA" w:rsidP="00A378BE">
      <w:pPr>
        <w:spacing w:after="0" w:line="240" w:lineRule="auto"/>
      </w:pPr>
      <w:r>
        <w:separator/>
      </w:r>
    </w:p>
  </w:endnote>
  <w:endnote w:type="continuationSeparator" w:id="0">
    <w:p w:rsidR="001610EA" w:rsidRDefault="001610EA" w:rsidP="00A378BE">
      <w:pPr>
        <w:spacing w:after="0" w:line="240" w:lineRule="auto"/>
      </w:pPr>
      <w:r>
        <w:continuationSeparator/>
      </w:r>
    </w:p>
  </w:endnote>
  <w:endnote w:type="continuationNotice" w:id="1">
    <w:p w:rsidR="001610EA" w:rsidRDefault="00161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BT-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0EA" w:rsidRDefault="001610EA" w:rsidP="00A378BE">
      <w:pPr>
        <w:spacing w:after="0" w:line="240" w:lineRule="auto"/>
      </w:pPr>
      <w:r>
        <w:separator/>
      </w:r>
    </w:p>
  </w:footnote>
  <w:footnote w:type="continuationSeparator" w:id="0">
    <w:p w:rsidR="001610EA" w:rsidRDefault="001610EA" w:rsidP="00A378BE">
      <w:pPr>
        <w:spacing w:after="0" w:line="240" w:lineRule="auto"/>
      </w:pPr>
      <w:r>
        <w:continuationSeparator/>
      </w:r>
    </w:p>
  </w:footnote>
  <w:footnote w:type="continuationNotice" w:id="1">
    <w:p w:rsidR="001610EA" w:rsidRDefault="001610EA">
      <w:pPr>
        <w:spacing w:after="0" w:line="240" w:lineRule="auto"/>
      </w:pPr>
    </w:p>
  </w:footnote>
  <w:footnote w:id="2">
    <w:p w:rsidR="008F1141" w:rsidRDefault="008F1141">
      <w:pPr>
        <w:pStyle w:val="FootnoteText"/>
      </w:pPr>
      <w:r>
        <w:rPr>
          <w:rStyle w:val="FootnoteReference"/>
        </w:rPr>
        <w:footnoteRef/>
      </w:r>
      <w:r>
        <w:t xml:space="preserve"> This assumes that Government will not continue to pursue a policy of reducing places from highly popular universities and giving them the colleges and universities which have historically had difficulties recruiting, but which have lowered feed levels to qualify for the bidding process.</w:t>
      </w:r>
    </w:p>
  </w:footnote>
  <w:footnote w:id="3">
    <w:p w:rsidR="008F1141" w:rsidRDefault="008F1141">
      <w:pPr>
        <w:pStyle w:val="FootnoteText"/>
      </w:pPr>
      <w:r>
        <w:rPr>
          <w:rStyle w:val="FootnoteReference"/>
        </w:rPr>
        <w:footnoteRef/>
      </w:r>
      <w:r>
        <w:t xml:space="preserve"> We estimate these to be about £3</w:t>
      </w:r>
      <w:r w:rsidR="000502E2">
        <w:t>5</w:t>
      </w:r>
      <w:r>
        <w:t xml:space="preserve">0 </w:t>
      </w:r>
      <w:r w:rsidR="002D2394">
        <w:t xml:space="preserve">million </w:t>
      </w:r>
      <w:r>
        <w:t xml:space="preserve">pa using the costing model at Appendix 1 of our report on the White Paper (Thompson et al, 2011). </w:t>
      </w:r>
    </w:p>
  </w:footnote>
  <w:footnote w:id="4">
    <w:p w:rsidR="00FC63DE" w:rsidRDefault="00FC63DE">
      <w:pPr>
        <w:pStyle w:val="FootnoteText"/>
      </w:pPr>
      <w:r>
        <w:rPr>
          <w:rStyle w:val="FootnoteReference"/>
        </w:rPr>
        <w:footnoteRef/>
      </w:r>
      <w:r>
        <w:t xml:space="preserve"> Both maximum fee levels and maintenance loans will be frozen at 2012-13 levels in 2013-14 for those under the new arrangements. However, </w:t>
      </w:r>
      <w:r w:rsidR="00F438F8">
        <w:t xml:space="preserve">maintenance </w:t>
      </w:r>
      <w:r>
        <w:t>grants will be increased in line with inflation.</w:t>
      </w:r>
      <w:r w:rsidR="00F438F8">
        <w:t xml:space="preserve"> This was announced in the House of Commons on 8 March 2012. To our knowledge, no statement has been made about Government’s longer term plans.</w:t>
      </w:r>
    </w:p>
  </w:footnote>
  <w:footnote w:id="5">
    <w:p w:rsidR="008F1141" w:rsidRPr="00AD14F9" w:rsidRDefault="008F1141">
      <w:pPr>
        <w:pStyle w:val="FootnoteText"/>
        <w:rPr>
          <w:lang w:val="en-US"/>
        </w:rPr>
      </w:pPr>
      <w:r>
        <w:rPr>
          <w:rStyle w:val="FootnoteReference"/>
        </w:rPr>
        <w:footnoteRef/>
      </w:r>
      <w:r>
        <w:t xml:space="preserve"> </w:t>
      </w:r>
      <w:r w:rsidRPr="00C951AB">
        <w:t xml:space="preserve">The White Paper set out </w:t>
      </w:r>
      <w:r w:rsidR="003B1D97">
        <w:t>proposals for</w:t>
      </w:r>
      <w:r w:rsidRPr="00C951AB">
        <w:t xml:space="preserve"> a levy </w:t>
      </w:r>
      <w:r w:rsidR="00FE0956">
        <w:t xml:space="preserve">to be paid </w:t>
      </w:r>
      <w:proofErr w:type="gramStart"/>
      <w:r w:rsidR="00FE0956">
        <w:t xml:space="preserve">by </w:t>
      </w:r>
      <w:r w:rsidRPr="00C951AB">
        <w:t xml:space="preserve"> those</w:t>
      </w:r>
      <w:proofErr w:type="gramEnd"/>
      <w:r w:rsidRPr="00C951AB">
        <w:t xml:space="preserve"> making ‘early’ repayments</w:t>
      </w:r>
      <w:r w:rsidR="00FE0956">
        <w:t xml:space="preserve">. This </w:t>
      </w:r>
      <w:proofErr w:type="gramStart"/>
      <w:r w:rsidR="00FE0956">
        <w:t xml:space="preserve">was </w:t>
      </w:r>
      <w:r w:rsidRPr="00C951AB">
        <w:t xml:space="preserve"> to</w:t>
      </w:r>
      <w:proofErr w:type="gramEnd"/>
      <w:r w:rsidRPr="00C951AB">
        <w:t xml:space="preserve"> ensure that the contribution from high earners would be available to ‘offer significant protection to those who do not earn high wages or who have periods out of employment’. However, these proposals were not adopted.</w:t>
      </w:r>
    </w:p>
  </w:footnote>
  <w:footnote w:id="6">
    <w:p w:rsidR="008F1141" w:rsidRDefault="008F1141" w:rsidP="008C4471">
      <w:pPr>
        <w:pStyle w:val="FootnoteText"/>
      </w:pPr>
      <w:r>
        <w:rPr>
          <w:rStyle w:val="FootnoteReference"/>
        </w:rPr>
        <w:footnoteRef/>
      </w:r>
      <w:r>
        <w:t xml:space="preserve"> Among the US </w:t>
      </w:r>
      <w:proofErr w:type="gramStart"/>
      <w:r>
        <w:t>college educated only those “in the higher earner category (90th percentile) enjoyed any significant growth in real income since 1973, as they accelerated away from the rest since 1989.”</w:t>
      </w:r>
      <w:proofErr w:type="gramEnd"/>
      <w:r>
        <w:t xml:space="preserve"> </w:t>
      </w:r>
      <w:proofErr w:type="gramStart"/>
      <w:r>
        <w:t>(</w:t>
      </w:r>
      <w:r>
        <w:rPr>
          <w:lang w:val="en-US"/>
        </w:rPr>
        <w:t xml:space="preserve"> Brown</w:t>
      </w:r>
      <w:proofErr w:type="gramEnd"/>
      <w:r>
        <w:rPr>
          <w:lang w:val="en-US"/>
        </w:rPr>
        <w:t xml:space="preserve"> et al, 2011). Over a shorter period increasing dispersion of graduate earnings has been found in the UK (Green, et al 2010). </w:t>
      </w:r>
    </w:p>
  </w:footnote>
  <w:footnote w:id="7">
    <w:p w:rsidR="00006687" w:rsidRDefault="00006687">
      <w:pPr>
        <w:pStyle w:val="FootnoteText"/>
      </w:pPr>
      <w:r>
        <w:rPr>
          <w:rStyle w:val="FootnoteReference"/>
        </w:rPr>
        <w:footnoteRef/>
      </w:r>
      <w:r>
        <w:t xml:space="preserve"> These figures were derived using the calculations for different long term earnings growth distributions. See annex A for more details.</w:t>
      </w:r>
    </w:p>
  </w:footnote>
  <w:footnote w:id="8">
    <w:p w:rsidR="008F1141" w:rsidRDefault="008F1141">
      <w:pPr>
        <w:pStyle w:val="FootnoteText"/>
      </w:pPr>
      <w:r>
        <w:rPr>
          <w:rStyle w:val="FootnoteReference"/>
        </w:rPr>
        <w:footnoteRef/>
      </w:r>
      <w:r>
        <w:t xml:space="preserve"> Using the costing model at Appendix 1 of our report on the White Paper (Thompson et al, 2011).</w:t>
      </w:r>
    </w:p>
  </w:footnote>
  <w:footnote w:id="9">
    <w:p w:rsidR="000F3B4F" w:rsidRDefault="000F3B4F">
      <w:pPr>
        <w:pStyle w:val="FootnoteText"/>
      </w:pPr>
      <w:r>
        <w:rPr>
          <w:rStyle w:val="FootnoteReference"/>
        </w:rPr>
        <w:footnoteRef/>
      </w:r>
      <w:r>
        <w:t xml:space="preserve"> These figures are from the online version (downloaded 19 October 2012) which corrected those in the print version. The online Executive Summary (page 10) still shows the original incorrect values.</w:t>
      </w:r>
      <w:r w:rsidR="00F074A1">
        <w:t xml:space="preserve"> The earlier incorrect figures were also quoted in the printed summary of this report.</w:t>
      </w:r>
    </w:p>
  </w:footnote>
  <w:footnote w:id="10">
    <w:p w:rsidR="008F1141" w:rsidRDefault="008F1141" w:rsidP="001B0AD0">
      <w:pPr>
        <w:pStyle w:val="FootnoteText"/>
      </w:pPr>
      <w:r>
        <w:rPr>
          <w:rStyle w:val="FootnoteReference"/>
        </w:rPr>
        <w:footnoteRef/>
      </w:r>
      <w:r>
        <w:t xml:space="preserve"> </w:t>
      </w:r>
      <w:r w:rsidRPr="00D54676">
        <w:rPr>
          <w:lang w:val="en-US"/>
        </w:rPr>
        <w:t xml:space="preserve">Flat’ means continuing with the numbers planned for the current spending review, which means a cut of </w:t>
      </w:r>
      <w:r>
        <w:rPr>
          <w:lang w:val="en-US"/>
        </w:rPr>
        <w:t>1.7 per cent</w:t>
      </w:r>
      <w:r w:rsidRPr="00D54676">
        <w:rPr>
          <w:lang w:val="en-US"/>
        </w:rPr>
        <w:t xml:space="preserve"> compared to 2011-12.</w:t>
      </w:r>
    </w:p>
  </w:footnote>
  <w:footnote w:id="11">
    <w:p w:rsidR="008F1141" w:rsidRDefault="008F1141">
      <w:pPr>
        <w:pStyle w:val="FootnoteText"/>
      </w:pPr>
      <w:r>
        <w:rPr>
          <w:rStyle w:val="FootnoteReference"/>
        </w:rPr>
        <w:footnoteRef/>
      </w:r>
      <w:r>
        <w:t xml:space="preserve"> Based on population projections published in HEPI Demand report, December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6EF6"/>
    <w:multiLevelType w:val="hybridMultilevel"/>
    <w:tmpl w:val="6666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193E2E"/>
    <w:multiLevelType w:val="multilevel"/>
    <w:tmpl w:val="A2F8A04C"/>
    <w:name w:val="HEFCE4"/>
    <w:lvl w:ilvl="0">
      <w:start w:val="1"/>
      <w:numFmt w:val="decimal"/>
      <w:lvlRestart w:val="0"/>
      <w:lvlText w:val="%1."/>
      <w:lvlJc w:val="left"/>
      <w:pPr>
        <w:tabs>
          <w:tab w:val="num" w:pos="851"/>
        </w:tabs>
      </w:pPr>
      <w:rPr>
        <w:rFonts w:cs="Times New Roman"/>
        <w:sz w:val="22"/>
        <w:szCs w:val="22"/>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
    <w:nsid w:val="24004649"/>
    <w:multiLevelType w:val="hybridMultilevel"/>
    <w:tmpl w:val="380CB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410757"/>
    <w:multiLevelType w:val="hybridMultilevel"/>
    <w:tmpl w:val="90D2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305C308-40BA-4B2B-97E7-66A7A9297F81}"/>
    <w:docVar w:name="dgnword-eventsink" w:val="74985072"/>
  </w:docVars>
  <w:rsids>
    <w:rsidRoot w:val="00A378BE"/>
    <w:rsid w:val="00006687"/>
    <w:rsid w:val="00015AB5"/>
    <w:rsid w:val="000248C5"/>
    <w:rsid w:val="0003559C"/>
    <w:rsid w:val="000502E2"/>
    <w:rsid w:val="00054AED"/>
    <w:rsid w:val="00071718"/>
    <w:rsid w:val="000736A7"/>
    <w:rsid w:val="0008189A"/>
    <w:rsid w:val="000824F8"/>
    <w:rsid w:val="00082C68"/>
    <w:rsid w:val="00087771"/>
    <w:rsid w:val="000B14E2"/>
    <w:rsid w:val="000B3077"/>
    <w:rsid w:val="000B5C4E"/>
    <w:rsid w:val="000C74F3"/>
    <w:rsid w:val="000D25D7"/>
    <w:rsid w:val="000D3AD7"/>
    <w:rsid w:val="000D725C"/>
    <w:rsid w:val="000F3B4F"/>
    <w:rsid w:val="00100099"/>
    <w:rsid w:val="001014AD"/>
    <w:rsid w:val="00101F0D"/>
    <w:rsid w:val="0011087C"/>
    <w:rsid w:val="00114E28"/>
    <w:rsid w:val="00125A95"/>
    <w:rsid w:val="00125B07"/>
    <w:rsid w:val="001431AF"/>
    <w:rsid w:val="001610EA"/>
    <w:rsid w:val="00167494"/>
    <w:rsid w:val="0017363A"/>
    <w:rsid w:val="001750C9"/>
    <w:rsid w:val="00177581"/>
    <w:rsid w:val="001800D7"/>
    <w:rsid w:val="001B0AD0"/>
    <w:rsid w:val="001C1762"/>
    <w:rsid w:val="001C4F88"/>
    <w:rsid w:val="001E7E97"/>
    <w:rsid w:val="00203B96"/>
    <w:rsid w:val="002171E2"/>
    <w:rsid w:val="002376EB"/>
    <w:rsid w:val="00256581"/>
    <w:rsid w:val="0026683D"/>
    <w:rsid w:val="00281ACB"/>
    <w:rsid w:val="00281C7F"/>
    <w:rsid w:val="00286AA9"/>
    <w:rsid w:val="00296997"/>
    <w:rsid w:val="00296ED7"/>
    <w:rsid w:val="002A4695"/>
    <w:rsid w:val="002C5A08"/>
    <w:rsid w:val="002D2394"/>
    <w:rsid w:val="002D5605"/>
    <w:rsid w:val="002E0BA2"/>
    <w:rsid w:val="002E6DE0"/>
    <w:rsid w:val="002F05D4"/>
    <w:rsid w:val="002F0E79"/>
    <w:rsid w:val="002F4EE3"/>
    <w:rsid w:val="002F6D5E"/>
    <w:rsid w:val="00300C63"/>
    <w:rsid w:val="00304A6A"/>
    <w:rsid w:val="00315C5D"/>
    <w:rsid w:val="00342022"/>
    <w:rsid w:val="00347D37"/>
    <w:rsid w:val="0035643C"/>
    <w:rsid w:val="0036233F"/>
    <w:rsid w:val="00365117"/>
    <w:rsid w:val="00384F8E"/>
    <w:rsid w:val="00391057"/>
    <w:rsid w:val="00391BDD"/>
    <w:rsid w:val="003B1D97"/>
    <w:rsid w:val="003C2305"/>
    <w:rsid w:val="003D070C"/>
    <w:rsid w:val="003E3220"/>
    <w:rsid w:val="003E70F6"/>
    <w:rsid w:val="003E774C"/>
    <w:rsid w:val="003F03D6"/>
    <w:rsid w:val="004037D0"/>
    <w:rsid w:val="004227FA"/>
    <w:rsid w:val="004327A7"/>
    <w:rsid w:val="004338A7"/>
    <w:rsid w:val="00437AB9"/>
    <w:rsid w:val="0044220F"/>
    <w:rsid w:val="00451DA1"/>
    <w:rsid w:val="00453218"/>
    <w:rsid w:val="00456F07"/>
    <w:rsid w:val="00465CC9"/>
    <w:rsid w:val="0047117B"/>
    <w:rsid w:val="004714DF"/>
    <w:rsid w:val="004805AB"/>
    <w:rsid w:val="00483538"/>
    <w:rsid w:val="004840FF"/>
    <w:rsid w:val="004851CB"/>
    <w:rsid w:val="004909F6"/>
    <w:rsid w:val="00493251"/>
    <w:rsid w:val="00497851"/>
    <w:rsid w:val="004A5527"/>
    <w:rsid w:val="004C43DD"/>
    <w:rsid w:val="004D2057"/>
    <w:rsid w:val="004D3313"/>
    <w:rsid w:val="005006E2"/>
    <w:rsid w:val="005056F7"/>
    <w:rsid w:val="00520252"/>
    <w:rsid w:val="005267E5"/>
    <w:rsid w:val="005269A9"/>
    <w:rsid w:val="005279AA"/>
    <w:rsid w:val="00551610"/>
    <w:rsid w:val="00571E1A"/>
    <w:rsid w:val="00572E7F"/>
    <w:rsid w:val="005838DB"/>
    <w:rsid w:val="00594B19"/>
    <w:rsid w:val="00594B84"/>
    <w:rsid w:val="005B13B7"/>
    <w:rsid w:val="005C29BF"/>
    <w:rsid w:val="005C3B8C"/>
    <w:rsid w:val="005C6B6B"/>
    <w:rsid w:val="005D068A"/>
    <w:rsid w:val="005D76C1"/>
    <w:rsid w:val="005F1009"/>
    <w:rsid w:val="005F123E"/>
    <w:rsid w:val="006059EB"/>
    <w:rsid w:val="00631A5E"/>
    <w:rsid w:val="00633652"/>
    <w:rsid w:val="0063686C"/>
    <w:rsid w:val="00643248"/>
    <w:rsid w:val="00656B33"/>
    <w:rsid w:val="006633E2"/>
    <w:rsid w:val="00685964"/>
    <w:rsid w:val="006866E9"/>
    <w:rsid w:val="00690C1C"/>
    <w:rsid w:val="006A3ED1"/>
    <w:rsid w:val="006A5C54"/>
    <w:rsid w:val="006B35BE"/>
    <w:rsid w:val="006D00FE"/>
    <w:rsid w:val="006D1F32"/>
    <w:rsid w:val="006E7DDA"/>
    <w:rsid w:val="006F39D0"/>
    <w:rsid w:val="006F549A"/>
    <w:rsid w:val="006F62BD"/>
    <w:rsid w:val="006F6849"/>
    <w:rsid w:val="007032AF"/>
    <w:rsid w:val="00705D41"/>
    <w:rsid w:val="00707120"/>
    <w:rsid w:val="00707CC3"/>
    <w:rsid w:val="00712423"/>
    <w:rsid w:val="00712696"/>
    <w:rsid w:val="007209A5"/>
    <w:rsid w:val="0072189F"/>
    <w:rsid w:val="007271C0"/>
    <w:rsid w:val="00731AF5"/>
    <w:rsid w:val="007359BB"/>
    <w:rsid w:val="007470D2"/>
    <w:rsid w:val="00760D82"/>
    <w:rsid w:val="0076669D"/>
    <w:rsid w:val="00774A2F"/>
    <w:rsid w:val="0078084A"/>
    <w:rsid w:val="007B1F49"/>
    <w:rsid w:val="007E7380"/>
    <w:rsid w:val="007F24AB"/>
    <w:rsid w:val="007F58AE"/>
    <w:rsid w:val="007F60CE"/>
    <w:rsid w:val="007F6589"/>
    <w:rsid w:val="00802F2F"/>
    <w:rsid w:val="00803477"/>
    <w:rsid w:val="008052B2"/>
    <w:rsid w:val="008117BB"/>
    <w:rsid w:val="00811B81"/>
    <w:rsid w:val="008125BA"/>
    <w:rsid w:val="00814174"/>
    <w:rsid w:val="008173BF"/>
    <w:rsid w:val="0082758B"/>
    <w:rsid w:val="00830384"/>
    <w:rsid w:val="00836BA8"/>
    <w:rsid w:val="008578F7"/>
    <w:rsid w:val="00865F8E"/>
    <w:rsid w:val="0087125E"/>
    <w:rsid w:val="00872642"/>
    <w:rsid w:val="00873C70"/>
    <w:rsid w:val="0089415B"/>
    <w:rsid w:val="00896FD4"/>
    <w:rsid w:val="008B09B8"/>
    <w:rsid w:val="008B42F1"/>
    <w:rsid w:val="008C21B8"/>
    <w:rsid w:val="008C22AE"/>
    <w:rsid w:val="008C37D3"/>
    <w:rsid w:val="008C4471"/>
    <w:rsid w:val="008D6CEA"/>
    <w:rsid w:val="008E5D3D"/>
    <w:rsid w:val="008E69C9"/>
    <w:rsid w:val="008F1141"/>
    <w:rsid w:val="008F14BC"/>
    <w:rsid w:val="008F2219"/>
    <w:rsid w:val="0090078A"/>
    <w:rsid w:val="009107CB"/>
    <w:rsid w:val="00933620"/>
    <w:rsid w:val="00956DA5"/>
    <w:rsid w:val="00957C75"/>
    <w:rsid w:val="009669B7"/>
    <w:rsid w:val="00967BFC"/>
    <w:rsid w:val="00982BF1"/>
    <w:rsid w:val="0099607E"/>
    <w:rsid w:val="009B6706"/>
    <w:rsid w:val="009C6F71"/>
    <w:rsid w:val="009D0A3C"/>
    <w:rsid w:val="009F4903"/>
    <w:rsid w:val="00A05078"/>
    <w:rsid w:val="00A20299"/>
    <w:rsid w:val="00A252BF"/>
    <w:rsid w:val="00A26BF0"/>
    <w:rsid w:val="00A36CB4"/>
    <w:rsid w:val="00A370CF"/>
    <w:rsid w:val="00A378BE"/>
    <w:rsid w:val="00A37C2A"/>
    <w:rsid w:val="00A50D08"/>
    <w:rsid w:val="00A53858"/>
    <w:rsid w:val="00A722B3"/>
    <w:rsid w:val="00A767D1"/>
    <w:rsid w:val="00AA3EB8"/>
    <w:rsid w:val="00AC4549"/>
    <w:rsid w:val="00AD14F9"/>
    <w:rsid w:val="00AD7CBB"/>
    <w:rsid w:val="00AE0400"/>
    <w:rsid w:val="00AE4B54"/>
    <w:rsid w:val="00AF0329"/>
    <w:rsid w:val="00AF3152"/>
    <w:rsid w:val="00B018D8"/>
    <w:rsid w:val="00B02AE3"/>
    <w:rsid w:val="00B03ED6"/>
    <w:rsid w:val="00B11046"/>
    <w:rsid w:val="00B14534"/>
    <w:rsid w:val="00B231E4"/>
    <w:rsid w:val="00B27CBB"/>
    <w:rsid w:val="00B47A18"/>
    <w:rsid w:val="00B5366E"/>
    <w:rsid w:val="00B55A29"/>
    <w:rsid w:val="00B73A39"/>
    <w:rsid w:val="00B73AD1"/>
    <w:rsid w:val="00B8744F"/>
    <w:rsid w:val="00B87994"/>
    <w:rsid w:val="00B90618"/>
    <w:rsid w:val="00B92209"/>
    <w:rsid w:val="00BC049B"/>
    <w:rsid w:val="00BF43B7"/>
    <w:rsid w:val="00C028DA"/>
    <w:rsid w:val="00C04DF3"/>
    <w:rsid w:val="00C07ED8"/>
    <w:rsid w:val="00C27CB1"/>
    <w:rsid w:val="00C3417C"/>
    <w:rsid w:val="00C3488D"/>
    <w:rsid w:val="00C46A36"/>
    <w:rsid w:val="00C5365C"/>
    <w:rsid w:val="00C61D8A"/>
    <w:rsid w:val="00C66071"/>
    <w:rsid w:val="00C708FB"/>
    <w:rsid w:val="00C777E3"/>
    <w:rsid w:val="00C87D49"/>
    <w:rsid w:val="00C9045F"/>
    <w:rsid w:val="00C93FB6"/>
    <w:rsid w:val="00C951AB"/>
    <w:rsid w:val="00CB5714"/>
    <w:rsid w:val="00CC6C65"/>
    <w:rsid w:val="00CD51F6"/>
    <w:rsid w:val="00CE3D9A"/>
    <w:rsid w:val="00CE720F"/>
    <w:rsid w:val="00CF62C2"/>
    <w:rsid w:val="00D01CEA"/>
    <w:rsid w:val="00D03C4C"/>
    <w:rsid w:val="00D054C0"/>
    <w:rsid w:val="00D2615A"/>
    <w:rsid w:val="00D30BED"/>
    <w:rsid w:val="00D42781"/>
    <w:rsid w:val="00D44236"/>
    <w:rsid w:val="00D47BD7"/>
    <w:rsid w:val="00D54676"/>
    <w:rsid w:val="00D55FE9"/>
    <w:rsid w:val="00D61326"/>
    <w:rsid w:val="00D67C10"/>
    <w:rsid w:val="00D77027"/>
    <w:rsid w:val="00DA0DF0"/>
    <w:rsid w:val="00DB5FDC"/>
    <w:rsid w:val="00DB7313"/>
    <w:rsid w:val="00DC52C4"/>
    <w:rsid w:val="00DD010E"/>
    <w:rsid w:val="00DD3387"/>
    <w:rsid w:val="00DE0522"/>
    <w:rsid w:val="00DE294A"/>
    <w:rsid w:val="00DE4C3D"/>
    <w:rsid w:val="00E1315E"/>
    <w:rsid w:val="00E309C0"/>
    <w:rsid w:val="00E3413E"/>
    <w:rsid w:val="00E44015"/>
    <w:rsid w:val="00E60E5A"/>
    <w:rsid w:val="00E84770"/>
    <w:rsid w:val="00E85CBD"/>
    <w:rsid w:val="00E872B1"/>
    <w:rsid w:val="00EB0551"/>
    <w:rsid w:val="00EB4414"/>
    <w:rsid w:val="00ED591C"/>
    <w:rsid w:val="00EE250E"/>
    <w:rsid w:val="00EF54DC"/>
    <w:rsid w:val="00F063B9"/>
    <w:rsid w:val="00F074A1"/>
    <w:rsid w:val="00F2634A"/>
    <w:rsid w:val="00F34E26"/>
    <w:rsid w:val="00F35067"/>
    <w:rsid w:val="00F404D4"/>
    <w:rsid w:val="00F41054"/>
    <w:rsid w:val="00F43102"/>
    <w:rsid w:val="00F438F8"/>
    <w:rsid w:val="00F50EAB"/>
    <w:rsid w:val="00F605DE"/>
    <w:rsid w:val="00F64266"/>
    <w:rsid w:val="00F7558A"/>
    <w:rsid w:val="00F85018"/>
    <w:rsid w:val="00F85609"/>
    <w:rsid w:val="00F9222E"/>
    <w:rsid w:val="00F9391B"/>
    <w:rsid w:val="00F97BCC"/>
    <w:rsid w:val="00FA3234"/>
    <w:rsid w:val="00FA3EBF"/>
    <w:rsid w:val="00FB2D50"/>
    <w:rsid w:val="00FB4916"/>
    <w:rsid w:val="00FC1912"/>
    <w:rsid w:val="00FC63DE"/>
    <w:rsid w:val="00FD2E8B"/>
    <w:rsid w:val="00FE0956"/>
    <w:rsid w:val="00FE2196"/>
    <w:rsid w:val="00FE57C8"/>
    <w:rsid w:val="00FF4D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357"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78BE"/>
    <w:pPr>
      <w:spacing w:after="0" w:line="240" w:lineRule="auto"/>
      <w:ind w:left="0" w:right="0"/>
      <w:jc w:val="left"/>
    </w:pPr>
    <w:rPr>
      <w:rFonts w:eastAsiaTheme="minorEastAsia"/>
      <w:sz w:val="24"/>
      <w:szCs w:val="24"/>
      <w:lang w:val="en-GB"/>
    </w:rPr>
  </w:style>
  <w:style w:type="character" w:customStyle="1" w:styleId="FootnoteTextChar">
    <w:name w:val="Footnote Text Char"/>
    <w:basedOn w:val="DefaultParagraphFont"/>
    <w:link w:val="FootnoteText"/>
    <w:uiPriority w:val="99"/>
    <w:rsid w:val="00A378BE"/>
    <w:rPr>
      <w:rFonts w:eastAsiaTheme="minorEastAsia"/>
      <w:sz w:val="24"/>
      <w:szCs w:val="24"/>
      <w:lang w:val="en-GB"/>
    </w:rPr>
  </w:style>
  <w:style w:type="character" w:styleId="FootnoteReference">
    <w:name w:val="footnote reference"/>
    <w:basedOn w:val="DefaultParagraphFont"/>
    <w:uiPriority w:val="99"/>
    <w:unhideWhenUsed/>
    <w:rsid w:val="00A378BE"/>
    <w:rPr>
      <w:rFonts w:cs="Times New Roman"/>
      <w:vertAlign w:val="superscript"/>
    </w:rPr>
  </w:style>
  <w:style w:type="paragraph" w:styleId="ListParagraph">
    <w:name w:val="List Paragraph"/>
    <w:basedOn w:val="Normal"/>
    <w:uiPriority w:val="34"/>
    <w:qFormat/>
    <w:rsid w:val="00B27CBB"/>
    <w:pPr>
      <w:spacing w:after="0" w:line="300" w:lineRule="atLeast"/>
      <w:ind w:left="720" w:right="0"/>
      <w:jc w:val="left"/>
    </w:pPr>
    <w:rPr>
      <w:rFonts w:ascii="Arial" w:eastAsia="Times New Roman" w:hAnsi="Arial" w:cs="Times New Roman"/>
      <w:sz w:val="21"/>
      <w:szCs w:val="20"/>
      <w:lang w:val="en-GB" w:eastAsia="en-GB"/>
    </w:rPr>
  </w:style>
  <w:style w:type="character" w:styleId="CommentReference">
    <w:name w:val="annotation reference"/>
    <w:basedOn w:val="DefaultParagraphFont"/>
    <w:uiPriority w:val="99"/>
    <w:semiHidden/>
    <w:unhideWhenUsed/>
    <w:rsid w:val="00B27CBB"/>
    <w:rPr>
      <w:rFonts w:cs="Times New Roman"/>
      <w:sz w:val="16"/>
      <w:szCs w:val="16"/>
    </w:rPr>
  </w:style>
  <w:style w:type="paragraph" w:styleId="CommentText">
    <w:name w:val="annotation text"/>
    <w:basedOn w:val="Normal"/>
    <w:link w:val="CommentTextChar"/>
    <w:uiPriority w:val="99"/>
    <w:semiHidden/>
    <w:unhideWhenUsed/>
    <w:rsid w:val="00B27CBB"/>
    <w:pPr>
      <w:spacing w:after="0" w:line="240" w:lineRule="auto"/>
      <w:ind w:left="0" w:right="0"/>
      <w:jc w:val="left"/>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B27CBB"/>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B27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CB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28DA"/>
    <w:pPr>
      <w:spacing w:after="200"/>
      <w:ind w:left="357" w:right="357"/>
      <w:jc w:val="both"/>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028DA"/>
    <w:rPr>
      <w:rFonts w:ascii="Arial" w:eastAsia="Times New Roman" w:hAnsi="Arial" w:cs="Times New Roman"/>
      <w:b/>
      <w:bCs/>
      <w:sz w:val="20"/>
      <w:szCs w:val="20"/>
      <w:lang w:val="en-GB" w:eastAsia="en-GB"/>
    </w:rPr>
  </w:style>
  <w:style w:type="paragraph" w:styleId="EndnoteText">
    <w:name w:val="endnote text"/>
    <w:basedOn w:val="Normal"/>
    <w:link w:val="EndnoteTextChar"/>
    <w:uiPriority w:val="99"/>
    <w:semiHidden/>
    <w:unhideWhenUsed/>
    <w:rsid w:val="000717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718"/>
    <w:rPr>
      <w:sz w:val="20"/>
      <w:szCs w:val="20"/>
    </w:rPr>
  </w:style>
  <w:style w:type="character" w:styleId="EndnoteReference">
    <w:name w:val="endnote reference"/>
    <w:basedOn w:val="DefaultParagraphFont"/>
    <w:uiPriority w:val="99"/>
    <w:semiHidden/>
    <w:unhideWhenUsed/>
    <w:rsid w:val="00071718"/>
    <w:rPr>
      <w:vertAlign w:val="superscript"/>
    </w:rPr>
  </w:style>
  <w:style w:type="paragraph" w:styleId="PlainText">
    <w:name w:val="Plain Text"/>
    <w:basedOn w:val="Normal"/>
    <w:link w:val="PlainTextChar"/>
    <w:uiPriority w:val="99"/>
    <w:semiHidden/>
    <w:unhideWhenUsed/>
    <w:rsid w:val="00114E28"/>
    <w:pPr>
      <w:spacing w:after="0" w:line="240" w:lineRule="auto"/>
      <w:ind w:left="0" w:right="0"/>
      <w:jc w:val="left"/>
    </w:pPr>
    <w:rPr>
      <w:rFonts w:ascii="Consolas" w:hAnsi="Consolas"/>
      <w:sz w:val="21"/>
      <w:szCs w:val="21"/>
      <w:lang w:val="en-GB"/>
    </w:rPr>
  </w:style>
  <w:style w:type="character" w:customStyle="1" w:styleId="PlainTextChar">
    <w:name w:val="Plain Text Char"/>
    <w:basedOn w:val="DefaultParagraphFont"/>
    <w:link w:val="PlainText"/>
    <w:uiPriority w:val="99"/>
    <w:semiHidden/>
    <w:rsid w:val="00114E28"/>
    <w:rPr>
      <w:rFonts w:ascii="Consolas" w:hAnsi="Consolas"/>
      <w:sz w:val="21"/>
      <w:szCs w:val="21"/>
      <w:lang w:val="en-GB"/>
    </w:rPr>
  </w:style>
  <w:style w:type="paragraph" w:styleId="Header">
    <w:name w:val="header"/>
    <w:basedOn w:val="Normal"/>
    <w:link w:val="HeaderChar"/>
    <w:uiPriority w:val="99"/>
    <w:unhideWhenUsed/>
    <w:rsid w:val="00C536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365C"/>
  </w:style>
  <w:style w:type="paragraph" w:styleId="Footer">
    <w:name w:val="footer"/>
    <w:basedOn w:val="Normal"/>
    <w:link w:val="FooterChar"/>
    <w:uiPriority w:val="99"/>
    <w:unhideWhenUsed/>
    <w:rsid w:val="00C536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365C"/>
  </w:style>
  <w:style w:type="character" w:styleId="Hyperlink">
    <w:name w:val="Hyperlink"/>
    <w:basedOn w:val="DefaultParagraphFont"/>
    <w:uiPriority w:val="99"/>
    <w:unhideWhenUsed/>
    <w:rsid w:val="00FE09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357"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78BE"/>
    <w:pPr>
      <w:spacing w:after="0" w:line="240" w:lineRule="auto"/>
      <w:ind w:left="0" w:right="0"/>
      <w:jc w:val="left"/>
    </w:pPr>
    <w:rPr>
      <w:rFonts w:eastAsiaTheme="minorEastAsia"/>
      <w:sz w:val="24"/>
      <w:szCs w:val="24"/>
      <w:lang w:val="en-GB"/>
    </w:rPr>
  </w:style>
  <w:style w:type="character" w:customStyle="1" w:styleId="FootnoteTextChar">
    <w:name w:val="Footnote Text Char"/>
    <w:basedOn w:val="DefaultParagraphFont"/>
    <w:link w:val="FootnoteText"/>
    <w:uiPriority w:val="99"/>
    <w:rsid w:val="00A378BE"/>
    <w:rPr>
      <w:rFonts w:eastAsiaTheme="minorEastAsia"/>
      <w:sz w:val="24"/>
      <w:szCs w:val="24"/>
      <w:lang w:val="en-GB"/>
    </w:rPr>
  </w:style>
  <w:style w:type="character" w:styleId="FootnoteReference">
    <w:name w:val="footnote reference"/>
    <w:basedOn w:val="DefaultParagraphFont"/>
    <w:uiPriority w:val="99"/>
    <w:unhideWhenUsed/>
    <w:rsid w:val="00A378BE"/>
    <w:rPr>
      <w:rFonts w:cs="Times New Roman"/>
      <w:vertAlign w:val="superscript"/>
    </w:rPr>
  </w:style>
  <w:style w:type="paragraph" w:styleId="ListParagraph">
    <w:name w:val="List Paragraph"/>
    <w:basedOn w:val="Normal"/>
    <w:uiPriority w:val="34"/>
    <w:qFormat/>
    <w:rsid w:val="00B27CBB"/>
    <w:pPr>
      <w:spacing w:after="0" w:line="300" w:lineRule="atLeast"/>
      <w:ind w:left="720" w:right="0"/>
      <w:jc w:val="left"/>
    </w:pPr>
    <w:rPr>
      <w:rFonts w:ascii="Arial" w:eastAsia="Times New Roman" w:hAnsi="Arial" w:cs="Times New Roman"/>
      <w:sz w:val="21"/>
      <w:szCs w:val="20"/>
      <w:lang w:val="en-GB" w:eastAsia="en-GB"/>
    </w:rPr>
  </w:style>
  <w:style w:type="character" w:styleId="CommentReference">
    <w:name w:val="annotation reference"/>
    <w:basedOn w:val="DefaultParagraphFont"/>
    <w:uiPriority w:val="99"/>
    <w:semiHidden/>
    <w:unhideWhenUsed/>
    <w:rsid w:val="00B27CBB"/>
    <w:rPr>
      <w:rFonts w:cs="Times New Roman"/>
      <w:sz w:val="16"/>
      <w:szCs w:val="16"/>
    </w:rPr>
  </w:style>
  <w:style w:type="paragraph" w:styleId="CommentText">
    <w:name w:val="annotation text"/>
    <w:basedOn w:val="Normal"/>
    <w:link w:val="CommentTextChar"/>
    <w:uiPriority w:val="99"/>
    <w:semiHidden/>
    <w:unhideWhenUsed/>
    <w:rsid w:val="00B27CBB"/>
    <w:pPr>
      <w:spacing w:after="0" w:line="240" w:lineRule="auto"/>
      <w:ind w:left="0" w:right="0"/>
      <w:jc w:val="left"/>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B27CBB"/>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B27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CB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28DA"/>
    <w:pPr>
      <w:spacing w:after="200"/>
      <w:ind w:left="357" w:right="357"/>
      <w:jc w:val="both"/>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028DA"/>
    <w:rPr>
      <w:rFonts w:ascii="Arial" w:eastAsia="Times New Roman" w:hAnsi="Arial" w:cs="Times New Roman"/>
      <w:b/>
      <w:bCs/>
      <w:sz w:val="20"/>
      <w:szCs w:val="20"/>
      <w:lang w:val="en-GB" w:eastAsia="en-GB"/>
    </w:rPr>
  </w:style>
  <w:style w:type="paragraph" w:styleId="EndnoteText">
    <w:name w:val="endnote text"/>
    <w:basedOn w:val="Normal"/>
    <w:link w:val="EndnoteTextChar"/>
    <w:uiPriority w:val="99"/>
    <w:semiHidden/>
    <w:unhideWhenUsed/>
    <w:rsid w:val="000717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718"/>
    <w:rPr>
      <w:sz w:val="20"/>
      <w:szCs w:val="20"/>
    </w:rPr>
  </w:style>
  <w:style w:type="character" w:styleId="EndnoteReference">
    <w:name w:val="endnote reference"/>
    <w:basedOn w:val="DefaultParagraphFont"/>
    <w:uiPriority w:val="99"/>
    <w:semiHidden/>
    <w:unhideWhenUsed/>
    <w:rsid w:val="00071718"/>
    <w:rPr>
      <w:vertAlign w:val="superscript"/>
    </w:rPr>
  </w:style>
  <w:style w:type="paragraph" w:styleId="PlainText">
    <w:name w:val="Plain Text"/>
    <w:basedOn w:val="Normal"/>
    <w:link w:val="PlainTextChar"/>
    <w:uiPriority w:val="99"/>
    <w:semiHidden/>
    <w:unhideWhenUsed/>
    <w:rsid w:val="00114E28"/>
    <w:pPr>
      <w:spacing w:after="0" w:line="240" w:lineRule="auto"/>
      <w:ind w:left="0" w:right="0"/>
      <w:jc w:val="left"/>
    </w:pPr>
    <w:rPr>
      <w:rFonts w:ascii="Consolas" w:hAnsi="Consolas"/>
      <w:sz w:val="21"/>
      <w:szCs w:val="21"/>
      <w:lang w:val="en-GB"/>
    </w:rPr>
  </w:style>
  <w:style w:type="character" w:customStyle="1" w:styleId="PlainTextChar">
    <w:name w:val="Plain Text Char"/>
    <w:basedOn w:val="DefaultParagraphFont"/>
    <w:link w:val="PlainText"/>
    <w:uiPriority w:val="99"/>
    <w:semiHidden/>
    <w:rsid w:val="00114E28"/>
    <w:rPr>
      <w:rFonts w:ascii="Consolas" w:hAnsi="Consolas"/>
      <w:sz w:val="21"/>
      <w:szCs w:val="21"/>
      <w:lang w:val="en-GB"/>
    </w:rPr>
  </w:style>
  <w:style w:type="paragraph" w:styleId="Header">
    <w:name w:val="header"/>
    <w:basedOn w:val="Normal"/>
    <w:link w:val="HeaderChar"/>
    <w:uiPriority w:val="99"/>
    <w:unhideWhenUsed/>
    <w:rsid w:val="00C536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365C"/>
  </w:style>
  <w:style w:type="paragraph" w:styleId="Footer">
    <w:name w:val="footer"/>
    <w:basedOn w:val="Normal"/>
    <w:link w:val="FooterChar"/>
    <w:uiPriority w:val="99"/>
    <w:unhideWhenUsed/>
    <w:rsid w:val="00C536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365C"/>
  </w:style>
  <w:style w:type="character" w:styleId="Hyperlink">
    <w:name w:val="Hyperlink"/>
    <w:basedOn w:val="DefaultParagraphFont"/>
    <w:uiPriority w:val="99"/>
    <w:unhideWhenUsed/>
    <w:rsid w:val="00FE09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udgetresponsibility.independent.gov.uk/fiscal-sustainability-report-july-2012/" TargetMode="External"/><Relationship Id="rId18" Type="http://schemas.openxmlformats.org/officeDocument/2006/relationships/hyperlink" Target="http://www.bis.gov.uk/news/speeches/david-willetts-guardian-he-summit"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udgetresponsibility.independent.gov.uk/economic-and-fiscal-outlook-march-2012/" TargetMode="External"/><Relationship Id="rId17" Type="http://schemas.openxmlformats.org/officeDocument/2006/relationships/hyperlink" Target="http://moneymovesmarkets.com/journal/2011/4/12/tuition-fee-rise-to-boost-cpi-and-cpi-linked-spending-reduci.html" TargetMode="External"/><Relationship Id="rId2" Type="http://schemas.openxmlformats.org/officeDocument/2006/relationships/customXml" Target="../customXml/item2.xml"/><Relationship Id="rId16" Type="http://schemas.openxmlformats.org/officeDocument/2006/relationships/hyperlink" Target="http://www.bankofengland.co.uk/publications/Documents/inflationreport/conf12080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udgetresponsibility.independent.gov.uk/economic-and-fiscal-outlook-november-2011/" TargetMode="External"/><Relationship Id="rId5" Type="http://schemas.microsoft.com/office/2007/relationships/stylesWithEffects" Target="stylesWithEffects.xml"/><Relationship Id="rId15" Type="http://schemas.openxmlformats.org/officeDocument/2006/relationships/hyperlink" Target="http://www.hepi.ac.uk/466/Reports.html" TargetMode="External"/><Relationship Id="rId10" Type="http://schemas.openxmlformats.org/officeDocument/2006/relationships/hyperlink" Target="http://www.if.org.uk/archives/category/research" TargetMode="External"/><Relationship Id="rId19" Type="http://schemas.openxmlformats.org/officeDocument/2006/relationships/hyperlink" Target="http://www.timeshighereducation.co.uk/story.asp?sectioncode=26&amp;storycode=420151&amp;c=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niversitiesuk.ac.uk/Publications/Documents/research-gradpr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C327-09C2-4FD4-988A-11B76392F047}">
  <ds:schemaRefs>
    <ds:schemaRef ds:uri="http://schemas.openxmlformats.org/officeDocument/2006/bibliography"/>
  </ds:schemaRefs>
</ds:datastoreItem>
</file>

<file path=customXml/itemProps2.xml><?xml version="1.0" encoding="utf-8"?>
<ds:datastoreItem xmlns:ds="http://schemas.openxmlformats.org/officeDocument/2006/customXml" ds:itemID="{FA319825-C210-4178-84B8-E1E3F085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PeteB</cp:lastModifiedBy>
  <cp:revision>2</cp:revision>
  <cp:lastPrinted>2012-09-21T10:21:00Z</cp:lastPrinted>
  <dcterms:created xsi:type="dcterms:W3CDTF">2012-10-30T16:16:00Z</dcterms:created>
  <dcterms:modified xsi:type="dcterms:W3CDTF">2012-10-30T16:16:00Z</dcterms:modified>
</cp:coreProperties>
</file>