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FE" w:rsidRPr="009C1832" w:rsidRDefault="00A61428" w:rsidP="00D447FE">
      <w:pPr>
        <w:jc w:val="center"/>
        <w:rPr>
          <w:rFonts w:ascii="Verdana" w:hAnsi="Verdana"/>
          <w:b/>
        </w:rPr>
      </w:pPr>
      <w:r w:rsidRPr="009C1832">
        <w:rPr>
          <w:rFonts w:ascii="Verdana" w:hAnsi="Verdana"/>
          <w:b/>
        </w:rPr>
        <w:t>T</w:t>
      </w:r>
      <w:r w:rsidR="00D447FE" w:rsidRPr="009C1832">
        <w:rPr>
          <w:rFonts w:ascii="Verdana" w:hAnsi="Verdana"/>
          <w:b/>
        </w:rPr>
        <w:t>he UKBA’s Proposed Restrictions on Tier 4 visas</w:t>
      </w:r>
      <w:r w:rsidRPr="009C1832">
        <w:rPr>
          <w:rFonts w:ascii="Verdana" w:hAnsi="Verdana"/>
          <w:b/>
        </w:rPr>
        <w:t xml:space="preserve">: </w:t>
      </w:r>
      <w:r w:rsidR="009B2821">
        <w:rPr>
          <w:rFonts w:ascii="Verdana" w:hAnsi="Verdana"/>
          <w:b/>
        </w:rPr>
        <w:t xml:space="preserve">implications for </w:t>
      </w:r>
      <w:r w:rsidRPr="009C1832">
        <w:rPr>
          <w:rFonts w:ascii="Verdana" w:hAnsi="Verdana"/>
          <w:b/>
        </w:rPr>
        <w:t xml:space="preserve">University recruitment of </w:t>
      </w:r>
      <w:r w:rsidR="00621825" w:rsidRPr="009C1832">
        <w:rPr>
          <w:rFonts w:ascii="Verdana" w:hAnsi="Verdana"/>
          <w:b/>
        </w:rPr>
        <w:t>overseas</w:t>
      </w:r>
      <w:r w:rsidR="00D447FE" w:rsidRPr="009C1832">
        <w:rPr>
          <w:rFonts w:ascii="Verdana" w:hAnsi="Verdana"/>
          <w:b/>
        </w:rPr>
        <w:t xml:space="preserve"> student</w:t>
      </w:r>
      <w:r w:rsidRPr="009C1832">
        <w:rPr>
          <w:rFonts w:ascii="Verdana" w:hAnsi="Verdana"/>
          <w:b/>
        </w:rPr>
        <w:t>s</w:t>
      </w:r>
    </w:p>
    <w:p w:rsidR="00250227" w:rsidRPr="009C1832" w:rsidRDefault="00250227" w:rsidP="00D447FE">
      <w:pPr>
        <w:jc w:val="center"/>
        <w:rPr>
          <w:rFonts w:ascii="Verdana" w:hAnsi="Verdana"/>
          <w:b/>
        </w:rPr>
      </w:pPr>
      <w:r w:rsidRPr="009C1832">
        <w:rPr>
          <w:rFonts w:ascii="Verdana" w:hAnsi="Verdana"/>
          <w:b/>
        </w:rPr>
        <w:t>Edward Acton</w:t>
      </w:r>
    </w:p>
    <w:p w:rsidR="003C7217" w:rsidRPr="009C1832" w:rsidRDefault="003C7217" w:rsidP="00D447FE">
      <w:pPr>
        <w:jc w:val="center"/>
        <w:rPr>
          <w:rFonts w:ascii="Verdana" w:hAnsi="Verdana"/>
          <w:b/>
        </w:rPr>
      </w:pPr>
    </w:p>
    <w:p w:rsidR="003C7217" w:rsidRPr="009C1832" w:rsidRDefault="00705A68" w:rsidP="006A4110">
      <w:pPr>
        <w:rPr>
          <w:rFonts w:ascii="Verdana" w:hAnsi="Verdana"/>
          <w:b/>
        </w:rPr>
      </w:pPr>
      <w:r w:rsidRPr="009C1832">
        <w:rPr>
          <w:rFonts w:ascii="Verdana" w:hAnsi="Verdana"/>
          <w:b/>
        </w:rPr>
        <w:t xml:space="preserve">Background and </w:t>
      </w:r>
      <w:r w:rsidR="00621825" w:rsidRPr="009C1832">
        <w:rPr>
          <w:rFonts w:ascii="Verdana" w:hAnsi="Verdana"/>
          <w:b/>
        </w:rPr>
        <w:t>Summary</w:t>
      </w:r>
    </w:p>
    <w:p w:rsidR="009C1832" w:rsidRPr="009C1832" w:rsidRDefault="00685E3C" w:rsidP="009C1832">
      <w:pPr>
        <w:numPr>
          <w:ilvl w:val="0"/>
          <w:numId w:val="1"/>
        </w:numPr>
        <w:ind w:left="0" w:firstLine="0"/>
        <w:rPr>
          <w:rFonts w:ascii="Verdana" w:hAnsi="Verdana"/>
        </w:rPr>
      </w:pPr>
      <w:r w:rsidRPr="009C1832">
        <w:rPr>
          <w:rFonts w:ascii="Verdana" w:eastAsia="Times New Roman" w:hAnsi="Verdana"/>
          <w:szCs w:val="20"/>
          <w:lang w:eastAsia="en-GB"/>
        </w:rPr>
        <w:t xml:space="preserve">During the General Election, David Cameron said the Tories </w:t>
      </w:r>
      <w:r w:rsidR="00F54D87" w:rsidRPr="009C1832">
        <w:rPr>
          <w:rFonts w:ascii="Verdana" w:eastAsia="Times New Roman" w:hAnsi="Verdana"/>
          <w:szCs w:val="20"/>
          <w:lang w:eastAsia="en-GB"/>
        </w:rPr>
        <w:t>‘</w:t>
      </w:r>
      <w:r w:rsidRPr="009C1832">
        <w:rPr>
          <w:rFonts w:ascii="Verdana" w:eastAsia="Times New Roman" w:hAnsi="Verdana"/>
          <w:szCs w:val="20"/>
          <w:lang w:eastAsia="en-GB"/>
        </w:rPr>
        <w:t>would like to see net immigration</w:t>
      </w:r>
      <w:r w:rsidR="004D3243">
        <w:rPr>
          <w:rStyle w:val="FootnoteReference"/>
          <w:rFonts w:ascii="Verdana" w:eastAsia="Times New Roman" w:hAnsi="Verdana"/>
          <w:szCs w:val="20"/>
          <w:lang w:eastAsia="en-GB"/>
        </w:rPr>
        <w:footnoteReference w:id="1"/>
      </w:r>
      <w:r w:rsidRPr="009C1832">
        <w:rPr>
          <w:rFonts w:ascii="Verdana" w:eastAsia="Times New Roman" w:hAnsi="Verdana"/>
          <w:szCs w:val="20"/>
          <w:lang w:eastAsia="en-GB"/>
        </w:rPr>
        <w:t xml:space="preserve"> in the tens of thousands.</w:t>
      </w:r>
      <w:r w:rsidR="00F54D87" w:rsidRPr="009C1832">
        <w:rPr>
          <w:rFonts w:ascii="Verdana" w:eastAsia="Times New Roman" w:hAnsi="Verdana"/>
          <w:szCs w:val="20"/>
          <w:lang w:eastAsia="en-GB"/>
        </w:rPr>
        <w:t>’</w:t>
      </w:r>
      <w:r w:rsidRPr="009C1832">
        <w:rPr>
          <w:rFonts w:ascii="Verdana" w:eastAsia="Times New Roman" w:hAnsi="Verdana"/>
          <w:szCs w:val="20"/>
          <w:lang w:eastAsia="en-GB"/>
        </w:rPr>
        <w:t xml:space="preserve"> The Coalition Manifesto </w:t>
      </w:r>
      <w:r w:rsidR="00E23BF3" w:rsidRPr="009C1832">
        <w:rPr>
          <w:rFonts w:ascii="Verdana" w:eastAsia="Times New Roman" w:hAnsi="Verdana"/>
          <w:szCs w:val="20"/>
          <w:lang w:eastAsia="en-GB"/>
        </w:rPr>
        <w:t xml:space="preserve">of 20 May 2010 said nothing of reducing legitimate student migrants </w:t>
      </w:r>
      <w:r w:rsidR="00A97129" w:rsidRPr="009C1832">
        <w:rPr>
          <w:rFonts w:ascii="Verdana" w:eastAsia="Times New Roman" w:hAnsi="Verdana"/>
          <w:szCs w:val="20"/>
          <w:lang w:eastAsia="en-GB"/>
        </w:rPr>
        <w:t>but</w:t>
      </w:r>
      <w:r w:rsidR="00E23BF3" w:rsidRPr="009C1832">
        <w:rPr>
          <w:rFonts w:ascii="Verdana" w:eastAsia="Times New Roman" w:hAnsi="Verdana"/>
          <w:szCs w:val="20"/>
          <w:lang w:eastAsia="en-GB"/>
        </w:rPr>
        <w:t xml:space="preserve"> only that, </w:t>
      </w:r>
      <w:r w:rsidR="00F54D87" w:rsidRPr="009C1832">
        <w:rPr>
          <w:rFonts w:ascii="Verdana" w:eastAsia="Times New Roman" w:hAnsi="Verdana"/>
          <w:szCs w:val="20"/>
          <w:lang w:eastAsia="en-GB"/>
        </w:rPr>
        <w:t>‘</w:t>
      </w:r>
      <w:r w:rsidRPr="009C1832">
        <w:rPr>
          <w:rFonts w:ascii="Verdana" w:eastAsia="Times New Roman" w:hAnsi="Verdana"/>
          <w:szCs w:val="20"/>
          <w:lang w:eastAsia="en-GB"/>
        </w:rPr>
        <w:t>We have agreed that there should be an annual limit on the number of non-EU economic migrants admitted into the UK to live and work.</w:t>
      </w:r>
      <w:r w:rsidR="00F54D87" w:rsidRPr="009C1832">
        <w:rPr>
          <w:rFonts w:ascii="Verdana" w:eastAsia="Times New Roman" w:hAnsi="Verdana"/>
          <w:szCs w:val="20"/>
          <w:lang w:eastAsia="en-GB"/>
        </w:rPr>
        <w:t>’</w:t>
      </w:r>
      <w:r w:rsidRPr="009C1832">
        <w:rPr>
          <w:rFonts w:ascii="Verdana" w:eastAsia="Times New Roman" w:hAnsi="Verdana"/>
          <w:szCs w:val="20"/>
          <w:lang w:eastAsia="en-GB"/>
        </w:rPr>
        <w:t xml:space="preserve"> </w:t>
      </w:r>
      <w:r w:rsidR="00E23BF3" w:rsidRPr="009C1832">
        <w:rPr>
          <w:rFonts w:ascii="Verdana" w:eastAsia="Times New Roman" w:hAnsi="Verdana"/>
          <w:szCs w:val="20"/>
          <w:lang w:eastAsia="en-GB"/>
        </w:rPr>
        <w:t xml:space="preserve"> Howe</w:t>
      </w:r>
      <w:r w:rsidR="00A97129" w:rsidRPr="009C1832">
        <w:rPr>
          <w:rFonts w:ascii="Verdana" w:eastAsia="Times New Roman" w:hAnsi="Verdana"/>
          <w:szCs w:val="20"/>
          <w:lang w:eastAsia="en-GB"/>
        </w:rPr>
        <w:t>ver, the Home Office moved swiftly to com</w:t>
      </w:r>
      <w:r w:rsidR="00E23BF3" w:rsidRPr="009C1832">
        <w:rPr>
          <w:rFonts w:ascii="Verdana" w:eastAsia="Times New Roman" w:hAnsi="Verdana"/>
          <w:szCs w:val="20"/>
          <w:lang w:eastAsia="en-GB"/>
        </w:rPr>
        <w:t>mission its Migration Advisory Committee</w:t>
      </w:r>
      <w:r w:rsidR="00A97129" w:rsidRPr="009C1832">
        <w:rPr>
          <w:rFonts w:ascii="Verdana" w:eastAsia="Times New Roman" w:hAnsi="Verdana"/>
          <w:szCs w:val="20"/>
          <w:lang w:eastAsia="en-GB"/>
        </w:rPr>
        <w:t xml:space="preserve"> to advise </w:t>
      </w:r>
      <w:r w:rsidR="00F54D87" w:rsidRPr="009C1832">
        <w:rPr>
          <w:rFonts w:ascii="Verdana" w:eastAsia="Times New Roman" w:hAnsi="Verdana"/>
          <w:szCs w:val="20"/>
          <w:lang w:eastAsia="en-GB"/>
        </w:rPr>
        <w:t>‘</w:t>
      </w:r>
      <w:r w:rsidR="00A97129" w:rsidRPr="009C1832">
        <w:rPr>
          <w:rFonts w:ascii="Verdana" w:eastAsia="Times New Roman" w:hAnsi="Verdana"/>
          <w:szCs w:val="20"/>
          <w:lang w:eastAsia="en-GB"/>
        </w:rPr>
        <w:t>at what levels should limits on Tier 1 and Tier 2 of the Points Based System</w:t>
      </w:r>
      <w:r w:rsidR="00146F74" w:rsidRPr="007227CA">
        <w:rPr>
          <w:rFonts w:eastAsia="Times New Roman"/>
          <w:szCs w:val="20"/>
          <w:vertAlign w:val="superscript"/>
          <w:lang w:eastAsia="en-GB"/>
        </w:rPr>
        <w:footnoteReference w:id="2"/>
      </w:r>
      <w:r w:rsidR="00A97129" w:rsidRPr="007227CA">
        <w:rPr>
          <w:rFonts w:ascii="Verdana" w:eastAsia="Times New Roman" w:hAnsi="Verdana"/>
          <w:szCs w:val="20"/>
          <w:vertAlign w:val="superscript"/>
          <w:lang w:eastAsia="en-GB"/>
        </w:rPr>
        <w:t xml:space="preserve"> </w:t>
      </w:r>
      <w:r w:rsidR="00A97129" w:rsidRPr="009C1832">
        <w:rPr>
          <w:rFonts w:ascii="Verdana" w:eastAsia="Times New Roman" w:hAnsi="Verdana"/>
          <w:szCs w:val="20"/>
          <w:lang w:eastAsia="en-GB"/>
        </w:rPr>
        <w:t>be set for their first full year of operation in 2011/12, in order to contribute to achieving the Government’s aim of reducing net migration to an annual level of tens of thousands by the end of this Parliament.</w:t>
      </w:r>
      <w:r w:rsidR="00F54D87" w:rsidRPr="009C1832">
        <w:rPr>
          <w:rFonts w:ascii="Verdana" w:eastAsia="Times New Roman" w:hAnsi="Verdana"/>
          <w:szCs w:val="20"/>
          <w:lang w:eastAsia="en-GB"/>
        </w:rPr>
        <w:t>’</w:t>
      </w:r>
      <w:r w:rsidR="00E23BF3" w:rsidRPr="009C1832">
        <w:rPr>
          <w:rFonts w:ascii="Verdana" w:eastAsia="Times New Roman" w:hAnsi="Verdana"/>
          <w:szCs w:val="20"/>
          <w:lang w:eastAsia="en-GB"/>
        </w:rPr>
        <w:t xml:space="preserve"> </w:t>
      </w:r>
    </w:p>
    <w:p w:rsidR="00A61428" w:rsidRPr="009C1832" w:rsidRDefault="00146F74" w:rsidP="009C1832">
      <w:pPr>
        <w:numPr>
          <w:ilvl w:val="0"/>
          <w:numId w:val="1"/>
        </w:numPr>
        <w:ind w:left="0" w:firstLine="0"/>
        <w:rPr>
          <w:rFonts w:ascii="Verdana" w:hAnsi="Verdana"/>
        </w:rPr>
      </w:pPr>
      <w:r w:rsidRPr="009C1832">
        <w:rPr>
          <w:rFonts w:ascii="Verdana" w:hAnsi="Verdana"/>
        </w:rPr>
        <w:t>In November</w:t>
      </w:r>
      <w:r w:rsidR="00F54D87" w:rsidRPr="009C1832">
        <w:rPr>
          <w:rFonts w:ascii="Verdana" w:hAnsi="Verdana"/>
        </w:rPr>
        <w:t>,</w:t>
      </w:r>
      <w:r w:rsidRPr="009C1832">
        <w:rPr>
          <w:rFonts w:ascii="Verdana" w:hAnsi="Verdana"/>
        </w:rPr>
        <w:t xml:space="preserve"> n</w:t>
      </w:r>
      <w:r w:rsidR="00A97129" w:rsidRPr="009C1832">
        <w:rPr>
          <w:rFonts w:ascii="Verdana" w:hAnsi="Verdana"/>
        </w:rPr>
        <w:t>ew limits on Tier 1 and 2 (i.e. work-related) visas were duly instituted</w:t>
      </w:r>
      <w:r w:rsidRPr="009C1832">
        <w:rPr>
          <w:rFonts w:ascii="Verdana" w:hAnsi="Verdana"/>
        </w:rPr>
        <w:t xml:space="preserve"> and in December t</w:t>
      </w:r>
      <w:r w:rsidR="00D447FE" w:rsidRPr="009C1832">
        <w:rPr>
          <w:rFonts w:ascii="Verdana" w:hAnsi="Verdana"/>
        </w:rPr>
        <w:t xml:space="preserve">he Home Office </w:t>
      </w:r>
      <w:r w:rsidRPr="009C1832">
        <w:rPr>
          <w:rFonts w:ascii="Verdana" w:hAnsi="Verdana"/>
        </w:rPr>
        <w:t xml:space="preserve">issued a </w:t>
      </w:r>
      <w:r w:rsidR="003C7217" w:rsidRPr="009C1832">
        <w:rPr>
          <w:rFonts w:ascii="Verdana" w:hAnsi="Verdana"/>
        </w:rPr>
        <w:t>Consultation</w:t>
      </w:r>
      <w:r w:rsidR="00D447FE" w:rsidRPr="009C1832">
        <w:rPr>
          <w:rFonts w:ascii="Verdana" w:hAnsi="Verdana"/>
        </w:rPr>
        <w:t xml:space="preserve"> on </w:t>
      </w:r>
      <w:proofErr w:type="gramStart"/>
      <w:r w:rsidR="00D447FE" w:rsidRPr="009C1832">
        <w:rPr>
          <w:rFonts w:ascii="Verdana" w:hAnsi="Verdana"/>
        </w:rPr>
        <w:t>proposals</w:t>
      </w:r>
      <w:proofErr w:type="gramEnd"/>
      <w:r w:rsidR="00D447FE" w:rsidRPr="009C1832">
        <w:rPr>
          <w:rFonts w:ascii="Verdana" w:hAnsi="Verdana"/>
        </w:rPr>
        <w:t xml:space="preserve"> to reform Tier 4 </w:t>
      </w:r>
      <w:r w:rsidRPr="009C1832">
        <w:rPr>
          <w:rFonts w:ascii="Verdana" w:hAnsi="Verdana"/>
        </w:rPr>
        <w:t xml:space="preserve">(i.e. student) visas </w:t>
      </w:r>
      <w:r w:rsidR="00D447FE" w:rsidRPr="009C1832">
        <w:rPr>
          <w:rFonts w:ascii="Verdana" w:hAnsi="Verdana"/>
        </w:rPr>
        <w:t xml:space="preserve">. The </w:t>
      </w:r>
      <w:r w:rsidRPr="009C1832">
        <w:rPr>
          <w:rFonts w:ascii="Verdana" w:hAnsi="Verdana"/>
        </w:rPr>
        <w:t xml:space="preserve">Consultation, which apparently elicited ten times as many responses as that on Tiers 1 and 2, closed on 31 January and the </w:t>
      </w:r>
      <w:r w:rsidR="00D447FE" w:rsidRPr="009C1832">
        <w:rPr>
          <w:rFonts w:ascii="Verdana" w:hAnsi="Verdana"/>
        </w:rPr>
        <w:t xml:space="preserve">UK Border Agency is expected to implement new </w:t>
      </w:r>
      <w:r w:rsidR="003C7217" w:rsidRPr="009C1832">
        <w:rPr>
          <w:rFonts w:ascii="Verdana" w:hAnsi="Verdana"/>
        </w:rPr>
        <w:t>restrictions</w:t>
      </w:r>
      <w:r w:rsidR="00D447FE" w:rsidRPr="009C1832">
        <w:rPr>
          <w:rFonts w:ascii="Verdana" w:hAnsi="Verdana"/>
        </w:rPr>
        <w:t xml:space="preserve"> in March/April. </w:t>
      </w:r>
      <w:r w:rsidR="00A61428" w:rsidRPr="009C1832">
        <w:rPr>
          <w:rFonts w:ascii="Verdana" w:hAnsi="Verdana"/>
        </w:rPr>
        <w:t xml:space="preserve"> </w:t>
      </w:r>
      <w:r w:rsidR="003C7217" w:rsidRPr="009C1832">
        <w:rPr>
          <w:rFonts w:ascii="Verdana" w:hAnsi="Verdana"/>
        </w:rPr>
        <w:t>This p</w:t>
      </w:r>
      <w:r w:rsidR="00D447FE" w:rsidRPr="009C1832">
        <w:rPr>
          <w:rFonts w:ascii="Verdana" w:hAnsi="Verdana"/>
        </w:rPr>
        <w:t xml:space="preserve">aper </w:t>
      </w:r>
      <w:r w:rsidR="003C7217" w:rsidRPr="009C1832">
        <w:rPr>
          <w:rFonts w:ascii="Verdana" w:hAnsi="Verdana"/>
        </w:rPr>
        <w:t>demonstrates that the Home Office’s propos</w:t>
      </w:r>
      <w:r w:rsidR="00621825" w:rsidRPr="009C1832">
        <w:rPr>
          <w:rFonts w:ascii="Verdana" w:hAnsi="Verdana"/>
        </w:rPr>
        <w:t>als</w:t>
      </w:r>
      <w:r w:rsidR="003C7217" w:rsidRPr="009C1832">
        <w:rPr>
          <w:rFonts w:ascii="Verdana" w:hAnsi="Verdana"/>
        </w:rPr>
        <w:t xml:space="preserve"> w</w:t>
      </w:r>
      <w:r w:rsidR="00F27222" w:rsidRPr="009C1832">
        <w:rPr>
          <w:rFonts w:ascii="Verdana" w:hAnsi="Verdana"/>
        </w:rPr>
        <w:t>ould</w:t>
      </w:r>
      <w:r w:rsidR="003C7217" w:rsidRPr="009C1832">
        <w:rPr>
          <w:rFonts w:ascii="Verdana" w:hAnsi="Verdana"/>
        </w:rPr>
        <w:t xml:space="preserve"> significantly reduce the recruitment of bona fide non-EU students into UK Higher Education. </w:t>
      </w:r>
    </w:p>
    <w:p w:rsidR="003C7217" w:rsidRPr="009C1832" w:rsidRDefault="00A61428" w:rsidP="009C1832">
      <w:pPr>
        <w:numPr>
          <w:ilvl w:val="0"/>
          <w:numId w:val="1"/>
        </w:numPr>
        <w:ind w:left="0" w:firstLine="0"/>
        <w:rPr>
          <w:rFonts w:ascii="Verdana" w:hAnsi="Verdana"/>
        </w:rPr>
      </w:pPr>
      <w:r w:rsidRPr="009C1832">
        <w:rPr>
          <w:rFonts w:ascii="Verdana" w:hAnsi="Verdana"/>
        </w:rPr>
        <w:t>To implement the proposed measures as they stand would amount to a hostile act against Britain’s universities.</w:t>
      </w:r>
    </w:p>
    <w:p w:rsidR="003C7217" w:rsidRPr="009C1832" w:rsidRDefault="003C7217" w:rsidP="009C1832">
      <w:pPr>
        <w:numPr>
          <w:ilvl w:val="0"/>
          <w:numId w:val="1"/>
        </w:numPr>
        <w:ind w:left="0" w:firstLine="0"/>
        <w:rPr>
          <w:rFonts w:ascii="Verdana" w:hAnsi="Verdana"/>
        </w:rPr>
      </w:pPr>
      <w:r w:rsidRPr="009C1832">
        <w:rPr>
          <w:rFonts w:ascii="Verdana" w:hAnsi="Verdana"/>
        </w:rPr>
        <w:t xml:space="preserve">This </w:t>
      </w:r>
      <w:r w:rsidR="00A61428" w:rsidRPr="009C1832">
        <w:rPr>
          <w:rFonts w:ascii="Verdana" w:hAnsi="Verdana"/>
        </w:rPr>
        <w:t>i</w:t>
      </w:r>
      <w:r w:rsidRPr="009C1832">
        <w:rPr>
          <w:rFonts w:ascii="Verdana" w:hAnsi="Verdana"/>
        </w:rPr>
        <w:t>s partially obscured by the Consultation’s intermittent focus on visa abuse.  But the</w:t>
      </w:r>
      <w:r w:rsidR="00E15198" w:rsidRPr="009C1832">
        <w:rPr>
          <w:rFonts w:ascii="Verdana" w:hAnsi="Verdana"/>
        </w:rPr>
        <w:t xml:space="preserve"> UKBA’s</w:t>
      </w:r>
      <w:r w:rsidRPr="009C1832">
        <w:rPr>
          <w:rFonts w:ascii="Verdana" w:hAnsi="Verdana"/>
        </w:rPr>
        <w:t xml:space="preserve"> proposals for tackling abuse will do much less to eliminate it than alternative proposals put forward by Universities UK.  What UKBA’s proposals would do is devastate pre-university pathway courses, costing universities c</w:t>
      </w:r>
      <w:proofErr w:type="gramStart"/>
      <w:r w:rsidRPr="009C1832">
        <w:rPr>
          <w:rFonts w:ascii="Verdana" w:hAnsi="Verdana"/>
        </w:rPr>
        <w:t>.£</w:t>
      </w:r>
      <w:proofErr w:type="gramEnd"/>
      <w:r w:rsidRPr="009C1832">
        <w:rPr>
          <w:rFonts w:ascii="Verdana" w:hAnsi="Verdana"/>
        </w:rPr>
        <w:t xml:space="preserve">1bn in fee income alone. If the goal is </w:t>
      </w:r>
      <w:r w:rsidR="00774D7E" w:rsidRPr="009C1832">
        <w:rPr>
          <w:rFonts w:ascii="Verdana" w:hAnsi="Verdana"/>
        </w:rPr>
        <w:t xml:space="preserve">to protect universities while imposing </w:t>
      </w:r>
      <w:r w:rsidRPr="009C1832">
        <w:rPr>
          <w:rFonts w:ascii="Verdana" w:hAnsi="Verdana"/>
        </w:rPr>
        <w:t xml:space="preserve">drastic cuts in sub-degree </w:t>
      </w:r>
      <w:r w:rsidR="00774D7E" w:rsidRPr="009C1832">
        <w:rPr>
          <w:rFonts w:ascii="Verdana" w:hAnsi="Verdana"/>
        </w:rPr>
        <w:t xml:space="preserve">(as distinct from pre-degree) </w:t>
      </w:r>
      <w:r w:rsidRPr="009C1832">
        <w:rPr>
          <w:rFonts w:ascii="Verdana" w:hAnsi="Verdana"/>
        </w:rPr>
        <w:t>provision</w:t>
      </w:r>
      <w:r w:rsidR="00774D7E" w:rsidRPr="009C1832">
        <w:rPr>
          <w:rFonts w:ascii="Verdana" w:hAnsi="Verdana"/>
        </w:rPr>
        <w:t>,</w:t>
      </w:r>
      <w:r w:rsidRPr="009C1832">
        <w:rPr>
          <w:rFonts w:ascii="Verdana" w:hAnsi="Verdana"/>
        </w:rPr>
        <w:t xml:space="preserve"> th</w:t>
      </w:r>
      <w:r w:rsidR="00705A68" w:rsidRPr="009C1832">
        <w:rPr>
          <w:rFonts w:ascii="Verdana" w:hAnsi="Verdana"/>
        </w:rPr>
        <w:t>is</w:t>
      </w:r>
      <w:r w:rsidRPr="009C1832">
        <w:rPr>
          <w:rFonts w:ascii="Verdana" w:hAnsi="Verdana"/>
        </w:rPr>
        <w:t xml:space="preserve"> paper shows it would be much more effective to frame policy explicitly in those terms. </w:t>
      </w:r>
    </w:p>
    <w:p w:rsidR="003C7217" w:rsidRPr="009C1832" w:rsidRDefault="003C7217" w:rsidP="009C1832">
      <w:pPr>
        <w:numPr>
          <w:ilvl w:val="0"/>
          <w:numId w:val="1"/>
        </w:numPr>
        <w:ind w:left="0" w:firstLine="0"/>
        <w:rPr>
          <w:rFonts w:ascii="Verdana" w:hAnsi="Verdana"/>
        </w:rPr>
      </w:pPr>
      <w:r w:rsidRPr="009C1832">
        <w:rPr>
          <w:rFonts w:ascii="Verdana" w:hAnsi="Verdana"/>
        </w:rPr>
        <w:t xml:space="preserve">UKBA’s determination to cut non-EU student recruitment is based on thoroughly unreliable data. The Migration Advisory Committee (MAC), to whom </w:t>
      </w:r>
      <w:r w:rsidRPr="009C1832">
        <w:rPr>
          <w:rFonts w:ascii="Verdana" w:hAnsi="Verdana"/>
        </w:rPr>
        <w:lastRenderedPageBreak/>
        <w:t xml:space="preserve">the Home Office has turned for guidance on </w:t>
      </w:r>
      <w:r w:rsidR="00F27222" w:rsidRPr="009C1832">
        <w:rPr>
          <w:rFonts w:ascii="Verdana" w:hAnsi="Verdana"/>
        </w:rPr>
        <w:t>reducing</w:t>
      </w:r>
      <w:r w:rsidRPr="009C1832">
        <w:rPr>
          <w:rFonts w:ascii="Verdana" w:hAnsi="Verdana"/>
        </w:rPr>
        <w:t xml:space="preserve"> net immigration, considers itself obliged to rely on data collected by the International Passenger Survey (IPS)</w:t>
      </w:r>
      <w:r w:rsidR="00A61428" w:rsidRPr="009C1832">
        <w:rPr>
          <w:rFonts w:ascii="Verdana" w:hAnsi="Verdana"/>
        </w:rPr>
        <w:t xml:space="preserve">. </w:t>
      </w:r>
      <w:r w:rsidR="00774D7E" w:rsidRPr="009C1832">
        <w:rPr>
          <w:rFonts w:ascii="Verdana" w:hAnsi="Verdana"/>
        </w:rPr>
        <w:t>MAC</w:t>
      </w:r>
      <w:r w:rsidRPr="009C1832">
        <w:rPr>
          <w:rFonts w:ascii="Verdana" w:hAnsi="Verdana"/>
        </w:rPr>
        <w:t xml:space="preserve"> is deeply unflattering about the reliability of those figures</w:t>
      </w:r>
      <w:r w:rsidR="00A61428" w:rsidRPr="009C1832">
        <w:rPr>
          <w:rFonts w:ascii="Verdana" w:hAnsi="Verdana"/>
        </w:rPr>
        <w:t>. MAC’s</w:t>
      </w:r>
      <w:r w:rsidR="00E15198" w:rsidRPr="009C1832">
        <w:rPr>
          <w:rFonts w:ascii="Verdana" w:hAnsi="Verdana"/>
        </w:rPr>
        <w:t xml:space="preserve"> own estimates suggest </w:t>
      </w:r>
      <w:r w:rsidR="00804EC5" w:rsidRPr="009C1832">
        <w:rPr>
          <w:rFonts w:ascii="Verdana" w:hAnsi="Verdana"/>
        </w:rPr>
        <w:t xml:space="preserve">that </w:t>
      </w:r>
      <w:r w:rsidR="00E15198" w:rsidRPr="009C1832">
        <w:rPr>
          <w:rFonts w:ascii="Verdana" w:hAnsi="Verdana"/>
        </w:rPr>
        <w:t xml:space="preserve">net immigration is half that recorded by IPS – and that IPS gives a particularly </w:t>
      </w:r>
      <w:r w:rsidR="00A61428" w:rsidRPr="009C1832">
        <w:rPr>
          <w:rFonts w:ascii="Verdana" w:hAnsi="Verdana"/>
        </w:rPr>
        <w:t>misleading</w:t>
      </w:r>
      <w:r w:rsidR="00E15198" w:rsidRPr="009C1832">
        <w:rPr>
          <w:rFonts w:ascii="Verdana" w:hAnsi="Verdana"/>
        </w:rPr>
        <w:t xml:space="preserve"> figure for student outflow</w:t>
      </w:r>
      <w:r w:rsidRPr="009C1832">
        <w:rPr>
          <w:rFonts w:ascii="Verdana" w:hAnsi="Verdana"/>
        </w:rPr>
        <w:t xml:space="preserve">. </w:t>
      </w:r>
      <w:r w:rsidR="00E15198" w:rsidRPr="009C1832">
        <w:rPr>
          <w:rFonts w:ascii="Verdana" w:hAnsi="Verdana"/>
        </w:rPr>
        <w:t xml:space="preserve">Yet </w:t>
      </w:r>
      <w:r w:rsidRPr="009C1832">
        <w:rPr>
          <w:rFonts w:ascii="Verdana" w:hAnsi="Verdana"/>
        </w:rPr>
        <w:t>MAC</w:t>
      </w:r>
      <w:r w:rsidR="00E15198" w:rsidRPr="009C1832">
        <w:rPr>
          <w:rFonts w:ascii="Verdana" w:hAnsi="Verdana"/>
        </w:rPr>
        <w:t xml:space="preserve"> has</w:t>
      </w:r>
      <w:r w:rsidRPr="009C1832">
        <w:rPr>
          <w:rFonts w:ascii="Verdana" w:hAnsi="Verdana"/>
        </w:rPr>
        <w:t xml:space="preserve"> left unresolved whether the IPS or its own estimate of s</w:t>
      </w:r>
      <w:r w:rsidR="00804EC5" w:rsidRPr="009C1832">
        <w:rPr>
          <w:rFonts w:ascii="Verdana" w:hAnsi="Verdana"/>
        </w:rPr>
        <w:t xml:space="preserve">tudent outflow is more accurate, </w:t>
      </w:r>
      <w:r w:rsidRPr="009C1832">
        <w:rPr>
          <w:rFonts w:ascii="Verdana" w:hAnsi="Verdana"/>
        </w:rPr>
        <w:t>and UKBA</w:t>
      </w:r>
      <w:r w:rsidR="00804EC5" w:rsidRPr="009C1832">
        <w:rPr>
          <w:rFonts w:ascii="Verdana" w:hAnsi="Verdana"/>
        </w:rPr>
        <w:t>’s analysis and proposals continue to be based</w:t>
      </w:r>
      <w:r w:rsidRPr="009C1832">
        <w:rPr>
          <w:rFonts w:ascii="Verdana" w:hAnsi="Verdana"/>
        </w:rPr>
        <w:t xml:space="preserve"> </w:t>
      </w:r>
      <w:r w:rsidR="00E15198" w:rsidRPr="009C1832">
        <w:rPr>
          <w:rFonts w:ascii="Verdana" w:hAnsi="Verdana"/>
        </w:rPr>
        <w:t xml:space="preserve">firmly </w:t>
      </w:r>
      <w:r w:rsidRPr="009C1832">
        <w:rPr>
          <w:rFonts w:ascii="Verdana" w:hAnsi="Verdana"/>
        </w:rPr>
        <w:t>on IPS figures.</w:t>
      </w:r>
    </w:p>
    <w:p w:rsidR="003C7217" w:rsidRPr="009C1832" w:rsidRDefault="00E15198" w:rsidP="009C1832">
      <w:pPr>
        <w:numPr>
          <w:ilvl w:val="0"/>
          <w:numId w:val="1"/>
        </w:numPr>
        <w:ind w:left="0" w:firstLine="0"/>
        <w:rPr>
          <w:rFonts w:ascii="Verdana" w:hAnsi="Verdana"/>
        </w:rPr>
      </w:pPr>
      <w:r w:rsidRPr="009C1832">
        <w:rPr>
          <w:rFonts w:ascii="Verdana" w:hAnsi="Verdana"/>
        </w:rPr>
        <w:t xml:space="preserve">It </w:t>
      </w:r>
      <w:r w:rsidR="00621825" w:rsidRPr="009C1832">
        <w:rPr>
          <w:rFonts w:ascii="Verdana" w:hAnsi="Verdana"/>
        </w:rPr>
        <w:t xml:space="preserve">is </w:t>
      </w:r>
      <w:r w:rsidRPr="009C1832">
        <w:rPr>
          <w:rFonts w:ascii="Verdana" w:hAnsi="Verdana"/>
        </w:rPr>
        <w:t>now possible</w:t>
      </w:r>
      <w:r w:rsidR="00774D7E" w:rsidRPr="009C1832">
        <w:rPr>
          <w:rFonts w:ascii="Verdana" w:hAnsi="Verdana"/>
        </w:rPr>
        <w:t xml:space="preserve"> to establish beyond </w:t>
      </w:r>
      <w:r w:rsidR="003C7217" w:rsidRPr="009C1832">
        <w:rPr>
          <w:rFonts w:ascii="Verdana" w:hAnsi="Verdana"/>
        </w:rPr>
        <w:t>doubt which estimate is more accurate, using the meticulous data collected by the HE Statistical Agency</w:t>
      </w:r>
      <w:r w:rsidR="00D9045F" w:rsidRPr="009C1832">
        <w:rPr>
          <w:rFonts w:ascii="Verdana" w:hAnsi="Verdana"/>
        </w:rPr>
        <w:t xml:space="preserve"> (HESA)</w:t>
      </w:r>
      <w:r w:rsidR="003C7217" w:rsidRPr="009C1832">
        <w:rPr>
          <w:rFonts w:ascii="Verdana" w:hAnsi="Verdana"/>
        </w:rPr>
        <w:t xml:space="preserve">, the Home Office’s visa records, and </w:t>
      </w:r>
      <w:r w:rsidRPr="009C1832">
        <w:rPr>
          <w:rFonts w:ascii="Verdana" w:hAnsi="Verdana"/>
        </w:rPr>
        <w:t xml:space="preserve">the new </w:t>
      </w:r>
      <w:r w:rsidR="003C7217" w:rsidRPr="009C1832">
        <w:rPr>
          <w:rFonts w:ascii="Verdana" w:hAnsi="Verdana"/>
        </w:rPr>
        <w:t>eBorders passenger data</w:t>
      </w:r>
      <w:r w:rsidRPr="009C1832">
        <w:rPr>
          <w:rFonts w:ascii="Verdana" w:hAnsi="Verdana"/>
        </w:rPr>
        <w:t xml:space="preserve"> the Home Office is collecting</w:t>
      </w:r>
      <w:r w:rsidR="003C7217" w:rsidRPr="009C1832">
        <w:rPr>
          <w:rFonts w:ascii="Verdana" w:hAnsi="Verdana"/>
        </w:rPr>
        <w:t xml:space="preserve">. </w:t>
      </w:r>
      <w:r w:rsidRPr="009C1832">
        <w:rPr>
          <w:rFonts w:ascii="Verdana" w:hAnsi="Verdana"/>
        </w:rPr>
        <w:t>Universities would willingly pay for the exercise</w:t>
      </w:r>
      <w:r w:rsidR="00A61428" w:rsidRPr="009C1832">
        <w:rPr>
          <w:rFonts w:ascii="Verdana" w:hAnsi="Verdana"/>
        </w:rPr>
        <w:t xml:space="preserve"> this very month</w:t>
      </w:r>
      <w:r w:rsidRPr="009C1832">
        <w:rPr>
          <w:rFonts w:ascii="Verdana" w:hAnsi="Verdana"/>
        </w:rPr>
        <w:t xml:space="preserve">. </w:t>
      </w:r>
      <w:r w:rsidR="003C7217" w:rsidRPr="009C1832">
        <w:rPr>
          <w:rFonts w:ascii="Verdana" w:hAnsi="Verdana"/>
        </w:rPr>
        <w:t xml:space="preserve">If successful, the government will have developed a superior data source </w:t>
      </w:r>
      <w:r w:rsidR="00A61428" w:rsidRPr="009C1832">
        <w:rPr>
          <w:rFonts w:ascii="Verdana" w:hAnsi="Verdana"/>
        </w:rPr>
        <w:t>on which to base</w:t>
      </w:r>
      <w:r w:rsidR="003C7217" w:rsidRPr="009C1832">
        <w:rPr>
          <w:rFonts w:ascii="Verdana" w:hAnsi="Verdana"/>
        </w:rPr>
        <w:t xml:space="preserve"> </w:t>
      </w:r>
      <w:r w:rsidR="00A61428" w:rsidRPr="009C1832">
        <w:rPr>
          <w:rFonts w:ascii="Verdana" w:hAnsi="Verdana"/>
        </w:rPr>
        <w:t xml:space="preserve">migration </w:t>
      </w:r>
      <w:r w:rsidR="003C7217" w:rsidRPr="009C1832">
        <w:rPr>
          <w:rFonts w:ascii="Verdana" w:hAnsi="Verdana"/>
        </w:rPr>
        <w:t>policy.</w:t>
      </w:r>
    </w:p>
    <w:p w:rsidR="00D447FE" w:rsidRPr="009C1832" w:rsidRDefault="00E15198" w:rsidP="009C1832">
      <w:pPr>
        <w:numPr>
          <w:ilvl w:val="0"/>
          <w:numId w:val="1"/>
        </w:numPr>
        <w:ind w:left="0" w:firstLine="0"/>
        <w:rPr>
          <w:rFonts w:ascii="Verdana" w:hAnsi="Verdana"/>
        </w:rPr>
      </w:pPr>
      <w:r w:rsidRPr="009C1832">
        <w:rPr>
          <w:rFonts w:ascii="Verdana" w:hAnsi="Verdana"/>
        </w:rPr>
        <w:t xml:space="preserve">Should the Home Office be too nervous </w:t>
      </w:r>
      <w:r w:rsidR="00774D7E" w:rsidRPr="009C1832">
        <w:rPr>
          <w:rFonts w:ascii="Verdana" w:hAnsi="Verdana"/>
        </w:rPr>
        <w:t xml:space="preserve">of the outcome </w:t>
      </w:r>
      <w:r w:rsidRPr="009C1832">
        <w:rPr>
          <w:rFonts w:ascii="Verdana" w:hAnsi="Verdana"/>
        </w:rPr>
        <w:t xml:space="preserve">to permit </w:t>
      </w:r>
      <w:r w:rsidR="00A61428" w:rsidRPr="009C1832">
        <w:rPr>
          <w:rFonts w:ascii="Verdana" w:hAnsi="Verdana"/>
        </w:rPr>
        <w:t>IPS to be subjected to such a test</w:t>
      </w:r>
      <w:r w:rsidRPr="009C1832">
        <w:rPr>
          <w:rFonts w:ascii="Verdana" w:hAnsi="Verdana"/>
        </w:rPr>
        <w:t xml:space="preserve"> and insist on pursuing the current policy trajectory, the consequences will be dire.</w:t>
      </w:r>
      <w:r w:rsidR="00D447FE" w:rsidRPr="009C1832">
        <w:rPr>
          <w:rFonts w:ascii="Verdana" w:hAnsi="Verdana"/>
        </w:rPr>
        <w:t xml:space="preserve"> </w:t>
      </w:r>
    </w:p>
    <w:p w:rsidR="006A4110" w:rsidRPr="009C1832" w:rsidRDefault="006A4110" w:rsidP="009C1832">
      <w:pPr>
        <w:rPr>
          <w:rFonts w:ascii="Verdana" w:hAnsi="Verdana"/>
          <w:b/>
        </w:rPr>
      </w:pPr>
      <w:proofErr w:type="gramStart"/>
      <w:r w:rsidRPr="009C1832">
        <w:rPr>
          <w:rFonts w:ascii="Verdana" w:hAnsi="Verdana"/>
          <w:b/>
        </w:rPr>
        <w:t>To promote or restrict recruitment of legitimate international HE students?</w:t>
      </w:r>
      <w:proofErr w:type="gramEnd"/>
    </w:p>
    <w:p w:rsidR="006A4110" w:rsidRPr="009C1832" w:rsidRDefault="006A4110" w:rsidP="009C1832">
      <w:pPr>
        <w:numPr>
          <w:ilvl w:val="0"/>
          <w:numId w:val="1"/>
        </w:numPr>
        <w:ind w:left="0" w:firstLine="0"/>
        <w:rPr>
          <w:rFonts w:ascii="Verdana" w:hAnsi="Verdana"/>
        </w:rPr>
      </w:pPr>
      <w:r w:rsidRPr="009C1832">
        <w:rPr>
          <w:rFonts w:ascii="Verdana" w:hAnsi="Verdana"/>
        </w:rPr>
        <w:t xml:space="preserve">The key question for universities is whether the government intends to promote or </w:t>
      </w:r>
      <w:proofErr w:type="gramStart"/>
      <w:r w:rsidRPr="009C1832">
        <w:rPr>
          <w:rFonts w:ascii="Verdana" w:hAnsi="Verdana"/>
        </w:rPr>
        <w:t>restrict  recruitment</w:t>
      </w:r>
      <w:proofErr w:type="gramEnd"/>
      <w:r w:rsidRPr="009C1832">
        <w:rPr>
          <w:rFonts w:ascii="Verdana" w:hAnsi="Verdana"/>
        </w:rPr>
        <w:t xml:space="preserve"> of bona fide non-EU students in Higher Education.  On the need to root out remaining abuse, to eliminate all bogus use of Tier 4 and any illegal overstaying, the </w:t>
      </w:r>
      <w:r w:rsidR="00A61428" w:rsidRPr="009C1832">
        <w:rPr>
          <w:rFonts w:ascii="Verdana" w:hAnsi="Verdana"/>
        </w:rPr>
        <w:t xml:space="preserve">HE </w:t>
      </w:r>
      <w:r w:rsidRPr="009C1832">
        <w:rPr>
          <w:rFonts w:ascii="Verdana" w:hAnsi="Verdana"/>
        </w:rPr>
        <w:t xml:space="preserve">Sector and the </w:t>
      </w:r>
      <w:r w:rsidR="0079280C" w:rsidRPr="009C1832">
        <w:rPr>
          <w:rFonts w:ascii="Verdana" w:hAnsi="Verdana"/>
        </w:rPr>
        <w:t>Home O</w:t>
      </w:r>
      <w:r w:rsidRPr="009C1832">
        <w:rPr>
          <w:rFonts w:ascii="Verdana" w:hAnsi="Verdana"/>
        </w:rPr>
        <w:t>ffice are at one. Indeed, UUK’s own proposals on this are more rigorous than those of the UK</w:t>
      </w:r>
      <w:r w:rsidR="00A61428" w:rsidRPr="009C1832">
        <w:rPr>
          <w:rFonts w:ascii="Verdana" w:hAnsi="Verdana"/>
        </w:rPr>
        <w:t>BA</w:t>
      </w:r>
      <w:r w:rsidRPr="009C1832">
        <w:rPr>
          <w:rFonts w:ascii="Verdana" w:hAnsi="Verdana"/>
        </w:rPr>
        <w:t xml:space="preserve">. But what is not clear is whether the government </w:t>
      </w:r>
      <w:r w:rsidR="00A61428" w:rsidRPr="009C1832">
        <w:rPr>
          <w:rFonts w:ascii="Verdana" w:hAnsi="Verdana"/>
        </w:rPr>
        <w:t>is knowingly seeking</w:t>
      </w:r>
      <w:r w:rsidRPr="009C1832">
        <w:rPr>
          <w:rFonts w:ascii="Verdana" w:hAnsi="Verdana"/>
        </w:rPr>
        <w:t xml:space="preserve"> to cut recruitment of thoroughly legitimate international HE students. </w:t>
      </w:r>
    </w:p>
    <w:p w:rsidR="006A4110" w:rsidRPr="009C1832" w:rsidRDefault="006A4110" w:rsidP="009C1832">
      <w:pPr>
        <w:numPr>
          <w:ilvl w:val="0"/>
          <w:numId w:val="1"/>
        </w:numPr>
        <w:ind w:left="0" w:firstLine="0"/>
        <w:rPr>
          <w:rFonts w:ascii="Verdana" w:hAnsi="Verdana"/>
        </w:rPr>
      </w:pPr>
      <w:r w:rsidRPr="009C1832">
        <w:rPr>
          <w:rFonts w:ascii="Verdana" w:hAnsi="Verdana"/>
        </w:rPr>
        <w:t>The answer might seem obvious. The Prime Minister has re</w:t>
      </w:r>
      <w:r w:rsidR="00F27222" w:rsidRPr="009C1832">
        <w:rPr>
          <w:rFonts w:ascii="Verdana" w:hAnsi="Verdana"/>
        </w:rPr>
        <w:t xml:space="preserve">peatedly </w:t>
      </w:r>
      <w:r w:rsidRPr="009C1832">
        <w:rPr>
          <w:rFonts w:ascii="Verdana" w:hAnsi="Verdana"/>
        </w:rPr>
        <w:t>underlined Britain’s welcome to legitimate overseas applicants</w:t>
      </w:r>
      <w:r w:rsidR="00F27222" w:rsidRPr="009C1832">
        <w:rPr>
          <w:rFonts w:ascii="Verdana" w:hAnsi="Verdana"/>
        </w:rPr>
        <w:t xml:space="preserve"> and on 9 February assured Parliament that the Government ‘</w:t>
      </w:r>
      <w:r w:rsidR="00F27222" w:rsidRPr="009C1832">
        <w:rPr>
          <w:rFonts w:ascii="Verdana" w:hAnsi="Verdana" w:cs="Arial"/>
        </w:rPr>
        <w:t>are not currently looking at limits on tier 4 immigration visas.’ The</w:t>
      </w:r>
      <w:r w:rsidRPr="009C1832">
        <w:rPr>
          <w:rFonts w:ascii="Verdana" w:hAnsi="Verdana"/>
        </w:rPr>
        <w:t xml:space="preserve"> Home Secretary appears to </w:t>
      </w:r>
      <w:r w:rsidR="00F27222" w:rsidRPr="009C1832">
        <w:rPr>
          <w:rFonts w:ascii="Verdana" w:hAnsi="Verdana"/>
        </w:rPr>
        <w:t>welcome legitimate overseas students</w:t>
      </w:r>
      <w:r w:rsidRPr="009C1832">
        <w:rPr>
          <w:rFonts w:ascii="Verdana" w:hAnsi="Verdana"/>
        </w:rPr>
        <w:t xml:space="preserve"> in her introduction to the Consultation</w:t>
      </w:r>
      <w:r w:rsidR="00F27222" w:rsidRPr="009C1832">
        <w:rPr>
          <w:rFonts w:ascii="Verdana" w:hAnsi="Verdana"/>
        </w:rPr>
        <w:t>. Bot</w:t>
      </w:r>
      <w:r w:rsidRPr="009C1832">
        <w:rPr>
          <w:rFonts w:ascii="Verdana" w:hAnsi="Verdana"/>
        </w:rPr>
        <w:t xml:space="preserve">h Vince Cable and David Willetts have been entirely supportive. </w:t>
      </w:r>
    </w:p>
    <w:p w:rsidR="006A4110" w:rsidRPr="009C1832" w:rsidRDefault="006A4110" w:rsidP="009C1832">
      <w:pPr>
        <w:numPr>
          <w:ilvl w:val="0"/>
          <w:numId w:val="1"/>
        </w:numPr>
        <w:ind w:left="0" w:firstLine="0"/>
        <w:rPr>
          <w:rFonts w:ascii="Verdana" w:hAnsi="Verdana"/>
        </w:rPr>
      </w:pPr>
      <w:r w:rsidRPr="009C1832">
        <w:rPr>
          <w:rFonts w:ascii="Verdana" w:hAnsi="Verdana"/>
        </w:rPr>
        <w:t xml:space="preserve">Anything else would certainly be surprising. Higher Education is now a major British export in a market set to grow rapidly.  In 2008/09, as the Home Secretary points out in her introduction to the Consultation, the combination of International fee income and personal off-campus expenditure by international HE students already approached £5bn. This has become a vital income stream for universities and, indeed, for the wider economy. In a tricky funding period, </w:t>
      </w:r>
      <w:r w:rsidRPr="009C1832">
        <w:rPr>
          <w:rFonts w:ascii="Verdana" w:hAnsi="Verdana"/>
        </w:rPr>
        <w:lastRenderedPageBreak/>
        <w:t>most universities plan to expand international numbers in the immediate future.</w:t>
      </w:r>
      <w:r w:rsidR="002379A8" w:rsidRPr="009C1832">
        <w:rPr>
          <w:rStyle w:val="FootnoteReference"/>
          <w:rFonts w:ascii="Verdana" w:hAnsi="Verdana"/>
        </w:rPr>
        <w:footnoteReference w:id="3"/>
      </w:r>
      <w:r w:rsidRPr="009C1832">
        <w:rPr>
          <w:rFonts w:ascii="Verdana" w:hAnsi="Verdana"/>
        </w:rPr>
        <w:t xml:space="preserve">  The ability to do so reflects and enhances the reputation of UK HE internationally: it is a Performance Indicator in international league tables. Culturally, the international student presence is a key to ensuring our Home students prepare for and excel in a global graduate market. In STEM (Science, Technology, Engineering and Mathematics) fields, many courses are only made viable by a substantial proportion of enrolments from outside the UK and EU. The UK’s international alumni provide a healthy anglophile network among public and private decision-makers in every one of our trading partners.</w:t>
      </w:r>
    </w:p>
    <w:p w:rsidR="006A4110" w:rsidRPr="009C1832" w:rsidRDefault="00A61428" w:rsidP="009C1832">
      <w:pPr>
        <w:rPr>
          <w:rFonts w:ascii="Verdana" w:hAnsi="Verdana"/>
          <w:b/>
        </w:rPr>
      </w:pPr>
      <w:r w:rsidRPr="009C1832">
        <w:rPr>
          <w:rFonts w:ascii="Verdana" w:hAnsi="Verdana"/>
          <w:b/>
        </w:rPr>
        <w:t xml:space="preserve">Foreign students </w:t>
      </w:r>
      <w:r w:rsidR="00D9045F" w:rsidRPr="009C1832">
        <w:rPr>
          <w:rFonts w:ascii="Verdana" w:hAnsi="Verdana"/>
          <w:b/>
        </w:rPr>
        <w:t>‘</w:t>
      </w:r>
      <w:r w:rsidRPr="009C1832">
        <w:rPr>
          <w:rFonts w:ascii="Verdana" w:hAnsi="Verdana"/>
          <w:b/>
        </w:rPr>
        <w:t>are not and never have been immigrants’</w:t>
      </w:r>
      <w:r w:rsidR="00774D7E" w:rsidRPr="009C1832">
        <w:rPr>
          <w:rFonts w:ascii="Verdana" w:hAnsi="Verdana"/>
          <w:b/>
        </w:rPr>
        <w:t xml:space="preserve"> (Enoch Powell)</w:t>
      </w:r>
      <w:r w:rsidR="00774D7E" w:rsidRPr="009C1832">
        <w:rPr>
          <w:rStyle w:val="FootnoteReference"/>
          <w:rFonts w:ascii="Verdana" w:hAnsi="Verdana"/>
          <w:b/>
        </w:rPr>
        <w:footnoteReference w:id="4"/>
      </w:r>
    </w:p>
    <w:p w:rsidR="006A4110" w:rsidRPr="009C1832" w:rsidRDefault="006A4110" w:rsidP="009C1832">
      <w:pPr>
        <w:numPr>
          <w:ilvl w:val="0"/>
          <w:numId w:val="1"/>
        </w:numPr>
        <w:ind w:left="0" w:firstLine="0"/>
        <w:rPr>
          <w:rFonts w:ascii="Verdana" w:hAnsi="Verdana"/>
        </w:rPr>
      </w:pPr>
      <w:r w:rsidRPr="009C1832">
        <w:rPr>
          <w:rFonts w:ascii="Verdana" w:hAnsi="Verdana"/>
        </w:rPr>
        <w:t>A cursory reading of the Home Secretary’s introduction and the Consultation’s language might give the impression that where student migrants are concerned, all that is envisaged is the elimination of abuse. ‘We need to ensure that the number of international students coming to the UK is broadly in balance with the number leaving.’ (</w:t>
      </w:r>
      <w:r w:rsidRPr="009C1832">
        <w:rPr>
          <w:rFonts w:ascii="Verdana" w:hAnsi="Verdana"/>
          <w:i/>
        </w:rPr>
        <w:t>Consultation</w:t>
      </w:r>
      <w:r w:rsidRPr="009C1832">
        <w:rPr>
          <w:rFonts w:ascii="Verdana" w:hAnsi="Verdana"/>
        </w:rPr>
        <w:t xml:space="preserve">, 2.9) </w:t>
      </w:r>
      <w:r w:rsidR="009727DE" w:rsidRPr="009C1832">
        <w:rPr>
          <w:rFonts w:ascii="Verdana" w:hAnsi="Verdana"/>
        </w:rPr>
        <w:t>‘Broadly in balance’ may be read as allowing</w:t>
      </w:r>
      <w:r w:rsidR="00F54D87" w:rsidRPr="009C1832">
        <w:rPr>
          <w:rFonts w:ascii="Verdana" w:hAnsi="Verdana"/>
        </w:rPr>
        <w:t xml:space="preserve"> for three-year courses, the normal minimum for undergraduate and research degrees, and </w:t>
      </w:r>
      <w:r w:rsidR="00F27222" w:rsidRPr="009C1832">
        <w:rPr>
          <w:rFonts w:ascii="Verdana" w:hAnsi="Verdana"/>
        </w:rPr>
        <w:t>recognising that</w:t>
      </w:r>
      <w:r w:rsidR="00F54D87" w:rsidRPr="009C1832">
        <w:rPr>
          <w:rFonts w:ascii="Verdana" w:hAnsi="Verdana"/>
        </w:rPr>
        <w:t xml:space="preserve"> </w:t>
      </w:r>
      <w:r w:rsidR="009727DE" w:rsidRPr="009C1832">
        <w:rPr>
          <w:rFonts w:ascii="Verdana" w:hAnsi="Verdana"/>
        </w:rPr>
        <w:t xml:space="preserve">those </w:t>
      </w:r>
      <w:r w:rsidR="00F27222" w:rsidRPr="009C1832">
        <w:rPr>
          <w:rFonts w:ascii="Verdana" w:hAnsi="Verdana"/>
        </w:rPr>
        <w:t>arriving will</w:t>
      </w:r>
      <w:r w:rsidR="009727DE" w:rsidRPr="009C1832">
        <w:rPr>
          <w:rFonts w:ascii="Verdana" w:hAnsi="Verdana"/>
        </w:rPr>
        <w:t xml:space="preserve"> exceed those leaving when British recruitment rises, and those leaving </w:t>
      </w:r>
      <w:r w:rsidR="00F27222" w:rsidRPr="009C1832">
        <w:rPr>
          <w:rFonts w:ascii="Verdana" w:hAnsi="Verdana"/>
        </w:rPr>
        <w:t>will</w:t>
      </w:r>
      <w:r w:rsidR="009727DE" w:rsidRPr="009C1832">
        <w:rPr>
          <w:rFonts w:ascii="Verdana" w:hAnsi="Verdana"/>
        </w:rPr>
        <w:t xml:space="preserve"> move into surplus when British recruitment falls. If so, </w:t>
      </w:r>
      <w:r w:rsidR="00F54D87" w:rsidRPr="009C1832">
        <w:rPr>
          <w:rFonts w:ascii="Verdana" w:hAnsi="Verdana"/>
        </w:rPr>
        <w:t xml:space="preserve">this approach would be compatible with the view </w:t>
      </w:r>
      <w:r w:rsidR="00FB4FA6" w:rsidRPr="009C1832">
        <w:rPr>
          <w:rFonts w:ascii="Verdana" w:hAnsi="Verdana"/>
        </w:rPr>
        <w:t>that a</w:t>
      </w:r>
      <w:r w:rsidRPr="009C1832">
        <w:rPr>
          <w:rFonts w:ascii="Verdana" w:hAnsi="Verdana"/>
        </w:rPr>
        <w:t xml:space="preserve"> strong flow of legitimate international students</w:t>
      </w:r>
      <w:r w:rsidR="009727DE" w:rsidRPr="009C1832">
        <w:rPr>
          <w:rFonts w:ascii="Verdana" w:hAnsi="Verdana"/>
        </w:rPr>
        <w:t>, provided they leave promptly,</w:t>
      </w:r>
      <w:r w:rsidRPr="009C1832">
        <w:rPr>
          <w:rFonts w:ascii="Verdana" w:hAnsi="Verdana"/>
        </w:rPr>
        <w:t xml:space="preserve"> is thoroughly healthy.  There would be active </w:t>
      </w:r>
      <w:r w:rsidR="00A61428" w:rsidRPr="009C1832">
        <w:rPr>
          <w:rFonts w:ascii="Verdana" w:hAnsi="Verdana"/>
        </w:rPr>
        <w:t>Home Office</w:t>
      </w:r>
      <w:r w:rsidRPr="009C1832">
        <w:rPr>
          <w:rFonts w:ascii="Verdana" w:hAnsi="Verdana"/>
        </w:rPr>
        <w:t xml:space="preserve"> support for education’s rapid climb among Britain’s export sectors and in particular for the magnetic power of our Higher Education, in which the UK punches vastly above its weight – only one in a hundred of the world’s population but one in seven of the world’s top 200 universities.  While in the UK, non-EU students do not acquire any settlement rights; by law they have limited access to UK benefits; when their Tier 4 visa expires they are required to leave the country, bar that small proportion to whom UKBA deliberately chooses to grant an alternative visa; those in HE pay non-EU fees precisely on the grounds that their primary home is outside the EU. This common-sense approach </w:t>
      </w:r>
      <w:proofErr w:type="gramStart"/>
      <w:r w:rsidRPr="009C1832">
        <w:rPr>
          <w:rFonts w:ascii="Verdana" w:hAnsi="Verdana"/>
        </w:rPr>
        <w:t>lies</w:t>
      </w:r>
      <w:proofErr w:type="gramEnd"/>
      <w:r w:rsidRPr="009C1832">
        <w:rPr>
          <w:rFonts w:ascii="Verdana" w:hAnsi="Verdana"/>
        </w:rPr>
        <w:t xml:space="preserve"> four-square with the interests of British commerce, the balance of payments, an export-led recovery and, it seems, the aspirations of No 10, HMT, BIS and the Foreign Office. It encourages a continued rise in British recruitment of genuine students, unconcerned</w:t>
      </w:r>
      <w:r w:rsidR="00F27222" w:rsidRPr="009C1832">
        <w:rPr>
          <w:rFonts w:ascii="Verdana" w:hAnsi="Verdana"/>
        </w:rPr>
        <w:t>, to underline the point,</w:t>
      </w:r>
      <w:r w:rsidRPr="009C1832">
        <w:rPr>
          <w:rFonts w:ascii="Verdana" w:hAnsi="Verdana"/>
        </w:rPr>
        <w:t xml:space="preserve"> that when recruitment is on an upward trajectory there will be an increase in ‘net migration’ of a distinctive and </w:t>
      </w:r>
      <w:r w:rsidRPr="009C1832">
        <w:rPr>
          <w:rFonts w:ascii="Verdana" w:hAnsi="Verdana"/>
        </w:rPr>
        <w:lastRenderedPageBreak/>
        <w:t>thoroughly desirable kind – just as there will be net emigration in years when recruitment drops.  Visa compliant international students are, as it were, lifted out of ‘net migration’ and warmly welcomed not least for lavishing foreign currency on British goods and services.</w:t>
      </w:r>
    </w:p>
    <w:p w:rsidR="006A4110" w:rsidRPr="009C1832" w:rsidRDefault="006A4110" w:rsidP="009C1832">
      <w:pPr>
        <w:numPr>
          <w:ilvl w:val="0"/>
          <w:numId w:val="1"/>
        </w:numPr>
        <w:ind w:left="0" w:firstLine="0"/>
        <w:rPr>
          <w:rFonts w:ascii="Verdana" w:hAnsi="Verdana"/>
        </w:rPr>
      </w:pPr>
      <w:r w:rsidRPr="009C1832">
        <w:rPr>
          <w:rFonts w:ascii="Verdana" w:hAnsi="Verdana"/>
        </w:rPr>
        <w:t>Even Migration Watch appears to endorse the value of genuine student migrants, remarking last month that ‘It is important to realise that genuine students are not an immigration problem; most return at the end of their courses (to be replaced by others).’</w:t>
      </w:r>
      <w:r w:rsidR="00D9045F" w:rsidRPr="009C1832">
        <w:rPr>
          <w:rFonts w:ascii="Verdana" w:hAnsi="Verdana"/>
        </w:rPr>
        <w:t xml:space="preserve"> </w:t>
      </w:r>
      <w:r w:rsidR="002379A8" w:rsidRPr="009C1832">
        <w:rPr>
          <w:rFonts w:ascii="Verdana" w:hAnsi="Verdana"/>
        </w:rPr>
        <w:t xml:space="preserve"> </w:t>
      </w:r>
    </w:p>
    <w:p w:rsidR="00BE767E" w:rsidRPr="009C1832" w:rsidRDefault="006A4110" w:rsidP="009C1832">
      <w:pPr>
        <w:numPr>
          <w:ilvl w:val="0"/>
          <w:numId w:val="1"/>
        </w:numPr>
        <w:ind w:left="0" w:firstLine="0"/>
        <w:rPr>
          <w:rFonts w:ascii="Verdana" w:hAnsi="Verdana"/>
        </w:rPr>
      </w:pPr>
      <w:r w:rsidRPr="009C1832">
        <w:rPr>
          <w:rFonts w:ascii="Verdana" w:hAnsi="Verdana"/>
        </w:rPr>
        <w:t xml:space="preserve">But close study of the Consultation’s proposals shows that UKBA’s approach to temporary student migrants precisely parallels non-student migrants - if their course keeps them in Britain for more than a year they are part of the problem. </w:t>
      </w:r>
      <w:r w:rsidR="00FB4FA6" w:rsidRPr="009C1832">
        <w:rPr>
          <w:rFonts w:ascii="Verdana" w:hAnsi="Verdana"/>
        </w:rPr>
        <w:t>The grounds</w:t>
      </w:r>
      <w:r w:rsidR="000B5110" w:rsidRPr="009C1832">
        <w:rPr>
          <w:rFonts w:ascii="Verdana" w:hAnsi="Verdana"/>
        </w:rPr>
        <w:t xml:space="preserve"> given are that </w:t>
      </w:r>
      <w:r w:rsidR="00162700" w:rsidRPr="009C1832">
        <w:rPr>
          <w:rFonts w:ascii="Verdana" w:hAnsi="Verdana"/>
        </w:rPr>
        <w:t xml:space="preserve">for </w:t>
      </w:r>
      <w:r w:rsidR="000B5110" w:rsidRPr="009C1832">
        <w:rPr>
          <w:rFonts w:ascii="Verdana" w:hAnsi="Verdana"/>
        </w:rPr>
        <w:t>the</w:t>
      </w:r>
      <w:r w:rsidR="00162700" w:rsidRPr="009C1832">
        <w:rPr>
          <w:rFonts w:ascii="Verdana" w:hAnsi="Verdana"/>
        </w:rPr>
        <w:t xml:space="preserve"> purposes of international migration statistics, migrants are defined as those changing their</w:t>
      </w:r>
      <w:r w:rsidR="00E54119" w:rsidRPr="009C1832">
        <w:rPr>
          <w:rFonts w:ascii="Verdana" w:hAnsi="Verdana"/>
        </w:rPr>
        <w:t xml:space="preserve"> </w:t>
      </w:r>
      <w:r w:rsidR="00162700" w:rsidRPr="009C1832">
        <w:rPr>
          <w:rFonts w:ascii="Verdana" w:hAnsi="Verdana"/>
        </w:rPr>
        <w:t>usual place of residence for a year or more.</w:t>
      </w:r>
      <w:r w:rsidR="000B5110" w:rsidRPr="009C1832">
        <w:rPr>
          <w:rFonts w:ascii="Verdana" w:hAnsi="Verdana"/>
        </w:rPr>
        <w:t xml:space="preserve">  </w:t>
      </w:r>
      <w:r w:rsidR="00E54119" w:rsidRPr="009C1832">
        <w:rPr>
          <w:rFonts w:ascii="Verdana" w:hAnsi="Verdana"/>
        </w:rPr>
        <w:t xml:space="preserve">Yet the UK </w:t>
      </w:r>
      <w:r w:rsidR="00F27222" w:rsidRPr="009C1832">
        <w:rPr>
          <w:rFonts w:ascii="Verdana" w:hAnsi="Verdana"/>
        </w:rPr>
        <w:t xml:space="preserve">is entirely free </w:t>
      </w:r>
      <w:r w:rsidR="00E54119" w:rsidRPr="009C1832">
        <w:rPr>
          <w:rFonts w:ascii="Verdana" w:hAnsi="Verdana"/>
        </w:rPr>
        <w:t xml:space="preserve">to abide by international </w:t>
      </w:r>
      <w:r w:rsidR="00162700" w:rsidRPr="009C1832">
        <w:rPr>
          <w:rFonts w:ascii="Verdana" w:hAnsi="Verdana"/>
        </w:rPr>
        <w:t xml:space="preserve">procedures for the collection of statistics </w:t>
      </w:r>
      <w:r w:rsidR="00E54119" w:rsidRPr="009C1832">
        <w:rPr>
          <w:rFonts w:ascii="Verdana" w:hAnsi="Verdana"/>
        </w:rPr>
        <w:t xml:space="preserve">but choose to base policy on considerations of national interest.  </w:t>
      </w:r>
      <w:r w:rsidR="00BE767E" w:rsidRPr="009C1832">
        <w:rPr>
          <w:rFonts w:ascii="Verdana" w:hAnsi="Verdana"/>
        </w:rPr>
        <w:t>Once that approach is rejected, however, the policy becomes</w:t>
      </w:r>
      <w:r w:rsidR="001F2E56" w:rsidRPr="009C1832">
        <w:rPr>
          <w:rFonts w:ascii="Verdana" w:hAnsi="Verdana"/>
        </w:rPr>
        <w:t xml:space="preserve"> driven </w:t>
      </w:r>
      <w:r w:rsidR="00976107" w:rsidRPr="009C1832">
        <w:rPr>
          <w:rFonts w:ascii="Verdana" w:hAnsi="Verdana"/>
        </w:rPr>
        <w:t xml:space="preserve">entirely by numbers – </w:t>
      </w:r>
      <w:r w:rsidR="00BE767E" w:rsidRPr="009C1832">
        <w:rPr>
          <w:rFonts w:ascii="Verdana" w:hAnsi="Verdana"/>
        </w:rPr>
        <w:t xml:space="preserve">with especially grave consequences when, as </w:t>
      </w:r>
      <w:r w:rsidR="00CF25B3">
        <w:rPr>
          <w:rFonts w:ascii="Verdana" w:hAnsi="Verdana"/>
        </w:rPr>
        <w:t>is shown below</w:t>
      </w:r>
      <w:r w:rsidR="00BE767E" w:rsidRPr="009C1832">
        <w:rPr>
          <w:rFonts w:ascii="Verdana" w:hAnsi="Verdana"/>
        </w:rPr>
        <w:t xml:space="preserve">, the numbers are wrong. </w:t>
      </w:r>
      <w:r w:rsidRPr="009C1832">
        <w:rPr>
          <w:rFonts w:ascii="Verdana" w:hAnsi="Verdana"/>
        </w:rPr>
        <w:t xml:space="preserve">The underlying analysis on which UKBA is basing its policy indicates that the real purpose is to cut numbers as such, even if this means cutting recruitment of non-EU students who are thoroughly genuine and fully compliant. </w:t>
      </w:r>
      <w:r w:rsidR="0079280C" w:rsidRPr="009C1832">
        <w:rPr>
          <w:rFonts w:ascii="Verdana" w:hAnsi="Verdana"/>
        </w:rPr>
        <w:t xml:space="preserve"> </w:t>
      </w:r>
      <w:r w:rsidR="00C50C12" w:rsidRPr="009C1832">
        <w:rPr>
          <w:rFonts w:ascii="Verdana" w:hAnsi="Verdana"/>
        </w:rPr>
        <w:t xml:space="preserve">This goal has been explicitly confirmed in some UKBA presentations on the Consultation.  </w:t>
      </w:r>
    </w:p>
    <w:p w:rsidR="006A4110" w:rsidRPr="009C1832" w:rsidRDefault="00C50C12" w:rsidP="009C1832">
      <w:pPr>
        <w:numPr>
          <w:ilvl w:val="0"/>
          <w:numId w:val="1"/>
        </w:numPr>
        <w:ind w:left="0" w:firstLine="0"/>
        <w:rPr>
          <w:rFonts w:ascii="Verdana" w:hAnsi="Verdana"/>
        </w:rPr>
      </w:pPr>
      <w:r w:rsidRPr="009C1832">
        <w:rPr>
          <w:rFonts w:ascii="Verdana" w:hAnsi="Verdana"/>
        </w:rPr>
        <w:t xml:space="preserve">Once this is admitted, a strange asymmetry in the Home Office’s approach becomes evident. When asked </w:t>
      </w:r>
      <w:r w:rsidR="00BA05A6" w:rsidRPr="009C1832">
        <w:rPr>
          <w:rFonts w:ascii="Verdana" w:hAnsi="Verdana"/>
        </w:rPr>
        <w:t xml:space="preserve">by the Home Secretary </w:t>
      </w:r>
      <w:r w:rsidRPr="009C1832">
        <w:rPr>
          <w:rFonts w:ascii="Verdana" w:hAnsi="Verdana"/>
        </w:rPr>
        <w:t xml:space="preserve">to </w:t>
      </w:r>
      <w:proofErr w:type="gramStart"/>
      <w:r w:rsidRPr="009C1832">
        <w:rPr>
          <w:rFonts w:ascii="Verdana" w:hAnsi="Verdana"/>
        </w:rPr>
        <w:t>advise</w:t>
      </w:r>
      <w:proofErr w:type="gramEnd"/>
      <w:r w:rsidRPr="009C1832">
        <w:rPr>
          <w:rFonts w:ascii="Verdana" w:hAnsi="Verdana"/>
        </w:rPr>
        <w:t xml:space="preserve"> on limits to Tier</w:t>
      </w:r>
      <w:r w:rsidR="00BA05A6" w:rsidRPr="009C1832">
        <w:rPr>
          <w:rFonts w:ascii="Verdana" w:hAnsi="Verdana"/>
        </w:rPr>
        <w:t>s</w:t>
      </w:r>
      <w:r w:rsidRPr="009C1832">
        <w:rPr>
          <w:rFonts w:ascii="Verdana" w:hAnsi="Verdana"/>
        </w:rPr>
        <w:t xml:space="preserve"> 1 and 2, </w:t>
      </w:r>
      <w:r w:rsidR="00A61428" w:rsidRPr="009C1832">
        <w:rPr>
          <w:rFonts w:ascii="Verdana" w:hAnsi="Verdana"/>
        </w:rPr>
        <w:t>MAC</w:t>
      </w:r>
      <w:r w:rsidR="0079280C" w:rsidRPr="009C1832">
        <w:rPr>
          <w:rFonts w:ascii="Verdana" w:hAnsi="Verdana"/>
        </w:rPr>
        <w:t xml:space="preserve"> was </w:t>
      </w:r>
      <w:r w:rsidRPr="009C1832">
        <w:rPr>
          <w:rFonts w:ascii="Verdana" w:hAnsi="Verdana"/>
        </w:rPr>
        <w:t xml:space="preserve">specifically charged to take into account ‘social and public service impacts as well as economic impacts.’ In its </w:t>
      </w:r>
      <w:r w:rsidR="00FB4FA6" w:rsidRPr="009C1832">
        <w:rPr>
          <w:rFonts w:ascii="Verdana" w:hAnsi="Verdana"/>
        </w:rPr>
        <w:t>November 2010</w:t>
      </w:r>
      <w:r w:rsidR="00BA05A6" w:rsidRPr="009C1832">
        <w:rPr>
          <w:rFonts w:ascii="Verdana" w:hAnsi="Verdana"/>
        </w:rPr>
        <w:t xml:space="preserve"> report</w:t>
      </w:r>
      <w:r w:rsidRPr="009C1832">
        <w:rPr>
          <w:rFonts w:ascii="Verdana" w:hAnsi="Verdana"/>
        </w:rPr>
        <w:t xml:space="preserve">, MAC duly devoted two long and weighty chapters to the </w:t>
      </w:r>
      <w:r w:rsidR="0079280C" w:rsidRPr="009C1832">
        <w:rPr>
          <w:rFonts w:ascii="Verdana" w:hAnsi="Verdana"/>
        </w:rPr>
        <w:t>pros and cons of economic migration</w:t>
      </w:r>
      <w:r w:rsidRPr="009C1832">
        <w:rPr>
          <w:rFonts w:ascii="Verdana" w:hAnsi="Verdana"/>
        </w:rPr>
        <w:t>.</w:t>
      </w:r>
      <w:r w:rsidR="00BA05A6" w:rsidRPr="009C1832">
        <w:footnoteReference w:id="5"/>
      </w:r>
      <w:r w:rsidRPr="009C1832">
        <w:rPr>
          <w:rFonts w:ascii="Verdana" w:hAnsi="Verdana"/>
        </w:rPr>
        <w:t xml:space="preserve"> For Tier 4, on the other hand, </w:t>
      </w:r>
      <w:r w:rsidR="00BA05A6" w:rsidRPr="009C1832">
        <w:rPr>
          <w:rFonts w:ascii="Verdana" w:hAnsi="Verdana"/>
        </w:rPr>
        <w:t>no such assessment has been sought or made</w:t>
      </w:r>
      <w:r w:rsidR="0079280C" w:rsidRPr="009C1832">
        <w:rPr>
          <w:rFonts w:ascii="Verdana" w:hAnsi="Verdana"/>
        </w:rPr>
        <w:t xml:space="preserve">: perhaps because here the pros so obviously and massively predominate. </w:t>
      </w:r>
    </w:p>
    <w:p w:rsidR="006A4110" w:rsidRPr="009C1832" w:rsidRDefault="006A4110" w:rsidP="009C1832">
      <w:pPr>
        <w:rPr>
          <w:rFonts w:ascii="Verdana" w:hAnsi="Verdana"/>
          <w:b/>
        </w:rPr>
      </w:pPr>
      <w:proofErr w:type="gramStart"/>
      <w:r w:rsidRPr="009C1832">
        <w:rPr>
          <w:rFonts w:ascii="Verdana" w:hAnsi="Verdana"/>
          <w:b/>
        </w:rPr>
        <w:t>Tackling  Abuse</w:t>
      </w:r>
      <w:proofErr w:type="gramEnd"/>
    </w:p>
    <w:p w:rsidR="006A4110" w:rsidRPr="009C1832" w:rsidRDefault="0079280C" w:rsidP="009C1832">
      <w:pPr>
        <w:numPr>
          <w:ilvl w:val="0"/>
          <w:numId w:val="1"/>
        </w:numPr>
        <w:ind w:left="0" w:firstLine="0"/>
        <w:rPr>
          <w:rFonts w:ascii="Verdana" w:hAnsi="Verdana"/>
        </w:rPr>
      </w:pPr>
      <w:r w:rsidRPr="009C1832">
        <w:rPr>
          <w:rFonts w:ascii="Verdana" w:hAnsi="Verdana"/>
        </w:rPr>
        <w:t>If</w:t>
      </w:r>
      <w:r w:rsidR="006A4110" w:rsidRPr="009C1832">
        <w:rPr>
          <w:rFonts w:ascii="Verdana" w:hAnsi="Verdana"/>
        </w:rPr>
        <w:t xml:space="preserve"> the real purpose is to squeeze out abuse, the most effective measures would be (a) to stiffen sharply the accreditation rules so that all institutions sponsoring student visa applications bring their compliance record much closer to the standard of those granted </w:t>
      </w:r>
      <w:r w:rsidR="00F72A77" w:rsidRPr="009C1832">
        <w:rPr>
          <w:rFonts w:ascii="Verdana" w:hAnsi="Verdana"/>
        </w:rPr>
        <w:t xml:space="preserve">what is known as </w:t>
      </w:r>
      <w:r w:rsidR="006A4110" w:rsidRPr="009C1832">
        <w:rPr>
          <w:rFonts w:ascii="Verdana" w:hAnsi="Verdana"/>
        </w:rPr>
        <w:t>Highly Trusted Sponsor  (HTS) status</w:t>
      </w:r>
      <w:r w:rsidR="00F72A77" w:rsidRPr="009C1832">
        <w:rPr>
          <w:rStyle w:val="FootnoteReference"/>
          <w:rFonts w:ascii="Verdana" w:hAnsi="Verdana"/>
        </w:rPr>
        <w:footnoteReference w:id="6"/>
      </w:r>
      <w:r w:rsidR="00BA05A6" w:rsidRPr="009C1832">
        <w:rPr>
          <w:rFonts w:ascii="Verdana" w:hAnsi="Verdana"/>
        </w:rPr>
        <w:t>,</w:t>
      </w:r>
      <w:r w:rsidR="006A4110" w:rsidRPr="009C1832">
        <w:rPr>
          <w:rFonts w:ascii="Verdana" w:hAnsi="Verdana"/>
        </w:rPr>
        <w:t xml:space="preserve"> and in particular to the standard of universities where, according to the UKBA’s December</w:t>
      </w:r>
      <w:r w:rsidR="00BA05A6" w:rsidRPr="009C1832">
        <w:rPr>
          <w:rFonts w:ascii="Verdana" w:hAnsi="Verdana"/>
        </w:rPr>
        <w:t xml:space="preserve"> 2010</w:t>
      </w:r>
      <w:r w:rsidR="006A4110" w:rsidRPr="009C1832">
        <w:rPr>
          <w:rFonts w:ascii="Verdana" w:hAnsi="Verdana"/>
        </w:rPr>
        <w:t xml:space="preserve"> paper on </w:t>
      </w:r>
      <w:r w:rsidR="006A4110" w:rsidRPr="009C1832">
        <w:rPr>
          <w:rFonts w:ascii="Verdana" w:hAnsi="Verdana"/>
          <w:i/>
        </w:rPr>
        <w:t>Overseas Students</w:t>
      </w:r>
      <w:r w:rsidR="004704D7" w:rsidRPr="009C1832">
        <w:rPr>
          <w:rFonts w:ascii="Verdana" w:hAnsi="Verdana"/>
        </w:rPr>
        <w:t xml:space="preserve">, </w:t>
      </w:r>
      <w:r w:rsidR="006A4110" w:rsidRPr="009C1832">
        <w:rPr>
          <w:rFonts w:ascii="Verdana" w:hAnsi="Verdana"/>
        </w:rPr>
        <w:t xml:space="preserve">noncompliance </w:t>
      </w:r>
      <w:r w:rsidR="006A4110" w:rsidRPr="009C1832">
        <w:rPr>
          <w:rFonts w:ascii="Verdana" w:hAnsi="Verdana"/>
        </w:rPr>
        <w:lastRenderedPageBreak/>
        <w:t>averages at most 2</w:t>
      </w:r>
      <w:r w:rsidR="002D4044">
        <w:rPr>
          <w:rFonts w:ascii="Verdana" w:hAnsi="Verdana"/>
        </w:rPr>
        <w:t xml:space="preserve"> per cent</w:t>
      </w:r>
      <w:r w:rsidR="006A4110" w:rsidRPr="009C1832">
        <w:rPr>
          <w:rFonts w:ascii="Verdana" w:hAnsi="Verdana"/>
        </w:rPr>
        <w:t xml:space="preserve">; (b) to make significant deposits obligatory for Tier 4 visa applicants; </w:t>
      </w:r>
      <w:r w:rsidR="00EF605E" w:rsidRPr="009C1832">
        <w:rPr>
          <w:rFonts w:ascii="Verdana" w:hAnsi="Verdana"/>
        </w:rPr>
        <w:t>and (c</w:t>
      </w:r>
      <w:r w:rsidR="006A4110" w:rsidRPr="009C1832">
        <w:rPr>
          <w:rFonts w:ascii="Verdana" w:hAnsi="Verdana"/>
        </w:rPr>
        <w:t xml:space="preserve">) to use improved UKBA systems (and eBorders appears to have the capacity) to ensure that all sponsors  are </w:t>
      </w:r>
      <w:r w:rsidR="00DA1919" w:rsidRPr="009C1832">
        <w:rPr>
          <w:rFonts w:ascii="Verdana" w:hAnsi="Verdana"/>
        </w:rPr>
        <w:t>swiftly informed</w:t>
      </w:r>
      <w:r w:rsidR="006A4110" w:rsidRPr="009C1832">
        <w:rPr>
          <w:rFonts w:ascii="Verdana" w:hAnsi="Verdana"/>
        </w:rPr>
        <w:t xml:space="preserve"> wh</w:t>
      </w:r>
      <w:r w:rsidR="00DA1919" w:rsidRPr="009C1832">
        <w:rPr>
          <w:rFonts w:ascii="Verdana" w:hAnsi="Verdana"/>
        </w:rPr>
        <w:t xml:space="preserve">en students they have sponsored </w:t>
      </w:r>
      <w:r w:rsidR="006A4110" w:rsidRPr="009C1832">
        <w:rPr>
          <w:rFonts w:ascii="Verdana" w:hAnsi="Verdana"/>
        </w:rPr>
        <w:t>enter the country, leave the country or are granted a non-Tier 4 visa. These steps</w:t>
      </w:r>
      <w:r w:rsidR="00BA05A6" w:rsidRPr="009C1832">
        <w:rPr>
          <w:rFonts w:ascii="Verdana" w:hAnsi="Verdana"/>
        </w:rPr>
        <w:t xml:space="preserve"> </w:t>
      </w:r>
      <w:r w:rsidR="006A4110" w:rsidRPr="009C1832">
        <w:rPr>
          <w:rFonts w:ascii="Verdana" w:hAnsi="Verdana"/>
        </w:rPr>
        <w:t xml:space="preserve">would do more to eliminate abuse than the Consultation proposals. They would enable HTS to monitor with full precision the visa compliance of those they sponsor. </w:t>
      </w:r>
      <w:r w:rsidR="00BA05A6" w:rsidRPr="009C1832">
        <w:rPr>
          <w:rFonts w:ascii="Verdana" w:hAnsi="Verdana"/>
        </w:rPr>
        <w:t xml:space="preserve"> </w:t>
      </w:r>
      <w:r w:rsidR="004704D7" w:rsidRPr="009C1832">
        <w:rPr>
          <w:rFonts w:ascii="Verdana" w:hAnsi="Verdana"/>
        </w:rPr>
        <w:t xml:space="preserve">The </w:t>
      </w:r>
      <w:r w:rsidR="00BA05A6" w:rsidRPr="009C1832">
        <w:rPr>
          <w:rFonts w:ascii="Verdana" w:hAnsi="Verdana"/>
        </w:rPr>
        <w:t>off-putting constrictions proposed</w:t>
      </w:r>
      <w:r w:rsidR="004704D7" w:rsidRPr="009C1832">
        <w:rPr>
          <w:rFonts w:ascii="Verdana" w:hAnsi="Verdana"/>
        </w:rPr>
        <w:t xml:space="preserve"> would become superfluous</w:t>
      </w:r>
      <w:r w:rsidR="00BA05A6" w:rsidRPr="009C1832">
        <w:rPr>
          <w:rFonts w:ascii="Verdana" w:hAnsi="Verdana"/>
        </w:rPr>
        <w:t>,</w:t>
      </w:r>
      <w:r w:rsidR="004704D7" w:rsidRPr="009C1832">
        <w:rPr>
          <w:rFonts w:ascii="Verdana" w:hAnsi="Verdana"/>
        </w:rPr>
        <w:t xml:space="preserve"> and the message could go out that</w:t>
      </w:r>
      <w:r w:rsidR="00BA05A6" w:rsidRPr="009C1832">
        <w:rPr>
          <w:rFonts w:ascii="Verdana" w:hAnsi="Verdana"/>
        </w:rPr>
        <w:t xml:space="preserve"> Britain </w:t>
      </w:r>
      <w:r w:rsidR="00FE15A5" w:rsidRPr="009C1832">
        <w:rPr>
          <w:rFonts w:ascii="Verdana" w:hAnsi="Verdana"/>
        </w:rPr>
        <w:t>remains</w:t>
      </w:r>
      <w:r w:rsidR="00BA05A6" w:rsidRPr="009C1832">
        <w:rPr>
          <w:rFonts w:ascii="Verdana" w:hAnsi="Verdana"/>
        </w:rPr>
        <w:t xml:space="preserve"> </w:t>
      </w:r>
      <w:r w:rsidR="00F27222" w:rsidRPr="009C1832">
        <w:rPr>
          <w:rFonts w:ascii="Verdana" w:hAnsi="Verdana"/>
        </w:rPr>
        <w:t xml:space="preserve">enthusiastically </w:t>
      </w:r>
      <w:r w:rsidR="00BA05A6" w:rsidRPr="009C1832">
        <w:rPr>
          <w:rFonts w:ascii="Verdana" w:hAnsi="Verdana"/>
        </w:rPr>
        <w:t>open for business.</w:t>
      </w:r>
    </w:p>
    <w:p w:rsidR="006A4110" w:rsidRPr="009C1832" w:rsidRDefault="006A4110" w:rsidP="009C1832">
      <w:pPr>
        <w:rPr>
          <w:rFonts w:ascii="Verdana" w:hAnsi="Verdana"/>
          <w:b/>
        </w:rPr>
      </w:pPr>
      <w:r w:rsidRPr="009C1832">
        <w:rPr>
          <w:rFonts w:ascii="Verdana" w:hAnsi="Verdana"/>
          <w:b/>
        </w:rPr>
        <w:t>Pre-University Pathway Courses</w:t>
      </w:r>
    </w:p>
    <w:p w:rsidR="006A4110" w:rsidRPr="009C1832" w:rsidRDefault="00DA1919" w:rsidP="009C1832">
      <w:pPr>
        <w:numPr>
          <w:ilvl w:val="0"/>
          <w:numId w:val="1"/>
        </w:numPr>
        <w:ind w:left="0" w:firstLine="0"/>
        <w:rPr>
          <w:rFonts w:ascii="Verdana" w:hAnsi="Verdana"/>
        </w:rPr>
      </w:pPr>
      <w:r w:rsidRPr="009C1832">
        <w:rPr>
          <w:rFonts w:ascii="Verdana" w:hAnsi="Verdana"/>
        </w:rPr>
        <w:t>As they stand, the UKBA proposals miss the opportunity</w:t>
      </w:r>
      <w:r w:rsidR="006A4110" w:rsidRPr="009C1832">
        <w:rPr>
          <w:rFonts w:ascii="Verdana" w:hAnsi="Verdana"/>
        </w:rPr>
        <w:t xml:space="preserve"> to squeeze remaining abuse right out</w:t>
      </w:r>
      <w:r w:rsidRPr="009C1832">
        <w:rPr>
          <w:rFonts w:ascii="Verdana" w:hAnsi="Verdana"/>
        </w:rPr>
        <w:t xml:space="preserve"> and yet would directly hit legitimate recruitment, including HE recruitment. </w:t>
      </w:r>
    </w:p>
    <w:p w:rsidR="006A4110" w:rsidRPr="009C1832" w:rsidRDefault="006A4110" w:rsidP="009C1832">
      <w:pPr>
        <w:numPr>
          <w:ilvl w:val="0"/>
          <w:numId w:val="1"/>
        </w:numPr>
        <w:ind w:left="0" w:firstLine="0"/>
        <w:rPr>
          <w:rFonts w:ascii="Verdana" w:hAnsi="Verdana"/>
        </w:rPr>
      </w:pPr>
      <w:r w:rsidRPr="009C1832">
        <w:rPr>
          <w:rFonts w:ascii="Verdana" w:hAnsi="Verdana"/>
        </w:rPr>
        <w:t>Indeed, if implemented in their current form, the changes proposed would amount to a hostile act against British universities, those ‘jewels in our economic crown’ as Ministers so well describe them.</w:t>
      </w:r>
    </w:p>
    <w:p w:rsidR="00DA1919" w:rsidRPr="009C1832" w:rsidRDefault="006A4110" w:rsidP="009C1832">
      <w:pPr>
        <w:numPr>
          <w:ilvl w:val="0"/>
          <w:numId w:val="1"/>
        </w:numPr>
        <w:ind w:left="0" w:firstLine="0"/>
        <w:rPr>
          <w:rFonts w:ascii="Verdana" w:hAnsi="Verdana"/>
        </w:rPr>
      </w:pPr>
      <w:r w:rsidRPr="009C1832">
        <w:rPr>
          <w:rFonts w:ascii="Verdana" w:hAnsi="Verdana"/>
        </w:rPr>
        <w:t>The greatest threat is the impact the UKBA’s proposals would have on pre-university pathway courses</w:t>
      </w:r>
      <w:r w:rsidR="00EF605E" w:rsidRPr="009C1832">
        <w:rPr>
          <w:rFonts w:ascii="Verdana" w:hAnsi="Verdana"/>
        </w:rPr>
        <w:t xml:space="preserve">. These are </w:t>
      </w:r>
      <w:r w:rsidRPr="009C1832">
        <w:rPr>
          <w:rFonts w:ascii="Verdana" w:hAnsi="Verdana"/>
        </w:rPr>
        <w:t xml:space="preserve">a set of courses quite </w:t>
      </w:r>
      <w:r w:rsidR="00EF605E" w:rsidRPr="009C1832">
        <w:rPr>
          <w:rFonts w:ascii="Verdana" w:hAnsi="Verdana"/>
        </w:rPr>
        <w:t>distinct from sub-degree awards</w:t>
      </w:r>
      <w:r w:rsidR="00F27222" w:rsidRPr="009C1832">
        <w:rPr>
          <w:rFonts w:ascii="Verdana" w:hAnsi="Verdana"/>
        </w:rPr>
        <w:t>. They</w:t>
      </w:r>
      <w:r w:rsidRPr="009C1832">
        <w:rPr>
          <w:rFonts w:ascii="Verdana" w:hAnsi="Verdana"/>
        </w:rPr>
        <w:t xml:space="preserve"> provide pre-university preparation for large cohorts of international students who would not otherwise come to the UK. The issue is epitomised by the proposal to raise the minimum English language competence required for UK entry to study to a level known as B2.  A B2 speaker of English is instantly recognisable to most British people: it is the level of English spoken by educated people in Northern Europe and by good high school graduates in some parts of the Commonwealth.   It is more seldom achieved in Southern Europe and almost never in East Asia. To make this the minimum for entry to the UK is incompatible with the interests of Britain’s universities and Britain’s economy. </w:t>
      </w:r>
      <w:r w:rsidR="00FE15A5" w:rsidRPr="009C1832">
        <w:rPr>
          <w:rFonts w:ascii="Verdana" w:hAnsi="Verdana"/>
        </w:rPr>
        <w:t xml:space="preserve">Data gathered </w:t>
      </w:r>
      <w:r w:rsidR="00621825" w:rsidRPr="009C1832">
        <w:rPr>
          <w:rFonts w:ascii="Verdana" w:hAnsi="Verdana"/>
        </w:rPr>
        <w:t xml:space="preserve">for UUK </w:t>
      </w:r>
      <w:r w:rsidR="00FE15A5" w:rsidRPr="009C1832">
        <w:rPr>
          <w:rFonts w:ascii="Verdana" w:hAnsi="Verdana"/>
        </w:rPr>
        <w:t>during the Consultation indicate that u</w:t>
      </w:r>
      <w:r w:rsidRPr="009C1832">
        <w:rPr>
          <w:rFonts w:ascii="Verdana" w:hAnsi="Verdana"/>
        </w:rPr>
        <w:t>pwards of 40</w:t>
      </w:r>
      <w:r w:rsidR="002D4044">
        <w:rPr>
          <w:rFonts w:ascii="Verdana" w:hAnsi="Verdana"/>
        </w:rPr>
        <w:t xml:space="preserve"> per cent</w:t>
      </w:r>
      <w:r w:rsidRPr="009C1832">
        <w:rPr>
          <w:rFonts w:ascii="Verdana" w:hAnsi="Verdana"/>
        </w:rPr>
        <w:t xml:space="preserve"> of the international students at </w:t>
      </w:r>
      <w:r w:rsidR="00EF605E" w:rsidRPr="009C1832">
        <w:rPr>
          <w:rFonts w:ascii="Verdana" w:hAnsi="Verdana"/>
        </w:rPr>
        <w:t>UK</w:t>
      </w:r>
      <w:r w:rsidRPr="009C1832">
        <w:rPr>
          <w:rFonts w:ascii="Verdana" w:hAnsi="Verdana"/>
        </w:rPr>
        <w:t xml:space="preserve"> universities come via a pre-university pathway course; upwards of 70</w:t>
      </w:r>
      <w:r w:rsidR="002D4044">
        <w:rPr>
          <w:rFonts w:ascii="Verdana" w:hAnsi="Verdana"/>
        </w:rPr>
        <w:t xml:space="preserve"> per cent</w:t>
      </w:r>
      <w:r w:rsidRPr="009C1832">
        <w:rPr>
          <w:rFonts w:ascii="Verdana" w:hAnsi="Verdana"/>
        </w:rPr>
        <w:t xml:space="preserve"> of recruits to those courses would be barred by this change.</w:t>
      </w:r>
      <w:r w:rsidR="00FF7ED0" w:rsidRPr="009C1832">
        <w:rPr>
          <w:rStyle w:val="FootnoteReference"/>
          <w:rFonts w:ascii="Verdana" w:hAnsi="Verdana"/>
        </w:rPr>
        <w:footnoteReference w:id="7"/>
      </w:r>
      <w:r w:rsidRPr="009C1832">
        <w:rPr>
          <w:rFonts w:ascii="Verdana" w:hAnsi="Verdana"/>
        </w:rPr>
        <w:t xml:space="preserve"> </w:t>
      </w:r>
      <w:r w:rsidR="00FF7ED0" w:rsidRPr="009C1832">
        <w:rPr>
          <w:rFonts w:ascii="Verdana" w:hAnsi="Verdana"/>
        </w:rPr>
        <w:t xml:space="preserve"> </w:t>
      </w:r>
      <w:r w:rsidRPr="009C1832">
        <w:rPr>
          <w:rFonts w:ascii="Verdana" w:hAnsi="Verdana"/>
        </w:rPr>
        <w:t xml:space="preserve">Implement it and HE fee income would swiftly fall by c£1 billion, and a great deal more when university income derived from pathway provision itself is added. </w:t>
      </w:r>
    </w:p>
    <w:p w:rsidR="006A4110" w:rsidRPr="009C1832" w:rsidRDefault="006A4110" w:rsidP="009C1832">
      <w:pPr>
        <w:numPr>
          <w:ilvl w:val="0"/>
          <w:numId w:val="1"/>
        </w:numPr>
        <w:ind w:left="0" w:firstLine="0"/>
        <w:rPr>
          <w:rFonts w:ascii="Verdana" w:hAnsi="Verdana"/>
        </w:rPr>
      </w:pPr>
      <w:r w:rsidRPr="009C1832">
        <w:rPr>
          <w:rFonts w:ascii="Verdana" w:hAnsi="Verdana"/>
        </w:rPr>
        <w:t xml:space="preserve">Pre-university pathway courses, which are typically delivered on campus either by universities themselves or in close partnership with private providers, are a necessary link in the chain of university recruitment. This is especially true of undergraduate recruitment to the UK from non-Commonwealth countries, </w:t>
      </w:r>
      <w:r w:rsidRPr="009C1832">
        <w:rPr>
          <w:rFonts w:ascii="Verdana" w:hAnsi="Verdana"/>
        </w:rPr>
        <w:lastRenderedPageBreak/>
        <w:t>where the norm is to leave school only having completed the equivalent of AS level. For recruitment from countries where English is not one of the official languages, combining academic preparation with intensive English language tuition from native speakers is essential. Sever the link and the damage inflicted on our universities will be severe.</w:t>
      </w:r>
    </w:p>
    <w:p w:rsidR="006A4110" w:rsidRPr="009C1832" w:rsidRDefault="006A4110" w:rsidP="009C1832">
      <w:pPr>
        <w:numPr>
          <w:ilvl w:val="0"/>
          <w:numId w:val="1"/>
        </w:numPr>
        <w:ind w:left="0" w:firstLine="0"/>
        <w:rPr>
          <w:rFonts w:ascii="Verdana" w:hAnsi="Verdana"/>
        </w:rPr>
      </w:pPr>
      <w:r w:rsidRPr="009C1832">
        <w:rPr>
          <w:rFonts w:ascii="Verdana" w:hAnsi="Verdana"/>
        </w:rPr>
        <w:t xml:space="preserve">Almost as damaging in its present form is the proposal to shorten drastically the permitted length of pre-sessional courses.  Only a little less harmful is the proposal to insist on English language testing by a short-list of ‘secure’ English language Tests (SELTs), despite their unavailability in much of the market, the drawbacks to each of the testing systems available, </w:t>
      </w:r>
      <w:r w:rsidR="00DA1919" w:rsidRPr="009C1832">
        <w:rPr>
          <w:rFonts w:ascii="Verdana" w:hAnsi="Verdana"/>
        </w:rPr>
        <w:t>the additional burden the</w:t>
      </w:r>
      <w:r w:rsidR="00FF7ED0" w:rsidRPr="009C1832">
        <w:rPr>
          <w:rFonts w:ascii="Verdana" w:hAnsi="Verdana"/>
        </w:rPr>
        <w:t xml:space="preserve"> regulation</w:t>
      </w:r>
      <w:r w:rsidR="00DA1919" w:rsidRPr="009C1832">
        <w:rPr>
          <w:rFonts w:ascii="Verdana" w:hAnsi="Verdana"/>
        </w:rPr>
        <w:t xml:space="preserve"> would place on </w:t>
      </w:r>
      <w:r w:rsidR="00FF7ED0" w:rsidRPr="009C1832">
        <w:rPr>
          <w:rFonts w:ascii="Verdana" w:hAnsi="Verdana"/>
        </w:rPr>
        <w:t>formal</w:t>
      </w:r>
      <w:r w:rsidR="00DA1919" w:rsidRPr="009C1832">
        <w:rPr>
          <w:rFonts w:ascii="Verdana" w:hAnsi="Verdana"/>
        </w:rPr>
        <w:t xml:space="preserve"> partnerships where non-EU undergraduates</w:t>
      </w:r>
      <w:r w:rsidR="00FF7ED0" w:rsidRPr="009C1832">
        <w:rPr>
          <w:rFonts w:ascii="Verdana" w:hAnsi="Verdana"/>
        </w:rPr>
        <w:t xml:space="preserve"> do the first 1 or 2 years in </w:t>
      </w:r>
      <w:r w:rsidR="00FE15A5" w:rsidRPr="009C1832">
        <w:rPr>
          <w:rFonts w:ascii="Verdana" w:hAnsi="Verdana"/>
        </w:rPr>
        <w:t>an overseas</w:t>
      </w:r>
      <w:r w:rsidR="00FF7ED0" w:rsidRPr="009C1832">
        <w:rPr>
          <w:rFonts w:ascii="Verdana" w:hAnsi="Verdana"/>
        </w:rPr>
        <w:t xml:space="preserve"> university and move to the UK to complete the degree,</w:t>
      </w:r>
      <w:r w:rsidR="00DA1919" w:rsidRPr="009C1832">
        <w:rPr>
          <w:rFonts w:ascii="Verdana" w:hAnsi="Verdana"/>
        </w:rPr>
        <w:t xml:space="preserve"> </w:t>
      </w:r>
      <w:r w:rsidRPr="009C1832">
        <w:rPr>
          <w:rFonts w:ascii="Verdana" w:hAnsi="Verdana"/>
        </w:rPr>
        <w:t xml:space="preserve">the invasion of university autonomy involved and the apparent trampling over devolved powers. </w:t>
      </w:r>
    </w:p>
    <w:p w:rsidR="006A4110" w:rsidRPr="009C1832" w:rsidRDefault="006A4110" w:rsidP="009C1832">
      <w:pPr>
        <w:numPr>
          <w:ilvl w:val="0"/>
          <w:numId w:val="1"/>
        </w:numPr>
        <w:autoSpaceDE w:val="0"/>
        <w:autoSpaceDN w:val="0"/>
        <w:ind w:left="0" w:firstLine="0"/>
        <w:rPr>
          <w:rFonts w:ascii="Verdana" w:hAnsi="Verdana"/>
        </w:rPr>
      </w:pPr>
      <w:r w:rsidRPr="009C1832">
        <w:rPr>
          <w:rFonts w:ascii="Verdana" w:hAnsi="Verdana"/>
        </w:rPr>
        <w:t xml:space="preserve">There is a third set of proposals which, while less directly destructive, are deeply discouraging to British recruitment and guarantee competitive disadvantage – to end the recently introduced possibility of time-limited leave to seek post-study work after graduation, to limit the right of international students to take part-time jobs (an ugly taste of apartheid and not easily administered) and to restrict dependants accompanying Tier 4 students.  The message of these unattractive proposals is that the UK’s attitude is unwelcoming even towards legitimate international students. </w:t>
      </w:r>
      <w:r w:rsidR="005178F7" w:rsidRPr="009C1832">
        <w:rPr>
          <w:rFonts w:ascii="Verdana" w:hAnsi="Verdana"/>
        </w:rPr>
        <w:t xml:space="preserve">Any jobs these measures might free up for British citizens would be dwarfed by the number of British jobs lost because of non-EU students concluding Britain does not want them and deciding to take their custom elsewhere. </w:t>
      </w:r>
      <w:r w:rsidRPr="009C1832">
        <w:rPr>
          <w:rFonts w:ascii="Verdana" w:hAnsi="Verdana"/>
        </w:rPr>
        <w:t>Unsurprisingly, the British Council warns that the impact of the current Consultation (like those of the last government) is already proving grim</w:t>
      </w:r>
      <w:r w:rsidR="00F27222" w:rsidRPr="009C1832">
        <w:rPr>
          <w:rFonts w:ascii="Verdana" w:hAnsi="Verdana"/>
        </w:rPr>
        <w:t>.</w:t>
      </w:r>
      <w:r w:rsidR="00D266B6" w:rsidRPr="009C1832">
        <w:rPr>
          <w:rFonts w:ascii="Verdana" w:hAnsi="Verdana"/>
        </w:rPr>
        <w:t xml:space="preserve"> </w:t>
      </w:r>
    </w:p>
    <w:p w:rsidR="006A4110" w:rsidRPr="009C1832" w:rsidRDefault="006A4110" w:rsidP="009C1832">
      <w:pPr>
        <w:rPr>
          <w:rFonts w:ascii="Verdana" w:hAnsi="Verdana"/>
          <w:b/>
        </w:rPr>
      </w:pPr>
      <w:r w:rsidRPr="009C1832">
        <w:rPr>
          <w:rFonts w:ascii="Verdana" w:hAnsi="Verdana"/>
          <w:b/>
        </w:rPr>
        <w:t>Protecting universities</w:t>
      </w:r>
    </w:p>
    <w:p w:rsidR="009C1832" w:rsidRDefault="006A4110" w:rsidP="009C1832">
      <w:pPr>
        <w:numPr>
          <w:ilvl w:val="0"/>
          <w:numId w:val="1"/>
        </w:numPr>
        <w:ind w:left="0" w:firstLine="0"/>
        <w:rPr>
          <w:rFonts w:ascii="Verdana" w:hAnsi="Verdana"/>
        </w:rPr>
      </w:pPr>
      <w:r w:rsidRPr="009C1832">
        <w:rPr>
          <w:rFonts w:ascii="Verdana" w:hAnsi="Verdana"/>
        </w:rPr>
        <w:t>Looked at closely, the UKBA proposals turn out to be better designed to cut recruitment rather than abuse. Yet the government remains insistent that it does not wish to damage university recruitment.  If that is the case, and the government’s wish is to effect drastic reductions in sub-degree</w:t>
      </w:r>
      <w:r w:rsidR="00976107" w:rsidRPr="009C1832">
        <w:rPr>
          <w:rStyle w:val="FootnoteReference"/>
          <w:rFonts w:ascii="Verdana" w:hAnsi="Verdana"/>
        </w:rPr>
        <w:footnoteReference w:id="8"/>
      </w:r>
      <w:r w:rsidR="00FE15A5" w:rsidRPr="009C1832">
        <w:rPr>
          <w:rFonts w:ascii="Verdana" w:hAnsi="Verdana"/>
        </w:rPr>
        <w:t xml:space="preserve"> (as distinct from pre-degree) provision</w:t>
      </w:r>
      <w:r w:rsidRPr="009C1832">
        <w:rPr>
          <w:rFonts w:ascii="Verdana" w:hAnsi="Verdana"/>
        </w:rPr>
        <w:t xml:space="preserve"> but genuinely to protect universities, it would be much more effective to frame policy explicitly in those terms and take the following steps:</w:t>
      </w:r>
    </w:p>
    <w:p w:rsidR="006A4110" w:rsidRPr="009C1832" w:rsidRDefault="006A4110" w:rsidP="009C1832">
      <w:pPr>
        <w:numPr>
          <w:ilvl w:val="1"/>
          <w:numId w:val="1"/>
        </w:numPr>
        <w:ind w:left="1418"/>
        <w:rPr>
          <w:rFonts w:ascii="Verdana" w:hAnsi="Verdana"/>
        </w:rPr>
      </w:pPr>
      <w:r w:rsidRPr="009C1832">
        <w:rPr>
          <w:rFonts w:ascii="Verdana" w:hAnsi="Verdana"/>
        </w:rPr>
        <w:t xml:space="preserve">Exempt pre-university pathway programmes from the changes proposed, from the proposed B2 English language criteria, insistence on SELT testing , the curtailing of pre-sessional course </w:t>
      </w:r>
      <w:r w:rsidRPr="009C1832">
        <w:rPr>
          <w:rFonts w:ascii="Verdana" w:hAnsi="Verdana"/>
        </w:rPr>
        <w:lastRenderedPageBreak/>
        <w:t xml:space="preserve">length and as many of the other restrictions as feasible. Grant this exemption </w:t>
      </w:r>
    </w:p>
    <w:p w:rsidR="006A4110" w:rsidRPr="009C1832" w:rsidRDefault="006A4110" w:rsidP="009C1832">
      <w:pPr>
        <w:numPr>
          <w:ilvl w:val="2"/>
          <w:numId w:val="1"/>
        </w:numPr>
        <w:rPr>
          <w:rFonts w:ascii="Verdana" w:hAnsi="Verdana"/>
        </w:rPr>
      </w:pPr>
      <w:r w:rsidRPr="009C1832">
        <w:rPr>
          <w:rFonts w:ascii="Verdana" w:hAnsi="Verdana"/>
        </w:rPr>
        <w:t xml:space="preserve">EITHER to a new category of strictly defined pre-university pathway course, </w:t>
      </w:r>
    </w:p>
    <w:p w:rsidR="006A4110" w:rsidRPr="009C1832" w:rsidRDefault="006A4110" w:rsidP="009C1832">
      <w:pPr>
        <w:numPr>
          <w:ilvl w:val="2"/>
          <w:numId w:val="1"/>
        </w:numPr>
        <w:rPr>
          <w:rFonts w:ascii="Verdana" w:hAnsi="Verdana"/>
        </w:rPr>
      </w:pPr>
      <w:r w:rsidRPr="009C1832">
        <w:rPr>
          <w:rFonts w:ascii="Verdana" w:hAnsi="Verdana"/>
        </w:rPr>
        <w:t>OR to those institutions on which the UKBA has accorded and continues to accord H</w:t>
      </w:r>
      <w:r w:rsidR="00F72A77" w:rsidRPr="009C1832">
        <w:rPr>
          <w:rFonts w:ascii="Verdana" w:hAnsi="Verdana"/>
        </w:rPr>
        <w:t>ighly Trusted Sponsor</w:t>
      </w:r>
      <w:r w:rsidRPr="009C1832">
        <w:rPr>
          <w:rFonts w:ascii="Verdana" w:hAnsi="Verdana"/>
        </w:rPr>
        <w:t xml:space="preserve"> status (or to a new HTS subset comprising </w:t>
      </w:r>
      <w:proofErr w:type="gramStart"/>
      <w:r w:rsidRPr="009C1832">
        <w:rPr>
          <w:rFonts w:ascii="Verdana" w:hAnsi="Verdana"/>
        </w:rPr>
        <w:t>HE</w:t>
      </w:r>
      <w:proofErr w:type="gramEnd"/>
      <w:r w:rsidRPr="009C1832">
        <w:rPr>
          <w:rFonts w:ascii="Verdana" w:hAnsi="Verdana"/>
        </w:rPr>
        <w:t xml:space="preserve"> institutions and the pre-university pathway providers they endorse and vouch for).  </w:t>
      </w:r>
    </w:p>
    <w:p w:rsidR="006A4110" w:rsidRPr="009C1832" w:rsidRDefault="006A4110" w:rsidP="009C1832">
      <w:pPr>
        <w:numPr>
          <w:ilvl w:val="1"/>
          <w:numId w:val="1"/>
        </w:numPr>
        <w:ind w:left="1418"/>
        <w:rPr>
          <w:rFonts w:ascii="Verdana" w:hAnsi="Verdana"/>
        </w:rPr>
      </w:pPr>
      <w:r w:rsidRPr="009C1832">
        <w:rPr>
          <w:rFonts w:ascii="Verdana" w:hAnsi="Verdana"/>
        </w:rPr>
        <w:t>In doing so, actively demonstrate and publicise across the world that students recruited to British HE and pre-degree pathway courses by these carefully monitored and genuinely trusted HTS institutions are warmly welcome. That way, the current damage to HE recruitment efforts can be halted and reversed and the threat to the financial stability of UK universities removed.  That way the Home Secretary’s express wish can be delivered for ‘a visa system which encourages the entry of genuine students coming to study legitimate courses.’ (Consultation, 1.6)</w:t>
      </w:r>
    </w:p>
    <w:p w:rsidR="006A4110" w:rsidRPr="009C1832" w:rsidRDefault="006A4110" w:rsidP="009C1832">
      <w:pPr>
        <w:numPr>
          <w:ilvl w:val="0"/>
          <w:numId w:val="1"/>
        </w:numPr>
        <w:ind w:left="0" w:firstLine="0"/>
        <w:rPr>
          <w:rFonts w:ascii="Verdana" w:hAnsi="Verdana"/>
        </w:rPr>
      </w:pPr>
      <w:r w:rsidRPr="009C1832">
        <w:rPr>
          <w:rFonts w:ascii="Verdana" w:hAnsi="Verdana"/>
        </w:rPr>
        <w:t xml:space="preserve">The present proposals do no such thing.  In contrast to the Coalition’s May agreement, which focused specifically on reducing </w:t>
      </w:r>
      <w:r w:rsidRPr="009C1832">
        <w:rPr>
          <w:rFonts w:ascii="Verdana" w:hAnsi="Verdana"/>
          <w:i/>
        </w:rPr>
        <w:t>economic</w:t>
      </w:r>
      <w:r w:rsidRPr="009C1832">
        <w:rPr>
          <w:rFonts w:ascii="Verdana" w:hAnsi="Verdana"/>
        </w:rPr>
        <w:t xml:space="preserve"> migration and said nothing of cutting genuine students, they treat students as no more attractive than worker migrants and send legitimate students a raft of deeply off-putting messages.  </w:t>
      </w:r>
    </w:p>
    <w:p w:rsidR="006A4110" w:rsidRPr="009C1832" w:rsidRDefault="00730B15" w:rsidP="009C1832">
      <w:pPr>
        <w:rPr>
          <w:rFonts w:ascii="Verdana" w:hAnsi="Verdana"/>
          <w:b/>
        </w:rPr>
      </w:pPr>
      <w:r w:rsidRPr="009C1832">
        <w:rPr>
          <w:rFonts w:ascii="Verdana" w:hAnsi="Verdana"/>
          <w:b/>
        </w:rPr>
        <w:t>Basing British policy on statistics</w:t>
      </w:r>
      <w:r w:rsidR="00903A8A" w:rsidRPr="009C1832">
        <w:rPr>
          <w:rFonts w:ascii="Verdana" w:hAnsi="Verdana"/>
          <w:b/>
        </w:rPr>
        <w:t xml:space="preserve"> that are </w:t>
      </w:r>
      <w:r w:rsidR="00076265" w:rsidRPr="009C1832">
        <w:rPr>
          <w:rFonts w:ascii="Verdana" w:hAnsi="Verdana"/>
          <w:b/>
        </w:rPr>
        <w:t>‘</w:t>
      </w:r>
      <w:r w:rsidR="00903A8A" w:rsidRPr="009C1832">
        <w:rPr>
          <w:rFonts w:ascii="Verdana" w:hAnsi="Verdana"/>
          <w:b/>
        </w:rPr>
        <w:t>not fit for purpose</w:t>
      </w:r>
      <w:r w:rsidR="00076265" w:rsidRPr="009C1832">
        <w:rPr>
          <w:rFonts w:ascii="Verdana" w:hAnsi="Verdana"/>
          <w:b/>
        </w:rPr>
        <w:t>’</w:t>
      </w:r>
      <w:r w:rsidR="00076265" w:rsidRPr="009C1832">
        <w:rPr>
          <w:rStyle w:val="FootnoteReference"/>
          <w:rFonts w:ascii="Verdana" w:hAnsi="Verdana"/>
          <w:b/>
        </w:rPr>
        <w:footnoteReference w:id="9"/>
      </w:r>
    </w:p>
    <w:p w:rsidR="006A4110" w:rsidRPr="009C1832" w:rsidRDefault="006A4110" w:rsidP="009C1832">
      <w:pPr>
        <w:numPr>
          <w:ilvl w:val="0"/>
          <w:numId w:val="1"/>
        </w:numPr>
        <w:ind w:left="0" w:firstLine="0"/>
        <w:rPr>
          <w:rFonts w:ascii="Verdana" w:hAnsi="Verdana"/>
        </w:rPr>
      </w:pPr>
      <w:r w:rsidRPr="009C1832">
        <w:rPr>
          <w:rFonts w:ascii="Verdana" w:hAnsi="Verdana"/>
        </w:rPr>
        <w:t>In terms of the national interest, policy-making and due process, what makes the situation so disturbing is that the UKBA’s determination to cut non-EU student recruitment is based on thoroughly unreliable data.</w:t>
      </w:r>
    </w:p>
    <w:p w:rsidR="00353770" w:rsidRPr="009C1832" w:rsidRDefault="006A4110" w:rsidP="009C1832">
      <w:pPr>
        <w:numPr>
          <w:ilvl w:val="0"/>
          <w:numId w:val="1"/>
        </w:numPr>
        <w:ind w:left="0" w:firstLine="0"/>
        <w:rPr>
          <w:rFonts w:ascii="Verdana" w:hAnsi="Verdana"/>
        </w:rPr>
      </w:pPr>
      <w:r w:rsidRPr="009C1832">
        <w:rPr>
          <w:rFonts w:ascii="Verdana" w:hAnsi="Verdana"/>
        </w:rPr>
        <w:t xml:space="preserve">The detailed policy is based on </w:t>
      </w:r>
      <w:r w:rsidR="004704D7" w:rsidRPr="009C1832">
        <w:rPr>
          <w:rFonts w:ascii="Verdana" w:hAnsi="Verdana"/>
        </w:rPr>
        <w:t xml:space="preserve">MAC’s November report </w:t>
      </w:r>
      <w:r w:rsidR="004704D7" w:rsidRPr="009C1832">
        <w:rPr>
          <w:rFonts w:ascii="Verdana" w:hAnsi="Verdana"/>
          <w:i/>
        </w:rPr>
        <w:t>Limits of Migration</w:t>
      </w:r>
      <w:r w:rsidR="004704D7" w:rsidRPr="009C1832">
        <w:rPr>
          <w:rFonts w:ascii="Verdana" w:hAnsi="Verdana"/>
        </w:rPr>
        <w:t>.</w:t>
      </w:r>
      <w:r w:rsidRPr="009C1832">
        <w:rPr>
          <w:rFonts w:ascii="Verdana" w:hAnsi="Verdana"/>
        </w:rPr>
        <w:t xml:space="preserve"> MAC has </w:t>
      </w:r>
      <w:r w:rsidR="00FE15A5" w:rsidRPr="009C1832">
        <w:rPr>
          <w:rFonts w:ascii="Verdana" w:hAnsi="Verdana"/>
        </w:rPr>
        <w:t>been given the remit of advising the Home Office how it is to achieve</w:t>
      </w:r>
      <w:r w:rsidRPr="009C1832">
        <w:rPr>
          <w:rFonts w:ascii="Verdana" w:hAnsi="Verdana"/>
        </w:rPr>
        <w:t xml:space="preserve"> the aim of cutting ‘net migration’ to ‘tens of thousands’ during this parliament</w:t>
      </w:r>
      <w:r w:rsidR="00BE767E" w:rsidRPr="009C1832">
        <w:rPr>
          <w:rFonts w:ascii="Verdana" w:hAnsi="Verdana"/>
        </w:rPr>
        <w:t>.</w:t>
      </w:r>
      <w:r w:rsidR="000A4B43" w:rsidRPr="009C1832">
        <w:rPr>
          <w:rStyle w:val="FootnoteReference"/>
          <w:rFonts w:ascii="Verdana" w:hAnsi="Verdana"/>
        </w:rPr>
        <w:footnoteReference w:id="10"/>
      </w:r>
      <w:r w:rsidRPr="009C1832">
        <w:rPr>
          <w:rFonts w:ascii="Verdana" w:hAnsi="Verdana"/>
        </w:rPr>
        <w:t xml:space="preserve"> It </w:t>
      </w:r>
      <w:r w:rsidR="00A02D8B" w:rsidRPr="009C1832">
        <w:rPr>
          <w:rFonts w:ascii="Verdana" w:hAnsi="Verdana"/>
        </w:rPr>
        <w:t>understands</w:t>
      </w:r>
      <w:r w:rsidRPr="009C1832">
        <w:rPr>
          <w:rFonts w:ascii="Verdana" w:hAnsi="Verdana"/>
        </w:rPr>
        <w:t xml:space="preserve"> it to be government policy that in assessing the scale and make-up of current net migration, and in identifying the steps needed to reduce future net migration to ‘tens of thousands’, it is obliged to rely on the data collected by the International Passenger Survey (IPS). MAC’s own opinion of this data is not flattering.  </w:t>
      </w:r>
    </w:p>
    <w:p w:rsidR="006A4110" w:rsidRPr="009C1832" w:rsidRDefault="006A4110" w:rsidP="009C1832">
      <w:pPr>
        <w:numPr>
          <w:ilvl w:val="0"/>
          <w:numId w:val="1"/>
        </w:numPr>
        <w:ind w:left="0" w:firstLine="0"/>
        <w:rPr>
          <w:rFonts w:ascii="Verdana" w:hAnsi="Verdana"/>
        </w:rPr>
      </w:pPr>
      <w:r w:rsidRPr="009C1832">
        <w:rPr>
          <w:rFonts w:ascii="Verdana" w:hAnsi="Verdana"/>
        </w:rPr>
        <w:t xml:space="preserve">It notes that the IPS was not established to measure net migration. It notes that it has been known </w:t>
      </w:r>
      <w:r w:rsidR="00744002" w:rsidRPr="009C1832">
        <w:rPr>
          <w:rFonts w:ascii="Verdana" w:hAnsi="Verdana"/>
        </w:rPr>
        <w:t xml:space="preserve">significantly </w:t>
      </w:r>
      <w:r w:rsidRPr="009C1832">
        <w:rPr>
          <w:rFonts w:ascii="Verdana" w:hAnsi="Verdana"/>
        </w:rPr>
        <w:t xml:space="preserve">to undercount outflows in the past, </w:t>
      </w:r>
      <w:r w:rsidRPr="009C1832">
        <w:rPr>
          <w:rFonts w:ascii="Verdana" w:hAnsi="Verdana"/>
        </w:rPr>
        <w:lastRenderedPageBreak/>
        <w:t>and strongly suggests this is continuing to happen.</w:t>
      </w:r>
      <w:r w:rsidR="00114511" w:rsidRPr="009C1832">
        <w:rPr>
          <w:rStyle w:val="FootnoteReference"/>
          <w:rFonts w:ascii="Verdana" w:hAnsi="Verdana"/>
        </w:rPr>
        <w:footnoteReference w:id="11"/>
      </w:r>
      <w:r w:rsidRPr="009C1832">
        <w:rPr>
          <w:rFonts w:ascii="Verdana" w:hAnsi="Verdana"/>
        </w:rPr>
        <w:t xml:space="preserve"> It regrets the very small sample used (1 in 500 passengers entering and leaving). It spells out graphically the very low level of confidence that can be placed in the accuracy of the net migration figures IPS yields.  Its own estimate of non-EU outflow for 2008 (</w:t>
      </w:r>
      <w:r w:rsidRPr="009C1832">
        <w:rPr>
          <w:rFonts w:ascii="Verdana" w:hAnsi="Verdana"/>
          <w:i/>
        </w:rPr>
        <w:t xml:space="preserve">Limit on </w:t>
      </w:r>
      <w:r w:rsidR="00744002" w:rsidRPr="009C1832">
        <w:rPr>
          <w:rFonts w:ascii="Verdana" w:hAnsi="Verdana"/>
          <w:i/>
        </w:rPr>
        <w:t>Migration</w:t>
      </w:r>
      <w:r w:rsidRPr="009C1832">
        <w:rPr>
          <w:rFonts w:ascii="Verdana" w:hAnsi="Verdana"/>
        </w:rPr>
        <w:t xml:space="preserve">, p.301), drawing on the UKBA’s recent study </w:t>
      </w:r>
      <w:r w:rsidRPr="009C1832">
        <w:rPr>
          <w:rFonts w:ascii="Verdana" w:hAnsi="Verdana"/>
          <w:i/>
        </w:rPr>
        <w:t>The Migrant Journey</w:t>
      </w:r>
      <w:r w:rsidRPr="009C1832">
        <w:rPr>
          <w:rFonts w:ascii="Verdana" w:hAnsi="Verdana"/>
        </w:rPr>
        <w:t xml:space="preserve">, suggests a non-EU net </w:t>
      </w:r>
      <w:r w:rsidR="00374020" w:rsidRPr="009C1832">
        <w:rPr>
          <w:rFonts w:ascii="Verdana" w:hAnsi="Verdana"/>
        </w:rPr>
        <w:t>im</w:t>
      </w:r>
      <w:r w:rsidRPr="009C1832">
        <w:rPr>
          <w:rFonts w:ascii="Verdana" w:hAnsi="Verdana"/>
        </w:rPr>
        <w:t xml:space="preserve">migration figure less than half that of the IPS.  It observes that the Annual Population Survey for 2009 puts net </w:t>
      </w:r>
      <w:r w:rsidR="00374020" w:rsidRPr="009C1832">
        <w:rPr>
          <w:rFonts w:ascii="Verdana" w:hAnsi="Verdana"/>
        </w:rPr>
        <w:t>im</w:t>
      </w:r>
      <w:r w:rsidRPr="009C1832">
        <w:rPr>
          <w:rFonts w:ascii="Verdana" w:hAnsi="Verdana"/>
        </w:rPr>
        <w:t>migration of non-EEA nationals at 53,000, a fraction of the IPS non-EU estimate of 184,000</w:t>
      </w:r>
      <w:r w:rsidR="00374020" w:rsidRPr="009C1832">
        <w:rPr>
          <w:rFonts w:ascii="Verdana" w:hAnsi="Verdana"/>
        </w:rPr>
        <w:t xml:space="preserve">, and the Labour Force Survey indicates that there was no net non-EU immigration at all but a small </w:t>
      </w:r>
      <w:r w:rsidR="00374020" w:rsidRPr="009C1832">
        <w:rPr>
          <w:rFonts w:ascii="Verdana" w:hAnsi="Verdana"/>
          <w:i/>
        </w:rPr>
        <w:t>outflow</w:t>
      </w:r>
      <w:r w:rsidRPr="009C1832">
        <w:rPr>
          <w:rFonts w:ascii="Verdana" w:hAnsi="Verdana"/>
        </w:rPr>
        <w:t xml:space="preserve"> </w:t>
      </w:r>
      <w:r w:rsidR="00374020" w:rsidRPr="009C1832">
        <w:rPr>
          <w:rFonts w:ascii="Verdana" w:hAnsi="Verdana"/>
        </w:rPr>
        <w:t xml:space="preserve">(pp. 70-2). </w:t>
      </w:r>
      <w:r w:rsidRPr="009C1832">
        <w:rPr>
          <w:rFonts w:ascii="Verdana" w:hAnsi="Verdana"/>
        </w:rPr>
        <w:t xml:space="preserve">It regrets that because IPS has never asked those departing their original reason for entry or the visa route that brought them to the UK, it does not provide the data needed to disaggregate the contribution made by the three migrant routes – work, study and dependants. Yet it is on this desperately fragile and in key respects, </w:t>
      </w:r>
      <w:r w:rsidR="00374020" w:rsidRPr="009C1832">
        <w:rPr>
          <w:rFonts w:ascii="Verdana" w:hAnsi="Verdana"/>
        </w:rPr>
        <w:t xml:space="preserve">as </w:t>
      </w:r>
      <w:r w:rsidR="00CF25B3">
        <w:rPr>
          <w:rFonts w:ascii="Verdana" w:hAnsi="Verdana"/>
        </w:rPr>
        <w:t xml:space="preserve">is shown </w:t>
      </w:r>
      <w:r w:rsidRPr="009C1832">
        <w:rPr>
          <w:rFonts w:ascii="Verdana" w:hAnsi="Verdana"/>
        </w:rPr>
        <w:t xml:space="preserve">below, demonstrably false data that MAC has </w:t>
      </w:r>
      <w:r w:rsidR="00D9045F" w:rsidRPr="009C1832">
        <w:rPr>
          <w:rFonts w:ascii="Verdana" w:hAnsi="Verdana"/>
        </w:rPr>
        <w:t xml:space="preserve">felt compelled to </w:t>
      </w:r>
      <w:r w:rsidRPr="009C1832">
        <w:rPr>
          <w:rFonts w:ascii="Verdana" w:hAnsi="Verdana"/>
        </w:rPr>
        <w:t>base the calculations which threaten to wreak such havoc.</w:t>
      </w:r>
    </w:p>
    <w:p w:rsidR="000D4028" w:rsidRPr="009C1832" w:rsidRDefault="006A4110" w:rsidP="009C1832">
      <w:pPr>
        <w:numPr>
          <w:ilvl w:val="0"/>
          <w:numId w:val="1"/>
        </w:numPr>
        <w:ind w:left="0" w:firstLine="0"/>
        <w:rPr>
          <w:rFonts w:ascii="Verdana" w:hAnsi="Verdana"/>
        </w:rPr>
      </w:pPr>
      <w:r w:rsidRPr="009C1832">
        <w:rPr>
          <w:rFonts w:ascii="Verdana" w:hAnsi="Verdana"/>
        </w:rPr>
        <w:t xml:space="preserve">MAC spelt out its approach when recommending the level of cuts to be made to inward migration via the work route. It took </w:t>
      </w:r>
      <w:r w:rsidR="00A02D8B" w:rsidRPr="009C1832">
        <w:rPr>
          <w:rFonts w:ascii="Verdana" w:hAnsi="Verdana"/>
        </w:rPr>
        <w:t xml:space="preserve">as the benchmark </w:t>
      </w:r>
      <w:r w:rsidRPr="009C1832">
        <w:rPr>
          <w:rFonts w:ascii="Verdana" w:hAnsi="Verdana"/>
        </w:rPr>
        <w:t xml:space="preserve">the IPS figure for total net migration in 2009 (196,000) and set as the target over the next 4 years that this be reduced to 50,000, i.e. a reduction of 146,000. Since 12,000 of the 196,000 are attributable to British, EU and other minor factors not susceptible to visa control, it concluded that the necessary 146,000 reduction must be borne by the three routes (work, study, dependants) responsible for the remaining 184,000. </w:t>
      </w:r>
      <w:r w:rsidR="000D4028" w:rsidRPr="009C1832">
        <w:rPr>
          <w:rFonts w:ascii="Verdana" w:hAnsi="Verdana"/>
        </w:rPr>
        <w:t xml:space="preserve">Or, to put it another way, since 12,000 of the 50,000 net immigration target cannot be cut by visa measures, the </w:t>
      </w:r>
      <w:r w:rsidR="00214FBD" w:rsidRPr="009C1832">
        <w:rPr>
          <w:rFonts w:ascii="Verdana" w:hAnsi="Verdana"/>
        </w:rPr>
        <w:t xml:space="preserve">combined </w:t>
      </w:r>
      <w:r w:rsidR="000D4028" w:rsidRPr="009C1832">
        <w:rPr>
          <w:rFonts w:ascii="Verdana" w:hAnsi="Verdana"/>
        </w:rPr>
        <w:t>target for those routes that can be so cut – work, study, dependants –  should be 38,000.</w:t>
      </w:r>
    </w:p>
    <w:p w:rsidR="00631E8B" w:rsidRPr="009C1832" w:rsidRDefault="006A4110" w:rsidP="009C1832">
      <w:pPr>
        <w:numPr>
          <w:ilvl w:val="0"/>
          <w:numId w:val="1"/>
        </w:numPr>
        <w:ind w:left="0" w:firstLine="0"/>
        <w:rPr>
          <w:rFonts w:ascii="Verdana" w:hAnsi="Verdana"/>
        </w:rPr>
      </w:pPr>
      <w:r w:rsidRPr="009C1832">
        <w:rPr>
          <w:rFonts w:ascii="Verdana" w:hAnsi="Verdana"/>
        </w:rPr>
        <w:t xml:space="preserve">MAC then </w:t>
      </w:r>
      <w:r w:rsidR="00975128" w:rsidRPr="009C1832">
        <w:rPr>
          <w:rFonts w:ascii="Verdana" w:hAnsi="Verdana"/>
        </w:rPr>
        <w:t>weighed how</w:t>
      </w:r>
      <w:r w:rsidRPr="009C1832">
        <w:rPr>
          <w:rFonts w:ascii="Verdana" w:hAnsi="Verdana"/>
        </w:rPr>
        <w:t xml:space="preserve"> the </w:t>
      </w:r>
      <w:r w:rsidR="00A02D8B" w:rsidRPr="009C1832">
        <w:rPr>
          <w:rFonts w:ascii="Verdana" w:hAnsi="Verdana"/>
        </w:rPr>
        <w:t xml:space="preserve">required </w:t>
      </w:r>
      <w:r w:rsidRPr="009C1832">
        <w:rPr>
          <w:rFonts w:ascii="Verdana" w:hAnsi="Verdana"/>
        </w:rPr>
        <w:t xml:space="preserve">reduction </w:t>
      </w:r>
      <w:r w:rsidR="00A02D8B" w:rsidRPr="009C1832">
        <w:rPr>
          <w:rFonts w:ascii="Verdana" w:hAnsi="Verdana"/>
        </w:rPr>
        <w:t>should</w:t>
      </w:r>
      <w:r w:rsidRPr="009C1832">
        <w:rPr>
          <w:rFonts w:ascii="Verdana" w:hAnsi="Verdana"/>
        </w:rPr>
        <w:t xml:space="preserve"> be </w:t>
      </w:r>
      <w:r w:rsidR="00975128" w:rsidRPr="009C1832">
        <w:rPr>
          <w:rFonts w:ascii="Verdana" w:hAnsi="Verdana"/>
        </w:rPr>
        <w:t>shared out</w:t>
      </w:r>
      <w:r w:rsidRPr="009C1832">
        <w:rPr>
          <w:rFonts w:ascii="Verdana" w:hAnsi="Verdana"/>
        </w:rPr>
        <w:t xml:space="preserve"> </w:t>
      </w:r>
      <w:r w:rsidR="00975128" w:rsidRPr="009C1832">
        <w:rPr>
          <w:rFonts w:ascii="Verdana" w:hAnsi="Verdana"/>
        </w:rPr>
        <w:t>among</w:t>
      </w:r>
      <w:r w:rsidRPr="009C1832">
        <w:rPr>
          <w:rFonts w:ascii="Verdana" w:hAnsi="Verdana"/>
        </w:rPr>
        <w:t xml:space="preserve"> each of those </w:t>
      </w:r>
      <w:r w:rsidR="00975128" w:rsidRPr="009C1832">
        <w:rPr>
          <w:rFonts w:ascii="Verdana" w:hAnsi="Verdana"/>
        </w:rPr>
        <w:t xml:space="preserve">three routes. </w:t>
      </w:r>
      <w:r w:rsidR="00465BE2" w:rsidRPr="009C1832">
        <w:rPr>
          <w:rFonts w:ascii="Verdana" w:hAnsi="Verdana"/>
        </w:rPr>
        <w:t>It noted</w:t>
      </w:r>
      <w:r w:rsidR="00975128" w:rsidRPr="009C1832">
        <w:rPr>
          <w:rFonts w:ascii="Verdana" w:hAnsi="Verdana"/>
        </w:rPr>
        <w:t xml:space="preserve"> ‘the absence of a formal comparison of the costs and benefits of migration through different routes,’ a rather coy reference to the Home Office’s </w:t>
      </w:r>
      <w:r w:rsidR="00465BE2" w:rsidRPr="009C1832">
        <w:rPr>
          <w:rFonts w:ascii="Verdana" w:hAnsi="Verdana"/>
        </w:rPr>
        <w:t xml:space="preserve">remarkable </w:t>
      </w:r>
      <w:r w:rsidR="00975128" w:rsidRPr="009C1832">
        <w:rPr>
          <w:rFonts w:ascii="Verdana" w:hAnsi="Verdana"/>
        </w:rPr>
        <w:t xml:space="preserve">lack of interest in </w:t>
      </w:r>
      <w:r w:rsidR="00465BE2" w:rsidRPr="009C1832">
        <w:rPr>
          <w:rFonts w:ascii="Verdana" w:hAnsi="Verdana"/>
        </w:rPr>
        <w:t xml:space="preserve">a report on </w:t>
      </w:r>
      <w:r w:rsidR="00975128" w:rsidRPr="009C1832">
        <w:rPr>
          <w:rFonts w:ascii="Verdana" w:hAnsi="Verdana"/>
        </w:rPr>
        <w:t>the pros and cons of international student recruitment (p. 129)</w:t>
      </w:r>
      <w:r w:rsidR="00465BE2" w:rsidRPr="009C1832">
        <w:rPr>
          <w:rFonts w:ascii="Verdana" w:hAnsi="Verdana"/>
        </w:rPr>
        <w:t>. It therefore</w:t>
      </w:r>
      <w:r w:rsidR="00975128" w:rsidRPr="009C1832">
        <w:rPr>
          <w:rFonts w:ascii="Verdana" w:hAnsi="Verdana"/>
        </w:rPr>
        <w:t xml:space="preserve"> decided the cuts should be borne</w:t>
      </w:r>
      <w:r w:rsidR="00465BE2" w:rsidRPr="009C1832">
        <w:rPr>
          <w:rFonts w:ascii="Verdana" w:hAnsi="Verdana"/>
        </w:rPr>
        <w:t xml:space="preserve"> </w:t>
      </w:r>
      <w:r w:rsidRPr="009C1832">
        <w:rPr>
          <w:rFonts w:ascii="Verdana" w:hAnsi="Verdana"/>
        </w:rPr>
        <w:t xml:space="preserve">in proportion to </w:t>
      </w:r>
      <w:r w:rsidR="00975128" w:rsidRPr="009C1832">
        <w:rPr>
          <w:rFonts w:ascii="Verdana" w:hAnsi="Verdana"/>
        </w:rPr>
        <w:t>the</w:t>
      </w:r>
      <w:r w:rsidRPr="009C1832">
        <w:rPr>
          <w:rFonts w:ascii="Verdana" w:hAnsi="Verdana"/>
        </w:rPr>
        <w:t xml:space="preserve"> contribution </w:t>
      </w:r>
      <w:r w:rsidR="00465BE2" w:rsidRPr="009C1832">
        <w:rPr>
          <w:rFonts w:ascii="Verdana" w:hAnsi="Verdana"/>
        </w:rPr>
        <w:t xml:space="preserve">each of the three routes has made </w:t>
      </w:r>
      <w:r w:rsidRPr="009C1832">
        <w:rPr>
          <w:rFonts w:ascii="Verdana" w:hAnsi="Verdana"/>
        </w:rPr>
        <w:t xml:space="preserve">to </w:t>
      </w:r>
      <w:r w:rsidR="00465BE2" w:rsidRPr="009C1832">
        <w:rPr>
          <w:rFonts w:ascii="Verdana" w:hAnsi="Verdana"/>
        </w:rPr>
        <w:t xml:space="preserve">the IPS’s </w:t>
      </w:r>
      <w:r w:rsidRPr="009C1832">
        <w:rPr>
          <w:rFonts w:ascii="Verdana" w:hAnsi="Verdana"/>
        </w:rPr>
        <w:t>net migration</w:t>
      </w:r>
      <w:r w:rsidR="00465BE2" w:rsidRPr="009C1832">
        <w:rPr>
          <w:rFonts w:ascii="Verdana" w:hAnsi="Verdana"/>
        </w:rPr>
        <w:t xml:space="preserve"> figure.</w:t>
      </w:r>
      <w:r w:rsidR="00F27222" w:rsidRPr="009C1832">
        <w:rPr>
          <w:rFonts w:ascii="Verdana" w:hAnsi="Verdana"/>
        </w:rPr>
        <w:t xml:space="preserve"> </w:t>
      </w:r>
      <w:r w:rsidR="006B5870" w:rsidRPr="009C1832">
        <w:rPr>
          <w:rFonts w:ascii="Verdana" w:hAnsi="Verdana"/>
        </w:rPr>
        <w:t xml:space="preserve">However, </w:t>
      </w:r>
      <w:r w:rsidR="00465BE2" w:rsidRPr="009C1832">
        <w:rPr>
          <w:rFonts w:ascii="Verdana" w:hAnsi="Verdana"/>
        </w:rPr>
        <w:t xml:space="preserve">MAC could not bring itself to use the </w:t>
      </w:r>
      <w:r w:rsidR="00EF4ADF" w:rsidRPr="009C1832">
        <w:rPr>
          <w:rFonts w:ascii="Verdana" w:hAnsi="Verdana"/>
        </w:rPr>
        <w:t>net figure</w:t>
      </w:r>
      <w:r w:rsidR="00465BE2" w:rsidRPr="009C1832">
        <w:rPr>
          <w:rFonts w:ascii="Verdana" w:hAnsi="Verdana"/>
        </w:rPr>
        <w:t xml:space="preserve"> for each route yielded by the IPS</w:t>
      </w:r>
      <w:r w:rsidR="00776E18" w:rsidRPr="009C1832">
        <w:rPr>
          <w:rFonts w:ascii="Verdana" w:hAnsi="Verdana"/>
        </w:rPr>
        <w:t>, so hard to</w:t>
      </w:r>
      <w:r w:rsidR="00F27222" w:rsidRPr="009C1832">
        <w:rPr>
          <w:rFonts w:ascii="Verdana" w:hAnsi="Verdana"/>
        </w:rPr>
        <w:t xml:space="preserve"> credit </w:t>
      </w:r>
      <w:proofErr w:type="gramStart"/>
      <w:r w:rsidR="00776E18" w:rsidRPr="009C1832">
        <w:rPr>
          <w:rFonts w:ascii="Verdana" w:hAnsi="Verdana"/>
        </w:rPr>
        <w:t>are</w:t>
      </w:r>
      <w:proofErr w:type="gramEnd"/>
      <w:r w:rsidR="00776E18" w:rsidRPr="009C1832">
        <w:rPr>
          <w:rFonts w:ascii="Verdana" w:hAnsi="Verdana"/>
        </w:rPr>
        <w:t xml:space="preserve"> </w:t>
      </w:r>
      <w:r w:rsidR="00EF4ADF" w:rsidRPr="009C1832">
        <w:rPr>
          <w:rFonts w:ascii="Verdana" w:hAnsi="Verdana"/>
        </w:rPr>
        <w:t>IPS</w:t>
      </w:r>
      <w:r w:rsidR="00776E18" w:rsidRPr="009C1832">
        <w:rPr>
          <w:rFonts w:ascii="Verdana" w:hAnsi="Verdana"/>
        </w:rPr>
        <w:t xml:space="preserve"> recorded</w:t>
      </w:r>
      <w:r w:rsidR="00EF4ADF" w:rsidRPr="009C1832">
        <w:rPr>
          <w:rFonts w:ascii="Verdana" w:hAnsi="Verdana"/>
        </w:rPr>
        <w:t xml:space="preserve"> outflows</w:t>
      </w:r>
      <w:r w:rsidR="00776E18" w:rsidRPr="009C1832">
        <w:rPr>
          <w:rFonts w:ascii="Verdana" w:hAnsi="Verdana"/>
        </w:rPr>
        <w:t>. Instead, it made outflow estimates of its own (see</w:t>
      </w:r>
      <w:r w:rsidR="00F27222" w:rsidRPr="009C1832">
        <w:rPr>
          <w:rFonts w:ascii="Verdana" w:hAnsi="Verdana"/>
        </w:rPr>
        <w:t xml:space="preserve"> Section 8</w:t>
      </w:r>
      <w:r w:rsidR="00776E18" w:rsidRPr="009C1832">
        <w:rPr>
          <w:rFonts w:ascii="Verdana" w:hAnsi="Verdana"/>
        </w:rPr>
        <w:t xml:space="preserve"> below) and concluded </w:t>
      </w:r>
      <w:r w:rsidRPr="009C1832">
        <w:rPr>
          <w:rFonts w:ascii="Verdana" w:hAnsi="Verdana"/>
        </w:rPr>
        <w:t xml:space="preserve"> that each route contributes to net migration </w:t>
      </w:r>
      <w:r w:rsidR="00776E18" w:rsidRPr="009C1832">
        <w:rPr>
          <w:rFonts w:ascii="Verdana" w:hAnsi="Verdana"/>
        </w:rPr>
        <w:t xml:space="preserve">broadly </w:t>
      </w:r>
      <w:r w:rsidRPr="009C1832">
        <w:rPr>
          <w:rFonts w:ascii="Verdana" w:hAnsi="Verdana"/>
        </w:rPr>
        <w:t>in the same ratio as it contributes to inflow</w:t>
      </w:r>
      <w:r w:rsidR="002D4044">
        <w:rPr>
          <w:rStyle w:val="FootnoteReference"/>
          <w:rFonts w:ascii="Verdana" w:hAnsi="Verdana"/>
        </w:rPr>
        <w:footnoteReference w:id="12"/>
      </w:r>
      <w:r w:rsidR="00FE15A5" w:rsidRPr="009C1832">
        <w:rPr>
          <w:rFonts w:ascii="Verdana" w:hAnsi="Verdana"/>
        </w:rPr>
        <w:t xml:space="preserve"> - </w:t>
      </w:r>
      <w:r w:rsidRPr="009C1832">
        <w:rPr>
          <w:rFonts w:ascii="Verdana" w:hAnsi="Verdana"/>
        </w:rPr>
        <w:t>however counter-intuitive, given that students typically stay markedly shorter than economic migrants</w:t>
      </w:r>
      <w:r w:rsidR="00374020" w:rsidRPr="009C1832">
        <w:rPr>
          <w:rFonts w:ascii="Verdana" w:hAnsi="Verdana"/>
        </w:rPr>
        <w:t xml:space="preserve"> </w:t>
      </w:r>
      <w:r w:rsidR="00730B15" w:rsidRPr="009C1832">
        <w:rPr>
          <w:rFonts w:ascii="Verdana" w:hAnsi="Verdana"/>
        </w:rPr>
        <w:t xml:space="preserve">or </w:t>
      </w:r>
      <w:r w:rsidR="00374020" w:rsidRPr="009C1832">
        <w:rPr>
          <w:rFonts w:ascii="Verdana" w:hAnsi="Verdana"/>
        </w:rPr>
        <w:t>dependants</w:t>
      </w:r>
      <w:r w:rsidRPr="009C1832">
        <w:rPr>
          <w:rFonts w:ascii="Verdana" w:hAnsi="Verdana"/>
        </w:rPr>
        <w:t>.</w:t>
      </w:r>
      <w:r w:rsidR="006B5870" w:rsidRPr="009C1832">
        <w:rPr>
          <w:rFonts w:ascii="Verdana" w:hAnsi="Verdana"/>
        </w:rPr>
        <w:t xml:space="preserve"> </w:t>
      </w:r>
    </w:p>
    <w:p w:rsidR="00631E8B" w:rsidRPr="009C1832" w:rsidRDefault="00631E8B" w:rsidP="004D3243">
      <w:pPr>
        <w:keepNext/>
        <w:numPr>
          <w:ilvl w:val="0"/>
          <w:numId w:val="1"/>
        </w:numPr>
        <w:ind w:left="0" w:firstLine="0"/>
        <w:rPr>
          <w:rFonts w:ascii="Verdana" w:hAnsi="Verdana"/>
        </w:rPr>
      </w:pPr>
      <w:r w:rsidRPr="009C1832">
        <w:rPr>
          <w:rFonts w:ascii="Verdana" w:hAnsi="Verdana"/>
        </w:rPr>
        <w:lastRenderedPageBreak/>
        <w:t>The proportions given are:</w:t>
      </w:r>
    </w:p>
    <w:p w:rsidR="00631E8B" w:rsidRPr="009C1832" w:rsidRDefault="00631E8B" w:rsidP="009C1832">
      <w:pPr>
        <w:ind w:left="720"/>
        <w:rPr>
          <w:rFonts w:ascii="Verdana" w:hAnsi="Verdana"/>
        </w:rPr>
      </w:pPr>
      <w:r w:rsidRPr="009C1832">
        <w:rPr>
          <w:rFonts w:ascii="Verdana" w:hAnsi="Verdana"/>
        </w:rPr>
        <w:t>Work</w:t>
      </w:r>
      <w:r w:rsidRPr="009C1832">
        <w:rPr>
          <w:rFonts w:ascii="Verdana" w:hAnsi="Verdana"/>
        </w:rPr>
        <w:tab/>
      </w:r>
      <w:r w:rsidRPr="009C1832">
        <w:rPr>
          <w:rFonts w:ascii="Verdana" w:hAnsi="Verdana"/>
        </w:rPr>
        <w:tab/>
        <w:t>20</w:t>
      </w:r>
      <w:r w:rsidR="002D4044">
        <w:rPr>
          <w:rFonts w:ascii="Verdana" w:hAnsi="Verdana"/>
        </w:rPr>
        <w:t>%</w:t>
      </w:r>
    </w:p>
    <w:p w:rsidR="00776E18" w:rsidRPr="009C1832" w:rsidRDefault="00776E18" w:rsidP="009C1832">
      <w:pPr>
        <w:ind w:left="720"/>
        <w:rPr>
          <w:rFonts w:ascii="Verdana" w:hAnsi="Verdana"/>
        </w:rPr>
      </w:pPr>
      <w:r w:rsidRPr="009C1832">
        <w:rPr>
          <w:rFonts w:ascii="Verdana" w:hAnsi="Verdana"/>
        </w:rPr>
        <w:t>Dependants</w:t>
      </w:r>
      <w:r w:rsidRPr="009C1832">
        <w:rPr>
          <w:rFonts w:ascii="Verdana" w:hAnsi="Verdana"/>
        </w:rPr>
        <w:tab/>
        <w:t>20</w:t>
      </w:r>
      <w:proofErr w:type="gramStart"/>
      <w:r w:rsidR="002D4044">
        <w:rPr>
          <w:rFonts w:ascii="Verdana" w:hAnsi="Verdana"/>
        </w:rPr>
        <w:t xml:space="preserve">% </w:t>
      </w:r>
      <w:r w:rsidRPr="009C1832">
        <w:rPr>
          <w:rFonts w:ascii="Verdana" w:hAnsi="Verdana"/>
        </w:rPr>
        <w:t xml:space="preserve"> (</w:t>
      </w:r>
      <w:proofErr w:type="gramEnd"/>
      <w:r w:rsidRPr="009C1832">
        <w:rPr>
          <w:rFonts w:ascii="Verdana" w:hAnsi="Verdana"/>
        </w:rPr>
        <w:t>13</w:t>
      </w:r>
      <w:r w:rsidR="002D4044">
        <w:rPr>
          <w:rFonts w:ascii="Verdana" w:hAnsi="Verdana"/>
        </w:rPr>
        <w:t xml:space="preserve">% </w:t>
      </w:r>
      <w:r w:rsidRPr="009C1832">
        <w:rPr>
          <w:rFonts w:ascii="Verdana" w:hAnsi="Verdana"/>
        </w:rPr>
        <w:t>of which are connected to Tier 4 migrants)</w:t>
      </w:r>
    </w:p>
    <w:p w:rsidR="00631E8B" w:rsidRPr="009C1832" w:rsidRDefault="00631E8B" w:rsidP="009C1832">
      <w:pPr>
        <w:ind w:left="720"/>
        <w:rPr>
          <w:rFonts w:ascii="Verdana" w:hAnsi="Verdana"/>
        </w:rPr>
      </w:pPr>
      <w:r w:rsidRPr="009C1832">
        <w:rPr>
          <w:rFonts w:ascii="Verdana" w:hAnsi="Verdana"/>
        </w:rPr>
        <w:t>Study</w:t>
      </w:r>
      <w:r w:rsidRPr="009C1832">
        <w:rPr>
          <w:rFonts w:ascii="Verdana" w:hAnsi="Verdana"/>
        </w:rPr>
        <w:tab/>
      </w:r>
      <w:r w:rsidRPr="009C1832">
        <w:rPr>
          <w:rFonts w:ascii="Verdana" w:hAnsi="Verdana"/>
        </w:rPr>
        <w:tab/>
        <w:t>60% (Tier 4)</w:t>
      </w:r>
    </w:p>
    <w:p w:rsidR="00776E18" w:rsidRPr="009C1832" w:rsidRDefault="00776E18" w:rsidP="009C1832">
      <w:pPr>
        <w:numPr>
          <w:ilvl w:val="0"/>
          <w:numId w:val="1"/>
        </w:numPr>
        <w:ind w:left="0" w:firstLine="0"/>
        <w:rPr>
          <w:rFonts w:ascii="Verdana" w:hAnsi="Verdana"/>
        </w:rPr>
      </w:pPr>
      <w:r w:rsidRPr="009C1832">
        <w:rPr>
          <w:rFonts w:ascii="Verdana" w:hAnsi="Verdana"/>
        </w:rPr>
        <w:t xml:space="preserve">Accordingly, MAC’s net migration target of 50,000 is composed of 12,000 </w:t>
      </w:r>
      <w:r w:rsidR="00214FBD" w:rsidRPr="009C1832">
        <w:rPr>
          <w:rFonts w:ascii="Verdana" w:hAnsi="Verdana"/>
        </w:rPr>
        <w:t>(</w:t>
      </w:r>
      <w:r w:rsidRPr="009C1832">
        <w:rPr>
          <w:rFonts w:ascii="Verdana" w:hAnsi="Verdana"/>
        </w:rPr>
        <w:t>EU/</w:t>
      </w:r>
      <w:r w:rsidR="00FB4FA6" w:rsidRPr="009C1832">
        <w:rPr>
          <w:rFonts w:ascii="Verdana" w:hAnsi="Verdana"/>
        </w:rPr>
        <w:t>routes not</w:t>
      </w:r>
      <w:r w:rsidRPr="009C1832">
        <w:rPr>
          <w:rFonts w:ascii="Verdana" w:hAnsi="Verdana"/>
        </w:rPr>
        <w:t xml:space="preserve"> susceptible to visa control</w:t>
      </w:r>
      <w:r w:rsidR="00D266B6" w:rsidRPr="009C1832">
        <w:rPr>
          <w:rFonts w:ascii="Verdana" w:hAnsi="Verdana"/>
        </w:rPr>
        <w:t>)</w:t>
      </w:r>
      <w:r w:rsidRPr="009C1832">
        <w:rPr>
          <w:rFonts w:ascii="Verdana" w:hAnsi="Verdana"/>
        </w:rPr>
        <w:t xml:space="preserve"> + 7,600 </w:t>
      </w:r>
      <w:r w:rsidR="00D266B6" w:rsidRPr="009C1832">
        <w:rPr>
          <w:rFonts w:ascii="Verdana" w:hAnsi="Verdana"/>
        </w:rPr>
        <w:t>(</w:t>
      </w:r>
      <w:r w:rsidRPr="009C1832">
        <w:rPr>
          <w:rFonts w:ascii="Verdana" w:hAnsi="Verdana"/>
        </w:rPr>
        <w:t>work route</w:t>
      </w:r>
      <w:r w:rsidR="00D266B6" w:rsidRPr="009C1832">
        <w:rPr>
          <w:rFonts w:ascii="Verdana" w:hAnsi="Verdana"/>
        </w:rPr>
        <w:t>)</w:t>
      </w:r>
      <w:r w:rsidRPr="009C1832">
        <w:rPr>
          <w:rFonts w:ascii="Verdana" w:hAnsi="Verdana"/>
        </w:rPr>
        <w:t xml:space="preserve">, + 7,600 </w:t>
      </w:r>
      <w:r w:rsidR="00D266B6" w:rsidRPr="009C1832">
        <w:rPr>
          <w:rFonts w:ascii="Verdana" w:hAnsi="Verdana"/>
        </w:rPr>
        <w:t>(</w:t>
      </w:r>
      <w:r w:rsidRPr="009C1832">
        <w:rPr>
          <w:rFonts w:ascii="Verdana" w:hAnsi="Verdana"/>
        </w:rPr>
        <w:t>dependants route</w:t>
      </w:r>
      <w:r w:rsidR="00D266B6" w:rsidRPr="009C1832">
        <w:rPr>
          <w:rFonts w:ascii="Verdana" w:hAnsi="Verdana"/>
        </w:rPr>
        <w:t>)</w:t>
      </w:r>
      <w:r w:rsidRPr="009C1832">
        <w:rPr>
          <w:rFonts w:ascii="Verdana" w:hAnsi="Verdana"/>
        </w:rPr>
        <w:t xml:space="preserve">, + 22,800 </w:t>
      </w:r>
      <w:r w:rsidR="00D266B6" w:rsidRPr="009C1832">
        <w:rPr>
          <w:rFonts w:ascii="Verdana" w:hAnsi="Verdana"/>
        </w:rPr>
        <w:t>(</w:t>
      </w:r>
      <w:r w:rsidRPr="009C1832">
        <w:rPr>
          <w:rFonts w:ascii="Verdana" w:hAnsi="Verdana"/>
        </w:rPr>
        <w:t>student route</w:t>
      </w:r>
      <w:r w:rsidR="00D266B6" w:rsidRPr="009C1832">
        <w:rPr>
          <w:rFonts w:ascii="Verdana" w:hAnsi="Verdana"/>
        </w:rPr>
        <w:t>).</w:t>
      </w:r>
    </w:p>
    <w:p w:rsidR="004D3243" w:rsidRPr="002D4044" w:rsidRDefault="004D3243" w:rsidP="004D3243">
      <w:pPr>
        <w:numPr>
          <w:ilvl w:val="0"/>
          <w:numId w:val="1"/>
        </w:numPr>
        <w:ind w:left="0" w:firstLine="0"/>
        <w:rPr>
          <w:rFonts w:ascii="Verdana" w:hAnsi="Verdana"/>
        </w:rPr>
      </w:pPr>
      <w:r w:rsidRPr="002D4044">
        <w:rPr>
          <w:rFonts w:ascii="Verdana" w:hAnsi="Verdana"/>
        </w:rPr>
        <w:t>From this flowed MAC’s recommendation in November that inflow via both the work and dependant routes should each be cut by 20</w:t>
      </w:r>
      <w:r w:rsidR="002D4044">
        <w:rPr>
          <w:rFonts w:ascii="Verdana" w:hAnsi="Verdana"/>
        </w:rPr>
        <w:t xml:space="preserve"> per cent</w:t>
      </w:r>
      <w:r w:rsidRPr="002D4044">
        <w:rPr>
          <w:rFonts w:ascii="Verdana" w:hAnsi="Verdana"/>
        </w:rPr>
        <w:t xml:space="preserve"> of 146,000, i.e. 29,200, by the end of this parliament and net annual immigration in each category should be limited to 7,600. </w:t>
      </w:r>
      <w:r w:rsidR="002D4044" w:rsidRPr="002D4044">
        <w:rPr>
          <w:rFonts w:ascii="Verdana" w:hAnsi="Verdana"/>
        </w:rPr>
        <w:t xml:space="preserve"> </w:t>
      </w:r>
      <w:r w:rsidR="009B4874">
        <w:rPr>
          <w:rFonts w:ascii="Verdana" w:hAnsi="Verdana"/>
        </w:rPr>
        <w:t>The direct corollary</w:t>
      </w:r>
      <w:r w:rsidRPr="002D4044">
        <w:rPr>
          <w:rFonts w:ascii="Verdana" w:hAnsi="Verdana"/>
        </w:rPr>
        <w:t xml:space="preserve"> is that Tier 4 net migration should be limited to 22,800 and</w:t>
      </w:r>
      <w:r w:rsidR="002D4044">
        <w:rPr>
          <w:rFonts w:ascii="Verdana" w:hAnsi="Verdana"/>
        </w:rPr>
        <w:t xml:space="preserve"> to achieve this</w:t>
      </w:r>
      <w:r w:rsidRPr="002D4044">
        <w:rPr>
          <w:rFonts w:ascii="Verdana" w:hAnsi="Verdana"/>
        </w:rPr>
        <w:t xml:space="preserve"> Tier 4 inflow should be cut by 60</w:t>
      </w:r>
      <w:r w:rsidR="002D4044">
        <w:rPr>
          <w:rFonts w:ascii="Verdana" w:hAnsi="Verdana"/>
        </w:rPr>
        <w:t xml:space="preserve"> per cent</w:t>
      </w:r>
      <w:r w:rsidRPr="002D4044">
        <w:rPr>
          <w:rFonts w:ascii="Verdana" w:hAnsi="Verdana"/>
        </w:rPr>
        <w:t xml:space="preserve"> of 146,000, i.e. 87,600, by the end of this parliament.</w:t>
      </w:r>
    </w:p>
    <w:p w:rsidR="004D3243" w:rsidRPr="004D3243" w:rsidRDefault="004D3243" w:rsidP="004D3243">
      <w:pPr>
        <w:numPr>
          <w:ilvl w:val="0"/>
          <w:numId w:val="1"/>
        </w:numPr>
        <w:ind w:left="0" w:firstLine="0"/>
        <w:rPr>
          <w:rFonts w:ascii="Verdana" w:hAnsi="Verdana"/>
        </w:rPr>
      </w:pPr>
      <w:r w:rsidRPr="004D3243">
        <w:rPr>
          <w:rFonts w:ascii="Verdana" w:hAnsi="Verdana"/>
        </w:rPr>
        <w:t xml:space="preserve">How big an impact on HE recruitment would a cut </w:t>
      </w:r>
      <w:r w:rsidR="002D4044">
        <w:rPr>
          <w:rFonts w:ascii="Verdana" w:hAnsi="Verdana"/>
        </w:rPr>
        <w:t xml:space="preserve">in inflow </w:t>
      </w:r>
      <w:r w:rsidRPr="004D3243">
        <w:rPr>
          <w:rFonts w:ascii="Verdana" w:hAnsi="Verdana"/>
        </w:rPr>
        <w:t>of 87,600 have? The 2009 IPS figures, on which MAC’s calculations are based, record a non-EU student inflow of 163,000. Thus a reduction of 87,600 means cutting the inflow of non-EU students to 75,400.</w:t>
      </w:r>
      <w:r>
        <w:rPr>
          <w:rStyle w:val="FootnoteReference"/>
        </w:rPr>
        <w:footnoteReference w:id="13"/>
      </w:r>
    </w:p>
    <w:p w:rsidR="00631E8B" w:rsidRPr="009C1832" w:rsidRDefault="00631E8B" w:rsidP="009C1832">
      <w:pPr>
        <w:numPr>
          <w:ilvl w:val="0"/>
          <w:numId w:val="1"/>
        </w:numPr>
        <w:ind w:left="0" w:firstLine="0"/>
        <w:rPr>
          <w:rFonts w:ascii="Verdana" w:hAnsi="Verdana"/>
        </w:rPr>
      </w:pPr>
      <w:r w:rsidRPr="009C1832">
        <w:rPr>
          <w:rFonts w:ascii="Verdana" w:hAnsi="Verdana"/>
        </w:rPr>
        <w:t>Thus even if recruitment at all other levels was banned outright, non-EU recruitment to HE would have to be slashed by almost 50</w:t>
      </w:r>
      <w:r w:rsidR="002D4044">
        <w:rPr>
          <w:rFonts w:ascii="Verdana" w:hAnsi="Verdana"/>
        </w:rPr>
        <w:t xml:space="preserve"> per cent</w:t>
      </w:r>
      <w:r w:rsidRPr="009C1832">
        <w:rPr>
          <w:rFonts w:ascii="Verdana" w:hAnsi="Verdana"/>
        </w:rPr>
        <w:t xml:space="preserve"> to meet UKBA’S target. If this juggernaut is left to run as programmed, it will smash into the UK’s ‘economic crown jewels’. </w:t>
      </w:r>
    </w:p>
    <w:p w:rsidR="0030414E" w:rsidRPr="009C1832" w:rsidRDefault="0030414E" w:rsidP="009C1832">
      <w:pPr>
        <w:rPr>
          <w:rFonts w:ascii="Verdana" w:hAnsi="Verdana"/>
          <w:b/>
        </w:rPr>
      </w:pPr>
      <w:r w:rsidRPr="009C1832">
        <w:rPr>
          <w:rFonts w:ascii="Verdana" w:hAnsi="Verdana"/>
          <w:b/>
        </w:rPr>
        <w:t>What if net immigration had been pegged to the UKBA’s IPS target since 2005?</w:t>
      </w:r>
    </w:p>
    <w:p w:rsidR="00A02D8B" w:rsidRPr="009C1832" w:rsidRDefault="00903A8A" w:rsidP="009C1832">
      <w:pPr>
        <w:numPr>
          <w:ilvl w:val="0"/>
          <w:numId w:val="1"/>
        </w:numPr>
        <w:ind w:left="0" w:firstLine="0"/>
        <w:rPr>
          <w:rFonts w:ascii="Verdana" w:hAnsi="Verdana"/>
        </w:rPr>
      </w:pPr>
      <w:r w:rsidRPr="009C1832">
        <w:rPr>
          <w:rFonts w:ascii="Verdana" w:hAnsi="Verdana"/>
        </w:rPr>
        <w:t>The scale of what is at stake may be seen by imagining the economic cost had</w:t>
      </w:r>
      <w:r w:rsidR="009A37EC" w:rsidRPr="009C1832">
        <w:rPr>
          <w:rFonts w:ascii="Verdana" w:hAnsi="Verdana"/>
        </w:rPr>
        <w:t xml:space="preserve"> th</w:t>
      </w:r>
      <w:r w:rsidRPr="009C1832">
        <w:rPr>
          <w:rFonts w:ascii="Verdana" w:hAnsi="Verdana"/>
        </w:rPr>
        <w:t xml:space="preserve">e inflow of non-EU students </w:t>
      </w:r>
      <w:r w:rsidR="009A37EC" w:rsidRPr="009C1832">
        <w:rPr>
          <w:rFonts w:ascii="Verdana" w:hAnsi="Verdana"/>
        </w:rPr>
        <w:t xml:space="preserve">been successfully capped </w:t>
      </w:r>
      <w:r w:rsidRPr="009C1832">
        <w:rPr>
          <w:rFonts w:ascii="Verdana" w:hAnsi="Verdana"/>
        </w:rPr>
        <w:t xml:space="preserve">since 2005 </w:t>
      </w:r>
      <w:r w:rsidR="009A37EC" w:rsidRPr="009C1832">
        <w:rPr>
          <w:rFonts w:ascii="Verdana" w:hAnsi="Verdana"/>
        </w:rPr>
        <w:t xml:space="preserve">at the level necessary to </w:t>
      </w:r>
      <w:r w:rsidR="004D1F2F" w:rsidRPr="009C1832">
        <w:rPr>
          <w:rFonts w:ascii="Verdana" w:hAnsi="Verdana"/>
        </w:rPr>
        <w:t>limit</w:t>
      </w:r>
      <w:r w:rsidR="009A37EC" w:rsidRPr="009C1832">
        <w:rPr>
          <w:rFonts w:ascii="Verdana" w:hAnsi="Verdana"/>
        </w:rPr>
        <w:t xml:space="preserve"> net immigration via the student route </w:t>
      </w:r>
      <w:r w:rsidR="004D1F2F" w:rsidRPr="009C1832">
        <w:rPr>
          <w:rFonts w:ascii="Verdana" w:hAnsi="Verdana"/>
        </w:rPr>
        <w:t>to the</w:t>
      </w:r>
      <w:r w:rsidR="009A37EC" w:rsidRPr="009C1832">
        <w:rPr>
          <w:rFonts w:ascii="Verdana" w:hAnsi="Verdana"/>
        </w:rPr>
        <w:t xml:space="preserve"> </w:t>
      </w:r>
      <w:r w:rsidR="00B6430F" w:rsidRPr="009C1832">
        <w:rPr>
          <w:rFonts w:ascii="Verdana" w:hAnsi="Verdana"/>
        </w:rPr>
        <w:t>c</w:t>
      </w:r>
      <w:r w:rsidR="009A37EC" w:rsidRPr="009C1832">
        <w:rPr>
          <w:rFonts w:ascii="Verdana" w:hAnsi="Verdana"/>
        </w:rPr>
        <w:t>2</w:t>
      </w:r>
      <w:r w:rsidR="00B6430F" w:rsidRPr="009C1832">
        <w:rPr>
          <w:rFonts w:ascii="Verdana" w:hAnsi="Verdana"/>
        </w:rPr>
        <w:t>3,000</w:t>
      </w:r>
      <w:r w:rsidR="004D1F2F" w:rsidRPr="009C1832">
        <w:rPr>
          <w:rFonts w:ascii="Verdana" w:hAnsi="Verdana"/>
        </w:rPr>
        <w:t xml:space="preserve"> </w:t>
      </w:r>
      <w:r w:rsidR="00B6430F" w:rsidRPr="009C1832">
        <w:rPr>
          <w:rFonts w:ascii="Verdana" w:hAnsi="Verdana"/>
        </w:rPr>
        <w:t>target in</w:t>
      </w:r>
      <w:r w:rsidR="004D1F2F" w:rsidRPr="009C1832">
        <w:rPr>
          <w:rFonts w:ascii="Verdana" w:hAnsi="Verdana"/>
        </w:rPr>
        <w:t xml:space="preserve"> MAC calculations</w:t>
      </w:r>
      <w:r w:rsidRPr="009C1832">
        <w:rPr>
          <w:rFonts w:ascii="Verdana" w:hAnsi="Verdana"/>
        </w:rPr>
        <w:t>.</w:t>
      </w:r>
      <w:r w:rsidR="00A31CFC" w:rsidRPr="009C1832">
        <w:rPr>
          <w:rFonts w:ascii="Verdana" w:hAnsi="Verdana"/>
        </w:rPr>
        <w:t xml:space="preserve"> T</w:t>
      </w:r>
      <w:r w:rsidR="00262C6B" w:rsidRPr="009C1832">
        <w:rPr>
          <w:rFonts w:ascii="Verdana" w:hAnsi="Verdana"/>
        </w:rPr>
        <w:t>he impact on UK PLC would have been awesome</w:t>
      </w:r>
      <w:r w:rsidR="00A31CFC" w:rsidRPr="009C1832">
        <w:rPr>
          <w:rFonts w:ascii="Verdana" w:hAnsi="Verdana"/>
        </w:rPr>
        <w:t xml:space="preserve"> in terms of both the balance of payments and job creation</w:t>
      </w:r>
      <w:r w:rsidR="00262C6B" w:rsidRPr="009C1832">
        <w:rPr>
          <w:rFonts w:ascii="Verdana" w:hAnsi="Verdana"/>
        </w:rPr>
        <w:t>.</w:t>
      </w:r>
      <w:r w:rsidR="008C1FE2" w:rsidRPr="009C1832">
        <w:rPr>
          <w:rFonts w:ascii="Verdana" w:hAnsi="Verdana"/>
        </w:rPr>
        <w:t xml:space="preserve"> </w:t>
      </w:r>
      <w:r w:rsidR="0030414E" w:rsidRPr="009C1832">
        <w:rPr>
          <w:rFonts w:ascii="Verdana" w:hAnsi="Verdana"/>
        </w:rPr>
        <w:t xml:space="preserve"> </w:t>
      </w:r>
    </w:p>
    <w:p w:rsidR="004D1F2F" w:rsidRPr="009C1832" w:rsidRDefault="008C1FE2" w:rsidP="009C1832">
      <w:pPr>
        <w:numPr>
          <w:ilvl w:val="0"/>
          <w:numId w:val="1"/>
        </w:numPr>
        <w:ind w:left="0" w:firstLine="0"/>
        <w:rPr>
          <w:rFonts w:ascii="Verdana" w:hAnsi="Verdana"/>
        </w:rPr>
      </w:pPr>
      <w:r w:rsidRPr="009C1832">
        <w:rPr>
          <w:rFonts w:ascii="Verdana" w:hAnsi="Verdana"/>
        </w:rPr>
        <w:t xml:space="preserve">Unlike most pieces of counter-factual history, </w:t>
      </w:r>
      <w:r w:rsidR="00A02D8B" w:rsidRPr="009C1832">
        <w:rPr>
          <w:rFonts w:ascii="Verdana" w:hAnsi="Verdana"/>
        </w:rPr>
        <w:t>it would be possible</w:t>
      </w:r>
      <w:r w:rsidR="009A37EC" w:rsidRPr="009C1832">
        <w:rPr>
          <w:rFonts w:ascii="Verdana" w:hAnsi="Verdana"/>
        </w:rPr>
        <w:t xml:space="preserve"> to</w:t>
      </w:r>
      <w:r w:rsidRPr="009C1832">
        <w:rPr>
          <w:rFonts w:ascii="Verdana" w:hAnsi="Verdana"/>
        </w:rPr>
        <w:t xml:space="preserve"> measure </w:t>
      </w:r>
      <w:r w:rsidR="0030414E" w:rsidRPr="009C1832">
        <w:rPr>
          <w:rFonts w:ascii="Verdana" w:hAnsi="Verdana"/>
        </w:rPr>
        <w:t>the</w:t>
      </w:r>
      <w:r w:rsidR="004D1F2F" w:rsidRPr="009C1832">
        <w:rPr>
          <w:rFonts w:ascii="Verdana" w:hAnsi="Verdana"/>
        </w:rPr>
        <w:t xml:space="preserve"> impact in lost students and lost revenue with some precision</w:t>
      </w:r>
      <w:r w:rsidR="00B6430F" w:rsidRPr="009C1832">
        <w:rPr>
          <w:rFonts w:ascii="Verdana" w:hAnsi="Verdana"/>
        </w:rPr>
        <w:t xml:space="preserve"> because annual IPS inflow figures and actual student fee income </w:t>
      </w:r>
      <w:r w:rsidR="00FB4FA6" w:rsidRPr="009C1832">
        <w:rPr>
          <w:rFonts w:ascii="Verdana" w:hAnsi="Verdana"/>
        </w:rPr>
        <w:t xml:space="preserve">since 2005 </w:t>
      </w:r>
      <w:r w:rsidR="00B6430F" w:rsidRPr="009C1832">
        <w:rPr>
          <w:rFonts w:ascii="Verdana" w:hAnsi="Verdana"/>
        </w:rPr>
        <w:t>are there for all to see</w:t>
      </w:r>
      <w:r w:rsidR="004D1F2F" w:rsidRPr="009C1832">
        <w:rPr>
          <w:rFonts w:ascii="Verdana" w:hAnsi="Verdana"/>
        </w:rPr>
        <w:t>.  The</w:t>
      </w:r>
      <w:r w:rsidR="0030414E" w:rsidRPr="009C1832">
        <w:rPr>
          <w:rFonts w:ascii="Verdana" w:hAnsi="Verdana"/>
        </w:rPr>
        <w:t xml:space="preserve"> permitted inflow for each acad</w:t>
      </w:r>
      <w:r w:rsidR="002D62FF" w:rsidRPr="009C1832">
        <w:rPr>
          <w:rFonts w:ascii="Verdana" w:hAnsi="Verdana"/>
        </w:rPr>
        <w:t xml:space="preserve">emic year </w:t>
      </w:r>
      <w:r w:rsidR="004D1F2F" w:rsidRPr="009C1832">
        <w:rPr>
          <w:rFonts w:ascii="Verdana" w:hAnsi="Verdana"/>
        </w:rPr>
        <w:t>would have been 2</w:t>
      </w:r>
      <w:r w:rsidR="00B6430F" w:rsidRPr="009C1832">
        <w:rPr>
          <w:rFonts w:ascii="Verdana" w:hAnsi="Verdana"/>
        </w:rPr>
        <w:t>3,000</w:t>
      </w:r>
      <w:r w:rsidR="004D1F2F" w:rsidRPr="009C1832">
        <w:rPr>
          <w:rFonts w:ascii="Verdana" w:hAnsi="Verdana"/>
        </w:rPr>
        <w:t xml:space="preserve"> plus the annual student outflow captured by the IPS</w:t>
      </w:r>
      <w:r w:rsidR="00B6430F" w:rsidRPr="009C1832">
        <w:rPr>
          <w:rFonts w:ascii="Verdana" w:hAnsi="Verdana"/>
        </w:rPr>
        <w:t xml:space="preserve">. This latter figure would </w:t>
      </w:r>
      <w:r w:rsidR="00D266B6" w:rsidRPr="009C1832">
        <w:rPr>
          <w:rFonts w:ascii="Verdana" w:hAnsi="Verdana"/>
        </w:rPr>
        <w:t>presumably have fallen</w:t>
      </w:r>
      <w:r w:rsidR="004D1F2F" w:rsidRPr="009C1832">
        <w:rPr>
          <w:rFonts w:ascii="Verdana" w:hAnsi="Verdana"/>
        </w:rPr>
        <w:t xml:space="preserve"> each year </w:t>
      </w:r>
      <w:r w:rsidR="0030414E" w:rsidRPr="009C1832">
        <w:rPr>
          <w:rFonts w:ascii="Verdana" w:hAnsi="Verdana"/>
        </w:rPr>
        <w:t xml:space="preserve">to reflect the precipitate decline </w:t>
      </w:r>
      <w:r w:rsidR="0030414E" w:rsidRPr="009C1832">
        <w:rPr>
          <w:rFonts w:ascii="Verdana" w:hAnsi="Verdana"/>
        </w:rPr>
        <w:lastRenderedPageBreak/>
        <w:t xml:space="preserve">there would have been in non-EU students available for outflow.  </w:t>
      </w:r>
      <w:r w:rsidR="00A31CFC" w:rsidRPr="009C1832">
        <w:rPr>
          <w:rFonts w:ascii="Verdana" w:hAnsi="Verdana"/>
        </w:rPr>
        <w:t xml:space="preserve">The assumption </w:t>
      </w:r>
      <w:r w:rsidR="00A02D8B" w:rsidRPr="009C1832">
        <w:rPr>
          <w:rFonts w:ascii="Verdana" w:hAnsi="Verdana"/>
        </w:rPr>
        <w:t>may</w:t>
      </w:r>
      <w:r w:rsidR="00D266B6" w:rsidRPr="009C1832">
        <w:rPr>
          <w:rFonts w:ascii="Verdana" w:hAnsi="Verdana"/>
        </w:rPr>
        <w:t xml:space="preserve"> </w:t>
      </w:r>
      <w:r w:rsidR="00A31CFC" w:rsidRPr="009C1832">
        <w:rPr>
          <w:rFonts w:ascii="Verdana" w:hAnsi="Verdana"/>
        </w:rPr>
        <w:t xml:space="preserve">be made that this </w:t>
      </w:r>
      <w:r w:rsidR="00B6430F" w:rsidRPr="009C1832">
        <w:rPr>
          <w:rFonts w:ascii="Verdana" w:hAnsi="Verdana"/>
        </w:rPr>
        <w:t xml:space="preserve">modest </w:t>
      </w:r>
      <w:r w:rsidR="00A31CFC" w:rsidRPr="009C1832">
        <w:rPr>
          <w:rFonts w:ascii="Verdana" w:hAnsi="Verdana"/>
        </w:rPr>
        <w:t xml:space="preserve">quota of non-EU students </w:t>
      </w:r>
      <w:r w:rsidR="00671036" w:rsidRPr="009C1832">
        <w:rPr>
          <w:rFonts w:ascii="Verdana" w:hAnsi="Verdana"/>
        </w:rPr>
        <w:t>would have been</w:t>
      </w:r>
      <w:r w:rsidR="00A31CFC" w:rsidRPr="009C1832">
        <w:rPr>
          <w:rFonts w:ascii="Verdana" w:hAnsi="Verdana"/>
        </w:rPr>
        <w:t xml:space="preserve"> reserved entirely for HE recruitment. </w:t>
      </w:r>
      <w:r w:rsidR="0030414E" w:rsidRPr="009C1832">
        <w:rPr>
          <w:rFonts w:ascii="Verdana" w:hAnsi="Verdana"/>
        </w:rPr>
        <w:t>Th</w:t>
      </w:r>
      <w:r w:rsidR="00A31CFC" w:rsidRPr="009C1832">
        <w:rPr>
          <w:rFonts w:ascii="Verdana" w:hAnsi="Verdana"/>
        </w:rPr>
        <w:t>e</w:t>
      </w:r>
      <w:r w:rsidR="0030414E" w:rsidRPr="009C1832">
        <w:rPr>
          <w:rFonts w:ascii="Verdana" w:hAnsi="Verdana"/>
        </w:rPr>
        <w:t xml:space="preserve"> permitted inflow </w:t>
      </w:r>
      <w:r w:rsidR="00A31CFC" w:rsidRPr="009C1832">
        <w:rPr>
          <w:rFonts w:ascii="Verdana" w:hAnsi="Verdana"/>
        </w:rPr>
        <w:t>can thus be</w:t>
      </w:r>
      <w:r w:rsidR="0030414E" w:rsidRPr="009C1832">
        <w:rPr>
          <w:rFonts w:ascii="Verdana" w:hAnsi="Verdana"/>
        </w:rPr>
        <w:t xml:space="preserve"> subtracted from the number of </w:t>
      </w:r>
      <w:r w:rsidR="00FB4FA6" w:rsidRPr="009C1832">
        <w:rPr>
          <w:rFonts w:ascii="Verdana" w:hAnsi="Verdana"/>
        </w:rPr>
        <w:t>new</w:t>
      </w:r>
      <w:r w:rsidR="006456D4" w:rsidRPr="009C1832">
        <w:rPr>
          <w:rFonts w:ascii="Verdana" w:hAnsi="Verdana"/>
        </w:rPr>
        <w:t xml:space="preserve"> </w:t>
      </w:r>
      <w:r w:rsidR="0030414E" w:rsidRPr="009C1832">
        <w:rPr>
          <w:rFonts w:ascii="Verdana" w:hAnsi="Verdana"/>
        </w:rPr>
        <w:t xml:space="preserve">non-EU </w:t>
      </w:r>
      <w:r w:rsidR="00262C6B" w:rsidRPr="009C1832">
        <w:rPr>
          <w:rFonts w:ascii="Verdana" w:hAnsi="Verdana"/>
        </w:rPr>
        <w:t xml:space="preserve">HE </w:t>
      </w:r>
      <w:r w:rsidR="0030414E" w:rsidRPr="009C1832">
        <w:rPr>
          <w:rFonts w:ascii="Verdana" w:hAnsi="Verdana"/>
        </w:rPr>
        <w:t xml:space="preserve">students </w:t>
      </w:r>
      <w:r w:rsidR="00262C6B" w:rsidRPr="009C1832">
        <w:rPr>
          <w:rFonts w:ascii="Verdana" w:hAnsi="Verdana"/>
        </w:rPr>
        <w:t>requiring a visa</w:t>
      </w:r>
      <w:r w:rsidR="0030414E" w:rsidRPr="009C1832">
        <w:rPr>
          <w:rFonts w:ascii="Verdana" w:hAnsi="Verdana"/>
        </w:rPr>
        <w:t xml:space="preserve"> </w:t>
      </w:r>
      <w:r w:rsidR="00FB4FA6" w:rsidRPr="009C1832">
        <w:rPr>
          <w:rFonts w:ascii="Verdana" w:hAnsi="Verdana"/>
        </w:rPr>
        <w:t xml:space="preserve">who arrived </w:t>
      </w:r>
      <w:r w:rsidR="0030414E" w:rsidRPr="009C1832">
        <w:rPr>
          <w:rFonts w:ascii="Verdana" w:hAnsi="Verdana"/>
        </w:rPr>
        <w:t xml:space="preserve">each year since 2005 and the loss in fee income (averaging about £10,000 </w:t>
      </w:r>
      <w:r w:rsidR="009A37EC" w:rsidRPr="009C1832">
        <w:rPr>
          <w:rFonts w:ascii="Verdana" w:hAnsi="Verdana"/>
        </w:rPr>
        <w:t xml:space="preserve">per year </w:t>
      </w:r>
      <w:r w:rsidR="0030414E" w:rsidRPr="009C1832">
        <w:rPr>
          <w:rFonts w:ascii="Verdana" w:hAnsi="Verdana"/>
        </w:rPr>
        <w:t xml:space="preserve">per student) calculated. </w:t>
      </w:r>
      <w:r w:rsidR="006456D4" w:rsidRPr="009C1832">
        <w:rPr>
          <w:rFonts w:ascii="Verdana" w:hAnsi="Verdana"/>
        </w:rPr>
        <w:t xml:space="preserve"> </w:t>
      </w:r>
    </w:p>
    <w:p w:rsidR="008D4988" w:rsidRPr="009C1832" w:rsidRDefault="00D266B6" w:rsidP="009C1832">
      <w:pPr>
        <w:numPr>
          <w:ilvl w:val="0"/>
          <w:numId w:val="1"/>
        </w:numPr>
        <w:ind w:left="0" w:firstLine="0"/>
        <w:rPr>
          <w:rFonts w:ascii="Verdana" w:hAnsi="Verdana"/>
        </w:rPr>
      </w:pPr>
      <w:r w:rsidRPr="009C1832">
        <w:rPr>
          <w:rFonts w:ascii="Verdana" w:hAnsi="Verdana"/>
        </w:rPr>
        <w:t>The order of magnitude</w:t>
      </w:r>
      <w:r w:rsidR="00262C6B" w:rsidRPr="009C1832">
        <w:rPr>
          <w:rFonts w:ascii="Verdana" w:hAnsi="Verdana"/>
        </w:rPr>
        <w:t xml:space="preserve"> of the economic damage wrought</w:t>
      </w:r>
      <w:r w:rsidR="004D1F2F" w:rsidRPr="009C1832">
        <w:rPr>
          <w:rFonts w:ascii="Verdana" w:hAnsi="Verdana"/>
        </w:rPr>
        <w:t xml:space="preserve"> </w:t>
      </w:r>
      <w:r w:rsidR="00262C6B" w:rsidRPr="009C1832">
        <w:rPr>
          <w:rFonts w:ascii="Verdana" w:hAnsi="Verdana"/>
        </w:rPr>
        <w:t xml:space="preserve">can be </w:t>
      </w:r>
      <w:r w:rsidRPr="009C1832">
        <w:rPr>
          <w:rFonts w:ascii="Verdana" w:hAnsi="Verdana"/>
        </w:rPr>
        <w:t>seen</w:t>
      </w:r>
      <w:r w:rsidR="00262C6B" w:rsidRPr="009C1832">
        <w:rPr>
          <w:rFonts w:ascii="Verdana" w:hAnsi="Verdana"/>
        </w:rPr>
        <w:t xml:space="preserve"> by using HESA’s annual c</w:t>
      </w:r>
      <w:r w:rsidR="00A31CFC" w:rsidRPr="009C1832">
        <w:rPr>
          <w:rFonts w:ascii="Verdana" w:hAnsi="Verdana"/>
        </w:rPr>
        <w:t>ount of first year enrolments of</w:t>
      </w:r>
      <w:r w:rsidR="00262C6B" w:rsidRPr="009C1832">
        <w:rPr>
          <w:rFonts w:ascii="Verdana" w:hAnsi="Verdana"/>
        </w:rPr>
        <w:t xml:space="preserve"> non-EU students on HE courses. </w:t>
      </w:r>
      <w:r w:rsidR="00FE15A5" w:rsidRPr="009C1832">
        <w:rPr>
          <w:rFonts w:ascii="Verdana" w:hAnsi="Verdana"/>
        </w:rPr>
        <w:t xml:space="preserve">It should be noted, again, </w:t>
      </w:r>
      <w:r w:rsidR="00A31CFC" w:rsidRPr="009C1832">
        <w:rPr>
          <w:rFonts w:ascii="Verdana" w:hAnsi="Verdana"/>
        </w:rPr>
        <w:t>that this HESA data includes a minority of non-EU students progressing to a higher degree or not required to have a visa despite being domiciled abroad. However, t</w:t>
      </w:r>
      <w:r w:rsidR="006456D4" w:rsidRPr="009C1832">
        <w:rPr>
          <w:rFonts w:ascii="Verdana" w:hAnsi="Verdana"/>
        </w:rPr>
        <w:t xml:space="preserve">he adjustment needed </w:t>
      </w:r>
      <w:r w:rsidR="00A31CFC" w:rsidRPr="009C1832">
        <w:rPr>
          <w:rFonts w:ascii="Verdana" w:hAnsi="Verdana"/>
        </w:rPr>
        <w:t xml:space="preserve">to allow for this </w:t>
      </w:r>
      <w:r w:rsidR="006456D4" w:rsidRPr="009C1832">
        <w:rPr>
          <w:rFonts w:ascii="Verdana" w:hAnsi="Verdana"/>
        </w:rPr>
        <w:t xml:space="preserve">would be far outweighed by the additional loss of fee income and economic activity arising from the </w:t>
      </w:r>
      <w:r w:rsidR="00A31CFC" w:rsidRPr="009C1832">
        <w:rPr>
          <w:rFonts w:ascii="Verdana" w:hAnsi="Verdana"/>
        </w:rPr>
        <w:t xml:space="preserve">ban on </w:t>
      </w:r>
      <w:r w:rsidR="006456D4" w:rsidRPr="009C1832">
        <w:rPr>
          <w:rFonts w:ascii="Verdana" w:hAnsi="Verdana"/>
        </w:rPr>
        <w:t xml:space="preserve">all non-EU recruitment below </w:t>
      </w:r>
      <w:proofErr w:type="gramStart"/>
      <w:r w:rsidR="006456D4" w:rsidRPr="009C1832">
        <w:rPr>
          <w:rFonts w:ascii="Verdana" w:hAnsi="Verdana"/>
        </w:rPr>
        <w:t>HE</w:t>
      </w:r>
      <w:proofErr w:type="gramEnd"/>
      <w:r w:rsidR="006456D4" w:rsidRPr="009C1832">
        <w:rPr>
          <w:rFonts w:ascii="Verdana" w:hAnsi="Verdana"/>
        </w:rPr>
        <w:t>.</w:t>
      </w:r>
    </w:p>
    <w:p w:rsidR="008D4988" w:rsidRPr="009C1832" w:rsidRDefault="002D62FF" w:rsidP="009C1832">
      <w:pPr>
        <w:numPr>
          <w:ilvl w:val="0"/>
          <w:numId w:val="1"/>
        </w:numPr>
        <w:ind w:left="0" w:firstLine="0"/>
        <w:rPr>
          <w:rFonts w:ascii="Verdana" w:hAnsi="Verdana"/>
        </w:rPr>
      </w:pPr>
      <w:r w:rsidRPr="009C1832">
        <w:rPr>
          <w:rFonts w:ascii="Verdana" w:hAnsi="Verdana"/>
        </w:rPr>
        <w:t>In round figures</w:t>
      </w:r>
      <w:r w:rsidR="00A31CFC" w:rsidRPr="009C1832">
        <w:rPr>
          <w:rFonts w:ascii="Verdana" w:hAnsi="Verdana"/>
        </w:rPr>
        <w:t>,</w:t>
      </w:r>
      <w:r w:rsidRPr="009C1832">
        <w:rPr>
          <w:rFonts w:ascii="Verdana" w:hAnsi="Verdana"/>
        </w:rPr>
        <w:t xml:space="preserve"> t</w:t>
      </w:r>
      <w:r w:rsidR="0030414E" w:rsidRPr="009C1832">
        <w:rPr>
          <w:rFonts w:ascii="Verdana" w:hAnsi="Verdana"/>
        </w:rPr>
        <w:t xml:space="preserve">he </w:t>
      </w:r>
      <w:r w:rsidR="00903A8A" w:rsidRPr="009C1832">
        <w:rPr>
          <w:rFonts w:ascii="Verdana" w:hAnsi="Verdana"/>
        </w:rPr>
        <w:t>£</w:t>
      </w:r>
      <w:r w:rsidR="0030414E" w:rsidRPr="009C1832">
        <w:rPr>
          <w:rFonts w:ascii="Verdana" w:hAnsi="Verdana"/>
        </w:rPr>
        <w:t xml:space="preserve">2.3bn fee income in 2008/9 that the Home Secretary celebrates in her introduction to the Consultation would have been cut </w:t>
      </w:r>
      <w:proofErr w:type="gramStart"/>
      <w:r w:rsidR="0030414E" w:rsidRPr="009C1832">
        <w:rPr>
          <w:rFonts w:ascii="Verdana" w:hAnsi="Verdana"/>
        </w:rPr>
        <w:t>to</w:t>
      </w:r>
      <w:proofErr w:type="gramEnd"/>
      <w:r w:rsidR="0030414E" w:rsidRPr="009C1832">
        <w:rPr>
          <w:rFonts w:ascii="Verdana" w:hAnsi="Verdana"/>
        </w:rPr>
        <w:t xml:space="preserve"> </w:t>
      </w:r>
      <w:r w:rsidR="00903A8A" w:rsidRPr="009C1832">
        <w:rPr>
          <w:rFonts w:ascii="Verdana" w:hAnsi="Verdana"/>
        </w:rPr>
        <w:t>little over £1</w:t>
      </w:r>
      <w:r w:rsidR="0030414E" w:rsidRPr="009C1832">
        <w:rPr>
          <w:rFonts w:ascii="Verdana" w:hAnsi="Verdana"/>
        </w:rPr>
        <w:t>bn. By 2010, IPS outflow would have fallen to</w:t>
      </w:r>
      <w:r w:rsidR="008D4988" w:rsidRPr="009C1832">
        <w:rPr>
          <w:rFonts w:ascii="Verdana" w:hAnsi="Verdana"/>
        </w:rPr>
        <w:t xml:space="preserve"> </w:t>
      </w:r>
      <w:r w:rsidRPr="009C1832">
        <w:rPr>
          <w:rFonts w:ascii="Verdana" w:hAnsi="Verdana"/>
        </w:rPr>
        <w:t xml:space="preserve">about </w:t>
      </w:r>
      <w:r w:rsidR="0030414E" w:rsidRPr="009C1832">
        <w:rPr>
          <w:rFonts w:ascii="Verdana" w:hAnsi="Verdana"/>
        </w:rPr>
        <w:t>15,000, making the maximum acceptable student inflow 38,000</w:t>
      </w:r>
      <w:r w:rsidR="008D4988" w:rsidRPr="009C1832">
        <w:rPr>
          <w:rFonts w:ascii="Verdana" w:hAnsi="Verdana"/>
        </w:rPr>
        <w:t xml:space="preserve"> -</w:t>
      </w:r>
      <w:r w:rsidR="00A31CFC" w:rsidRPr="009C1832">
        <w:rPr>
          <w:rFonts w:ascii="Verdana" w:hAnsi="Verdana"/>
        </w:rPr>
        <w:t xml:space="preserve"> compared to the c150</w:t>
      </w:r>
      <w:proofErr w:type="gramStart"/>
      <w:r w:rsidR="00A31CFC" w:rsidRPr="009C1832">
        <w:rPr>
          <w:rFonts w:ascii="Verdana" w:hAnsi="Verdana"/>
        </w:rPr>
        <w:t>,000</w:t>
      </w:r>
      <w:proofErr w:type="gramEnd"/>
      <w:r w:rsidR="00A31CFC" w:rsidRPr="009C1832">
        <w:rPr>
          <w:rFonts w:ascii="Verdana" w:hAnsi="Verdana"/>
        </w:rPr>
        <w:t xml:space="preserve"> </w:t>
      </w:r>
      <w:r w:rsidR="00D447FE" w:rsidRPr="009C1832">
        <w:rPr>
          <w:rFonts w:ascii="Verdana" w:hAnsi="Verdana"/>
        </w:rPr>
        <w:t xml:space="preserve">full-time </w:t>
      </w:r>
      <w:r w:rsidR="00A31CFC" w:rsidRPr="009C1832">
        <w:rPr>
          <w:rFonts w:ascii="Verdana" w:hAnsi="Verdana"/>
        </w:rPr>
        <w:t>first-</w:t>
      </w:r>
      <w:r w:rsidR="008D4988" w:rsidRPr="009C1832">
        <w:rPr>
          <w:rFonts w:ascii="Verdana" w:hAnsi="Verdana"/>
        </w:rPr>
        <w:t>year</w:t>
      </w:r>
      <w:r w:rsidR="00A31CFC" w:rsidRPr="009C1832">
        <w:rPr>
          <w:rFonts w:ascii="Verdana" w:hAnsi="Verdana"/>
        </w:rPr>
        <w:t xml:space="preserve"> non-EU</w:t>
      </w:r>
      <w:r w:rsidR="008D4988" w:rsidRPr="009C1832">
        <w:rPr>
          <w:rFonts w:ascii="Verdana" w:hAnsi="Verdana"/>
        </w:rPr>
        <w:t xml:space="preserve"> enrolments </w:t>
      </w:r>
      <w:r w:rsidR="00A31CFC" w:rsidRPr="009C1832">
        <w:rPr>
          <w:rFonts w:ascii="Verdana" w:hAnsi="Verdana"/>
        </w:rPr>
        <w:t xml:space="preserve">in </w:t>
      </w:r>
      <w:r w:rsidR="008D4988" w:rsidRPr="009C1832">
        <w:rPr>
          <w:rFonts w:ascii="Verdana" w:hAnsi="Verdana"/>
        </w:rPr>
        <w:t>2010</w:t>
      </w:r>
      <w:r w:rsidR="0030414E" w:rsidRPr="009C1832">
        <w:rPr>
          <w:rFonts w:ascii="Verdana" w:hAnsi="Verdana"/>
        </w:rPr>
        <w:t xml:space="preserve">. </w:t>
      </w:r>
      <w:r w:rsidRPr="009C1832">
        <w:rPr>
          <w:rFonts w:ascii="Verdana" w:hAnsi="Verdana"/>
        </w:rPr>
        <w:t>On that basis,</w:t>
      </w:r>
      <w:r w:rsidR="00A31CFC" w:rsidRPr="009C1832">
        <w:rPr>
          <w:rFonts w:ascii="Verdana" w:hAnsi="Verdana"/>
        </w:rPr>
        <w:t xml:space="preserve"> </w:t>
      </w:r>
      <w:r w:rsidRPr="009C1832">
        <w:rPr>
          <w:rFonts w:ascii="Verdana" w:hAnsi="Verdana"/>
        </w:rPr>
        <w:t>HE</w:t>
      </w:r>
      <w:r w:rsidR="008D4988" w:rsidRPr="009C1832">
        <w:rPr>
          <w:rFonts w:ascii="Verdana" w:hAnsi="Verdana"/>
        </w:rPr>
        <w:t xml:space="preserve"> fee income in 2010/11 would have been </w:t>
      </w:r>
      <w:r w:rsidR="00903A8A" w:rsidRPr="009C1832">
        <w:rPr>
          <w:rFonts w:ascii="Verdana" w:hAnsi="Verdana"/>
        </w:rPr>
        <w:t>some £1.8</w:t>
      </w:r>
      <w:r w:rsidR="008D4988" w:rsidRPr="009C1832">
        <w:rPr>
          <w:rFonts w:ascii="Verdana" w:hAnsi="Verdana"/>
        </w:rPr>
        <w:t>bn lower than it actually was. The cumulative loss to the b</w:t>
      </w:r>
      <w:r w:rsidR="00671036" w:rsidRPr="009C1832">
        <w:rPr>
          <w:rFonts w:ascii="Verdana" w:hAnsi="Verdana"/>
        </w:rPr>
        <w:t xml:space="preserve">alance of payments from </w:t>
      </w:r>
      <w:r w:rsidR="008D4988" w:rsidRPr="009C1832">
        <w:rPr>
          <w:rFonts w:ascii="Verdana" w:hAnsi="Verdana"/>
        </w:rPr>
        <w:t xml:space="preserve">fees alone between 2005/6 and 2010/11 would have been </w:t>
      </w:r>
      <w:r w:rsidR="00A02D8B" w:rsidRPr="009C1832">
        <w:rPr>
          <w:rFonts w:ascii="Verdana" w:hAnsi="Verdana"/>
        </w:rPr>
        <w:t xml:space="preserve">some </w:t>
      </w:r>
      <w:r w:rsidR="008D4988" w:rsidRPr="009C1832">
        <w:rPr>
          <w:rFonts w:ascii="Verdana" w:hAnsi="Verdana"/>
        </w:rPr>
        <w:t xml:space="preserve">£6bn. Adding off-campus </w:t>
      </w:r>
      <w:proofErr w:type="gramStart"/>
      <w:r w:rsidR="008D4988" w:rsidRPr="009C1832">
        <w:rPr>
          <w:rFonts w:ascii="Verdana" w:hAnsi="Verdana"/>
        </w:rPr>
        <w:t>expenditure,</w:t>
      </w:r>
      <w:proofErr w:type="gramEnd"/>
      <w:r w:rsidR="008D4988" w:rsidRPr="009C1832">
        <w:rPr>
          <w:rFonts w:ascii="Verdana" w:hAnsi="Verdana"/>
        </w:rPr>
        <w:t xml:space="preserve"> the negative impact would have </w:t>
      </w:r>
      <w:r w:rsidR="00A02D8B" w:rsidRPr="009C1832">
        <w:rPr>
          <w:rFonts w:ascii="Verdana" w:hAnsi="Verdana"/>
        </w:rPr>
        <w:t>exceeded</w:t>
      </w:r>
      <w:r w:rsidR="008D4988" w:rsidRPr="009C1832">
        <w:rPr>
          <w:rFonts w:ascii="Verdana" w:hAnsi="Verdana"/>
        </w:rPr>
        <w:t xml:space="preserve"> £12bn. </w:t>
      </w:r>
    </w:p>
    <w:p w:rsidR="00671036" w:rsidRPr="009C1832" w:rsidRDefault="00631E8B" w:rsidP="009C1832">
      <w:pPr>
        <w:numPr>
          <w:ilvl w:val="0"/>
          <w:numId w:val="1"/>
        </w:numPr>
        <w:ind w:left="0" w:firstLine="0"/>
        <w:rPr>
          <w:rFonts w:ascii="Verdana" w:hAnsi="Verdana"/>
        </w:rPr>
      </w:pPr>
      <w:r w:rsidRPr="009C1832">
        <w:rPr>
          <w:rFonts w:ascii="Verdana" w:hAnsi="Verdana"/>
        </w:rPr>
        <w:t xml:space="preserve">Every other country in the world is delighted to nurture and expand a trade surplus in </w:t>
      </w:r>
      <w:proofErr w:type="gramStart"/>
      <w:r w:rsidRPr="009C1832">
        <w:rPr>
          <w:rFonts w:ascii="Verdana" w:hAnsi="Verdana"/>
        </w:rPr>
        <w:t>HE</w:t>
      </w:r>
      <w:proofErr w:type="gramEnd"/>
      <w:r w:rsidRPr="009C1832">
        <w:rPr>
          <w:rFonts w:ascii="Verdana" w:hAnsi="Verdana"/>
        </w:rPr>
        <w:t xml:space="preserve">. The US and Australia are currently vigorously nursing self-inflicted wounds arising from poorly targeted measures against abuse and negative perceptions by prospective international students. Both, of course, relish the prospect of Britain being misled by IPS into </w:t>
      </w:r>
      <w:r w:rsidR="008D4988" w:rsidRPr="009C1832">
        <w:rPr>
          <w:rFonts w:ascii="Verdana" w:hAnsi="Verdana"/>
        </w:rPr>
        <w:t>energetically</w:t>
      </w:r>
      <w:r w:rsidRPr="009C1832">
        <w:rPr>
          <w:rFonts w:ascii="Verdana" w:hAnsi="Verdana"/>
        </w:rPr>
        <w:t xml:space="preserve"> surrendering market share.</w:t>
      </w:r>
      <w:r w:rsidRPr="009C1832" w:rsidDel="002E1842">
        <w:rPr>
          <w:rFonts w:ascii="Verdana" w:hAnsi="Verdana"/>
        </w:rPr>
        <w:t xml:space="preserve"> </w:t>
      </w:r>
    </w:p>
    <w:p w:rsidR="00631E8B" w:rsidRPr="009C1832" w:rsidRDefault="00631E8B" w:rsidP="009C1832">
      <w:pPr>
        <w:rPr>
          <w:rFonts w:ascii="Verdana" w:hAnsi="Verdana"/>
          <w:b/>
        </w:rPr>
      </w:pPr>
      <w:r w:rsidRPr="009C1832">
        <w:rPr>
          <w:rFonts w:ascii="Verdana" w:hAnsi="Verdana"/>
          <w:b/>
        </w:rPr>
        <w:t>An exercise to cross-check the IPS figures</w:t>
      </w:r>
      <w:r w:rsidR="00DE22AB" w:rsidRPr="009C1832">
        <w:rPr>
          <w:rFonts w:ascii="Verdana" w:hAnsi="Verdana"/>
          <w:b/>
        </w:rPr>
        <w:t xml:space="preserve"> in the national interest</w:t>
      </w:r>
    </w:p>
    <w:p w:rsidR="00631E8B" w:rsidRPr="009C1832" w:rsidRDefault="00631E8B" w:rsidP="009C1832">
      <w:pPr>
        <w:numPr>
          <w:ilvl w:val="0"/>
          <w:numId w:val="1"/>
        </w:numPr>
        <w:ind w:left="0" w:firstLine="0"/>
        <w:rPr>
          <w:rFonts w:ascii="Verdana" w:hAnsi="Verdana"/>
        </w:rPr>
      </w:pPr>
      <w:r w:rsidRPr="009C1832">
        <w:rPr>
          <w:rFonts w:ascii="Verdana" w:hAnsi="Verdana"/>
        </w:rPr>
        <w:t>The stakes are sufficiently high for the country that it is in the national interest for a</w:t>
      </w:r>
      <w:r w:rsidR="00FE15A5" w:rsidRPr="009C1832">
        <w:rPr>
          <w:rFonts w:ascii="Verdana" w:hAnsi="Verdana"/>
        </w:rPr>
        <w:t xml:space="preserve">n urgent </w:t>
      </w:r>
      <w:r w:rsidRPr="009C1832">
        <w:rPr>
          <w:rFonts w:ascii="Verdana" w:hAnsi="Verdana"/>
        </w:rPr>
        <w:t xml:space="preserve">cross-checking of IPS data to be undertaken. </w:t>
      </w:r>
    </w:p>
    <w:p w:rsidR="00631E8B" w:rsidRPr="009C1832" w:rsidRDefault="00631E8B" w:rsidP="009C1832">
      <w:pPr>
        <w:numPr>
          <w:ilvl w:val="0"/>
          <w:numId w:val="1"/>
        </w:numPr>
        <w:ind w:left="0" w:firstLine="0"/>
        <w:rPr>
          <w:rFonts w:ascii="Verdana" w:hAnsi="Verdana"/>
        </w:rPr>
      </w:pPr>
      <w:r w:rsidRPr="009C1832">
        <w:rPr>
          <w:rFonts w:ascii="Verdana" w:hAnsi="Verdana"/>
        </w:rPr>
        <w:t>In 2008, the IPS estimates that 126,000 non-EU students entered the country and just 34,000 previously occupied as students departed.  This outflow figure seemed so implausibly low to MAC that it devoted much of its detailed Appendix B to the matter. Using conservative estimates of the average student stay, and making generous allowance for up to 10</w:t>
      </w:r>
      <w:r w:rsidR="002D4044">
        <w:rPr>
          <w:rFonts w:ascii="Verdana" w:hAnsi="Verdana"/>
        </w:rPr>
        <w:t xml:space="preserve"> per cent</w:t>
      </w:r>
      <w:r w:rsidRPr="009C1832">
        <w:rPr>
          <w:rFonts w:ascii="Verdana" w:hAnsi="Verdana"/>
        </w:rPr>
        <w:t xml:space="preserve"> securing a work visa after ending their studies, MAC estimated that the number of those who </w:t>
      </w:r>
      <w:r w:rsidR="00FE15A5" w:rsidRPr="009C1832">
        <w:rPr>
          <w:rFonts w:ascii="Verdana" w:hAnsi="Verdana"/>
        </w:rPr>
        <w:t xml:space="preserve">had originally </w:t>
      </w:r>
      <w:r w:rsidRPr="009C1832">
        <w:rPr>
          <w:rFonts w:ascii="Verdana" w:hAnsi="Verdana"/>
        </w:rPr>
        <w:t xml:space="preserve">entered the country </w:t>
      </w:r>
      <w:r w:rsidR="00FE15A5" w:rsidRPr="009C1832">
        <w:rPr>
          <w:rFonts w:ascii="Verdana" w:hAnsi="Verdana"/>
        </w:rPr>
        <w:t xml:space="preserve">to study and in 2008 </w:t>
      </w:r>
      <w:r w:rsidRPr="009C1832">
        <w:rPr>
          <w:rFonts w:ascii="Verdana" w:hAnsi="Verdana"/>
        </w:rPr>
        <w:t xml:space="preserve">departed was 80,000, not 34,000. </w:t>
      </w:r>
    </w:p>
    <w:p w:rsidR="00631E8B" w:rsidRPr="009C1832" w:rsidRDefault="00631E8B" w:rsidP="009C1832">
      <w:pPr>
        <w:numPr>
          <w:ilvl w:val="0"/>
          <w:numId w:val="1"/>
        </w:numPr>
        <w:ind w:left="0" w:firstLine="0"/>
        <w:rPr>
          <w:rFonts w:ascii="Verdana" w:hAnsi="Verdana"/>
        </w:rPr>
      </w:pPr>
      <w:r w:rsidRPr="009C1832">
        <w:rPr>
          <w:rFonts w:ascii="Verdana" w:hAnsi="Verdana"/>
        </w:rPr>
        <w:lastRenderedPageBreak/>
        <w:t>Faced with the yawning gap between the two estimates, MAC identified only two possible explanations: ‘First, a proportion of students may be overstaying their legal right to stay in the UK, or second, the IPS may potentially undercount outflows of students.’  (</w:t>
      </w:r>
      <w:r w:rsidRPr="009C1832">
        <w:rPr>
          <w:rFonts w:ascii="Verdana" w:hAnsi="Verdana"/>
          <w:i/>
        </w:rPr>
        <w:t>Limits to Tier 1 and 2</w:t>
      </w:r>
      <w:r w:rsidRPr="009C1832">
        <w:rPr>
          <w:rFonts w:ascii="Verdana" w:hAnsi="Verdana"/>
        </w:rPr>
        <w:t>, p.300) There the matter was left hanging and with it the good health of one of Britain’s major exports.</w:t>
      </w:r>
      <w:r w:rsidR="001E5FC3" w:rsidRPr="009C1832">
        <w:rPr>
          <w:rStyle w:val="FootnoteReference"/>
          <w:rFonts w:ascii="Verdana" w:hAnsi="Verdana"/>
        </w:rPr>
        <w:footnoteReference w:id="14"/>
      </w:r>
    </w:p>
    <w:p w:rsidR="00631E8B" w:rsidRPr="009C1832" w:rsidRDefault="00631E8B" w:rsidP="009C1832">
      <w:pPr>
        <w:numPr>
          <w:ilvl w:val="0"/>
          <w:numId w:val="1"/>
        </w:numPr>
        <w:ind w:left="0" w:firstLine="0"/>
        <w:rPr>
          <w:rFonts w:ascii="Verdana" w:hAnsi="Verdana"/>
        </w:rPr>
      </w:pPr>
      <w:r w:rsidRPr="009C1832">
        <w:rPr>
          <w:rFonts w:ascii="Verdana" w:hAnsi="Verdana"/>
        </w:rPr>
        <w:t xml:space="preserve">Which is the true explanation? A clear answer emerges from a study published last month by UKBA itself, </w:t>
      </w:r>
      <w:r w:rsidRPr="009C1832">
        <w:rPr>
          <w:rFonts w:ascii="Verdana" w:hAnsi="Verdana"/>
          <w:i/>
        </w:rPr>
        <w:t>Overseas Students in the Immigration System</w:t>
      </w:r>
      <w:r w:rsidRPr="009C1832">
        <w:rPr>
          <w:rFonts w:ascii="Verdana" w:hAnsi="Verdana"/>
        </w:rPr>
        <w:t>, based on a sample of 17,000 non-EU students sponsored for a visa. It used data from eBorders, the system the Home Office is developing to gather comprehensive</w:t>
      </w:r>
      <w:r w:rsidR="00FE15A5" w:rsidRPr="009C1832">
        <w:rPr>
          <w:rFonts w:ascii="Verdana" w:hAnsi="Verdana"/>
        </w:rPr>
        <w:t>, individual entry and exit</w:t>
      </w:r>
      <w:r w:rsidRPr="009C1832">
        <w:rPr>
          <w:rFonts w:ascii="Verdana" w:hAnsi="Verdana"/>
        </w:rPr>
        <w:t xml:space="preserve"> </w:t>
      </w:r>
      <w:r w:rsidR="00FE15A5" w:rsidRPr="009C1832">
        <w:rPr>
          <w:rFonts w:ascii="Verdana" w:hAnsi="Verdana"/>
        </w:rPr>
        <w:t xml:space="preserve">information supplied by </w:t>
      </w:r>
      <w:r w:rsidRPr="009C1832">
        <w:rPr>
          <w:rFonts w:ascii="Verdana" w:hAnsi="Verdana"/>
        </w:rPr>
        <w:t>carriers and, though coverage of exit points is not yet complete</w:t>
      </w:r>
      <w:r w:rsidR="00076265" w:rsidRPr="009C1832">
        <w:rPr>
          <w:rFonts w:ascii="Verdana" w:hAnsi="Verdana"/>
        </w:rPr>
        <w:t>,</w:t>
      </w:r>
      <w:r w:rsidRPr="009C1832">
        <w:rPr>
          <w:rFonts w:ascii="Verdana" w:hAnsi="Verdana"/>
        </w:rPr>
        <w:t xml:space="preserve"> incomparably more accurate than IPS. It was thus able to track these students with what is in relative terms pinpoint precision. </w:t>
      </w:r>
    </w:p>
    <w:p w:rsidR="000D627A" w:rsidRPr="009C1832" w:rsidRDefault="00631E8B" w:rsidP="009C1832">
      <w:pPr>
        <w:numPr>
          <w:ilvl w:val="0"/>
          <w:numId w:val="1"/>
        </w:numPr>
        <w:ind w:left="0" w:firstLine="0"/>
        <w:rPr>
          <w:rFonts w:ascii="Verdana" w:hAnsi="Verdana"/>
        </w:rPr>
      </w:pPr>
      <w:r w:rsidRPr="009C1832">
        <w:rPr>
          <w:rFonts w:ascii="Verdana" w:hAnsi="Verdana"/>
        </w:rPr>
        <w:t xml:space="preserve">The analysis indicated that noncompliance by university students was </w:t>
      </w:r>
      <w:r w:rsidRPr="009C1832">
        <w:rPr>
          <w:rFonts w:ascii="Verdana" w:hAnsi="Verdana"/>
          <w:i/>
        </w:rPr>
        <w:t>at most</w:t>
      </w:r>
      <w:r w:rsidRPr="009C1832">
        <w:rPr>
          <w:rFonts w:ascii="Verdana" w:hAnsi="Verdana"/>
        </w:rPr>
        <w:t xml:space="preserve"> 2</w:t>
      </w:r>
      <w:r w:rsidR="002D4044">
        <w:rPr>
          <w:rFonts w:ascii="Verdana" w:hAnsi="Verdana"/>
        </w:rPr>
        <w:t xml:space="preserve"> per cent</w:t>
      </w:r>
      <w:r w:rsidRPr="009C1832">
        <w:rPr>
          <w:rFonts w:ascii="Verdana" w:hAnsi="Verdana"/>
        </w:rPr>
        <w:t>. It also indicated that universities are currently responsible for about 50</w:t>
      </w:r>
      <w:r w:rsidR="002D4044">
        <w:rPr>
          <w:rFonts w:ascii="Verdana" w:hAnsi="Verdana"/>
        </w:rPr>
        <w:t xml:space="preserve"> per cent</w:t>
      </w:r>
      <w:r w:rsidRPr="009C1832">
        <w:rPr>
          <w:rFonts w:ascii="Verdana" w:hAnsi="Verdana"/>
        </w:rPr>
        <w:t xml:space="preserve"> of students sponsored.  It is possible to </w:t>
      </w:r>
      <w:r w:rsidR="00C667D7" w:rsidRPr="009C1832">
        <w:rPr>
          <w:rFonts w:ascii="Verdana" w:hAnsi="Verdana"/>
        </w:rPr>
        <w:t>count</w:t>
      </w:r>
      <w:r w:rsidRPr="009C1832">
        <w:rPr>
          <w:rFonts w:ascii="Verdana" w:hAnsi="Verdana"/>
        </w:rPr>
        <w:t xml:space="preserve"> the HE half of the cohort with some accuracy given the legendary precision of HESA</w:t>
      </w:r>
      <w:r w:rsidR="000D627A" w:rsidRPr="009C1832">
        <w:rPr>
          <w:rFonts w:ascii="Verdana" w:hAnsi="Verdana"/>
        </w:rPr>
        <w:t>. 83,000 non-EU students completed HE awards in 2007/08. Making allowance for those who may have secured a visa to work, or progressed to a higher degree, or had right of entry to the UK despite being domiciled o</w:t>
      </w:r>
      <w:r w:rsidR="00671036" w:rsidRPr="009C1832">
        <w:rPr>
          <w:rFonts w:ascii="Verdana" w:hAnsi="Verdana"/>
        </w:rPr>
        <w:t>verseas</w:t>
      </w:r>
      <w:r w:rsidR="000D627A" w:rsidRPr="009C1832">
        <w:rPr>
          <w:rFonts w:ascii="Verdana" w:hAnsi="Verdana"/>
        </w:rPr>
        <w:t>, or been non-compliant with visa-expiry there remains a figure of c70,000 who completed their degree, whose leave to remain expired, and who left the country. This HE figure on its own is more than twice the total IPS outflow figure. And to it needs to be added those among the c.50</w:t>
      </w:r>
      <w:r w:rsidR="002D4044">
        <w:rPr>
          <w:rFonts w:ascii="Verdana" w:hAnsi="Verdana"/>
        </w:rPr>
        <w:t xml:space="preserve"> per cent</w:t>
      </w:r>
      <w:r w:rsidR="000D627A" w:rsidRPr="009C1832">
        <w:rPr>
          <w:rFonts w:ascii="Verdana" w:hAnsi="Verdana"/>
        </w:rPr>
        <w:t xml:space="preserve"> of non-EU students studying outside universities (where the UKBA analysis suggests non-compliance may </w:t>
      </w:r>
      <w:r w:rsidR="004335BE" w:rsidRPr="009C1832">
        <w:rPr>
          <w:rFonts w:ascii="Verdana" w:hAnsi="Verdana"/>
        </w:rPr>
        <w:t xml:space="preserve">average </w:t>
      </w:r>
      <w:r w:rsidR="000D627A" w:rsidRPr="009C1832">
        <w:rPr>
          <w:rFonts w:ascii="Verdana" w:hAnsi="Verdana"/>
        </w:rPr>
        <w:t>up to 14</w:t>
      </w:r>
      <w:r w:rsidR="002D4044">
        <w:rPr>
          <w:rFonts w:ascii="Verdana" w:hAnsi="Verdana"/>
        </w:rPr>
        <w:t xml:space="preserve"> per cent</w:t>
      </w:r>
      <w:r w:rsidR="000D627A" w:rsidRPr="009C1832">
        <w:rPr>
          <w:rFonts w:ascii="Verdana" w:hAnsi="Verdana"/>
        </w:rPr>
        <w:t>) who also left the country.</w:t>
      </w:r>
    </w:p>
    <w:p w:rsidR="00631E8B" w:rsidRPr="009C1832" w:rsidRDefault="00631E8B" w:rsidP="009C1832">
      <w:pPr>
        <w:numPr>
          <w:ilvl w:val="0"/>
          <w:numId w:val="1"/>
        </w:numPr>
        <w:ind w:left="0" w:firstLine="0"/>
        <w:rPr>
          <w:rFonts w:ascii="Verdana" w:hAnsi="Verdana"/>
        </w:rPr>
      </w:pPr>
      <w:r w:rsidRPr="009C1832">
        <w:rPr>
          <w:rFonts w:ascii="Verdana" w:hAnsi="Verdana"/>
        </w:rPr>
        <w:t>The conclusion is that noncompliance cannot account for the yawning discrepancy between MAC’s estimate and the IPS figure. MAC’s analysis leaves only one explanation: the IPS (massively) undercounts ex-students leaving the country.</w:t>
      </w:r>
    </w:p>
    <w:p w:rsidR="006D1644" w:rsidRPr="009C1832" w:rsidRDefault="00631E8B" w:rsidP="009C1832">
      <w:pPr>
        <w:numPr>
          <w:ilvl w:val="0"/>
          <w:numId w:val="1"/>
        </w:numPr>
        <w:ind w:left="0" w:firstLine="0"/>
        <w:rPr>
          <w:rFonts w:ascii="Verdana" w:hAnsi="Verdana"/>
        </w:rPr>
      </w:pPr>
      <w:r w:rsidRPr="009C1832">
        <w:rPr>
          <w:rFonts w:ascii="Verdana" w:hAnsi="Verdana"/>
        </w:rPr>
        <w:t>There is a</w:t>
      </w:r>
      <w:r w:rsidR="00533AA9" w:rsidRPr="009C1832">
        <w:rPr>
          <w:rFonts w:ascii="Verdana" w:hAnsi="Verdana"/>
        </w:rPr>
        <w:t>n even more</w:t>
      </w:r>
      <w:r w:rsidRPr="009C1832">
        <w:rPr>
          <w:rFonts w:ascii="Verdana" w:hAnsi="Verdana"/>
        </w:rPr>
        <w:t xml:space="preserve"> conclusive way to test the relative veracity of the IPS and MAC estimates. HESA holds the names and dates of birth of the 102,</w:t>
      </w:r>
      <w:r w:rsidR="000D627A" w:rsidRPr="009C1832">
        <w:rPr>
          <w:rFonts w:ascii="Verdana" w:hAnsi="Verdana"/>
        </w:rPr>
        <w:t xml:space="preserve">000 </w:t>
      </w:r>
      <w:r w:rsidRPr="009C1832">
        <w:rPr>
          <w:rFonts w:ascii="Verdana" w:hAnsi="Verdana"/>
        </w:rPr>
        <w:t xml:space="preserve">non-EU </w:t>
      </w:r>
      <w:r w:rsidR="004335BE" w:rsidRPr="009C1832">
        <w:rPr>
          <w:rFonts w:ascii="Verdana" w:hAnsi="Verdana"/>
        </w:rPr>
        <w:t>Higher Education students who completed their course in</w:t>
      </w:r>
      <w:r w:rsidRPr="009C1832">
        <w:rPr>
          <w:rFonts w:ascii="Verdana" w:hAnsi="Verdana"/>
        </w:rPr>
        <w:t xml:space="preserve"> 2009/10. </w:t>
      </w:r>
      <w:r w:rsidR="000D627A" w:rsidRPr="009C1832">
        <w:rPr>
          <w:rFonts w:ascii="Verdana" w:hAnsi="Verdana"/>
        </w:rPr>
        <w:t>Given the will</w:t>
      </w:r>
      <w:r w:rsidR="00533AA9" w:rsidRPr="009C1832">
        <w:rPr>
          <w:rFonts w:ascii="Verdana" w:hAnsi="Verdana"/>
        </w:rPr>
        <w:t>,</w:t>
      </w:r>
      <w:r w:rsidR="000D627A" w:rsidRPr="009C1832">
        <w:rPr>
          <w:rFonts w:ascii="Verdana" w:hAnsi="Verdana"/>
        </w:rPr>
        <w:t xml:space="preserve"> and due care with Data Protection, it is now possible to count with considerable accuracy how many of them left the UK in 2010. First,</w:t>
      </w:r>
      <w:r w:rsidRPr="009C1832">
        <w:rPr>
          <w:rFonts w:ascii="Verdana" w:hAnsi="Verdana"/>
        </w:rPr>
        <w:t xml:space="preserve"> check their names and dates of birth against visa records to establish which among them </w:t>
      </w:r>
      <w:r w:rsidRPr="009C1832">
        <w:rPr>
          <w:rFonts w:ascii="Verdana" w:hAnsi="Verdana"/>
        </w:rPr>
        <w:lastRenderedPageBreak/>
        <w:t>had no valid reason to remain by the end of 2010. Second, take that list – c80</w:t>
      </w:r>
      <w:proofErr w:type="gramStart"/>
      <w:r w:rsidRPr="009C1832">
        <w:rPr>
          <w:rFonts w:ascii="Verdana" w:hAnsi="Verdana"/>
        </w:rPr>
        <w:t>,000</w:t>
      </w:r>
      <w:proofErr w:type="gramEnd"/>
      <w:r w:rsidRPr="009C1832">
        <w:rPr>
          <w:rFonts w:ascii="Verdana" w:hAnsi="Verdana"/>
        </w:rPr>
        <w:t xml:space="preserve">? – </w:t>
      </w:r>
      <w:proofErr w:type="gramStart"/>
      <w:r w:rsidRPr="009C1832">
        <w:rPr>
          <w:rFonts w:ascii="Verdana" w:hAnsi="Verdana"/>
        </w:rPr>
        <w:t>and</w:t>
      </w:r>
      <w:proofErr w:type="gramEnd"/>
      <w:r w:rsidRPr="009C1832">
        <w:rPr>
          <w:rFonts w:ascii="Verdana" w:hAnsi="Verdana"/>
        </w:rPr>
        <w:t xml:space="preserve"> use eBorders records to check how many duly left the country and how many </w:t>
      </w:r>
      <w:r w:rsidR="000D627A" w:rsidRPr="009C1832">
        <w:rPr>
          <w:rFonts w:ascii="Verdana" w:hAnsi="Verdana"/>
        </w:rPr>
        <w:t>failed to do so</w:t>
      </w:r>
      <w:r w:rsidR="000D627A" w:rsidRPr="009C1832">
        <w:rPr>
          <w:rStyle w:val="FootnoteReference"/>
          <w:rFonts w:ascii="Verdana" w:hAnsi="Verdana"/>
        </w:rPr>
        <w:footnoteReference w:id="15"/>
      </w:r>
      <w:r w:rsidRPr="009C1832">
        <w:rPr>
          <w:rFonts w:ascii="Verdana" w:hAnsi="Verdana"/>
        </w:rPr>
        <w:t xml:space="preserve">. </w:t>
      </w:r>
      <w:r w:rsidR="00210AFE" w:rsidRPr="00210AFE">
        <w:rPr>
          <w:rFonts w:ascii="Verdana" w:hAnsi="Verdana"/>
        </w:rPr>
        <w:t xml:space="preserve">Add a conservative allowance for HE completers of earlier years leaving the UK in 2010. </w:t>
      </w:r>
      <w:r w:rsidRPr="009C1832">
        <w:rPr>
          <w:rFonts w:ascii="Verdana" w:hAnsi="Verdana"/>
        </w:rPr>
        <w:t>Having completed the exercise, attempt a similar exercise, as far as data permits, for non-EU</w:t>
      </w:r>
      <w:r w:rsidR="000D627A" w:rsidRPr="009C1832">
        <w:rPr>
          <w:rFonts w:ascii="Verdana" w:hAnsi="Verdana"/>
        </w:rPr>
        <w:t xml:space="preserve"> students outside </w:t>
      </w:r>
      <w:proofErr w:type="gramStart"/>
      <w:r w:rsidR="000D627A" w:rsidRPr="009C1832">
        <w:rPr>
          <w:rFonts w:ascii="Verdana" w:hAnsi="Verdana"/>
        </w:rPr>
        <w:t>HE</w:t>
      </w:r>
      <w:proofErr w:type="gramEnd"/>
      <w:r w:rsidRPr="009C1832">
        <w:rPr>
          <w:rFonts w:ascii="Verdana" w:hAnsi="Verdana"/>
        </w:rPr>
        <w:t xml:space="preserve"> – or extrapolate from the HE exercise. Add the two figures </w:t>
      </w:r>
      <w:r w:rsidR="006D1644" w:rsidRPr="009C1832">
        <w:rPr>
          <w:rFonts w:ascii="Verdana" w:hAnsi="Verdana"/>
        </w:rPr>
        <w:t>to arrive at a solid estimate of student outflow.</w:t>
      </w:r>
    </w:p>
    <w:p w:rsidR="006D5417" w:rsidRPr="009C1832" w:rsidRDefault="006D1644" w:rsidP="009C1832">
      <w:pPr>
        <w:numPr>
          <w:ilvl w:val="0"/>
          <w:numId w:val="1"/>
        </w:numPr>
        <w:ind w:left="0" w:firstLine="0"/>
        <w:rPr>
          <w:rFonts w:ascii="Verdana" w:hAnsi="Verdana"/>
        </w:rPr>
      </w:pPr>
      <w:r w:rsidRPr="009C1832">
        <w:rPr>
          <w:rFonts w:ascii="Verdana" w:hAnsi="Verdana"/>
        </w:rPr>
        <w:t xml:space="preserve">This figure can then be used to </w:t>
      </w:r>
      <w:r w:rsidR="00765DB2" w:rsidRPr="009C1832">
        <w:rPr>
          <w:rFonts w:ascii="Verdana" w:hAnsi="Verdana"/>
        </w:rPr>
        <w:t>assess</w:t>
      </w:r>
      <w:r w:rsidRPr="009C1832">
        <w:rPr>
          <w:rFonts w:ascii="Verdana" w:hAnsi="Verdana"/>
        </w:rPr>
        <w:t xml:space="preserve"> the accuracy of the</w:t>
      </w:r>
      <w:r w:rsidR="000D627A" w:rsidRPr="009C1832">
        <w:rPr>
          <w:rFonts w:ascii="Verdana" w:hAnsi="Verdana"/>
        </w:rPr>
        <w:t xml:space="preserve"> 2010 </w:t>
      </w:r>
      <w:r w:rsidR="00765DB2" w:rsidRPr="009C1832">
        <w:rPr>
          <w:rFonts w:ascii="Verdana" w:hAnsi="Verdana"/>
        </w:rPr>
        <w:t xml:space="preserve">IPS </w:t>
      </w:r>
      <w:r w:rsidR="00076265" w:rsidRPr="009C1832">
        <w:rPr>
          <w:rFonts w:ascii="Verdana" w:hAnsi="Verdana"/>
        </w:rPr>
        <w:t xml:space="preserve">outflow </w:t>
      </w:r>
      <w:r w:rsidR="00671036" w:rsidRPr="009C1832">
        <w:rPr>
          <w:rFonts w:ascii="Verdana" w:hAnsi="Verdana"/>
        </w:rPr>
        <w:t xml:space="preserve">figure </w:t>
      </w:r>
      <w:r w:rsidR="00765DB2" w:rsidRPr="009C1832">
        <w:rPr>
          <w:rFonts w:ascii="Verdana" w:hAnsi="Verdana"/>
        </w:rPr>
        <w:t>a</w:t>
      </w:r>
      <w:r w:rsidR="000D627A" w:rsidRPr="009C1832">
        <w:rPr>
          <w:rFonts w:ascii="Verdana" w:hAnsi="Verdana"/>
        </w:rPr>
        <w:t xml:space="preserve">nd that yielded </w:t>
      </w:r>
      <w:r w:rsidRPr="009C1832">
        <w:rPr>
          <w:rFonts w:ascii="Verdana" w:hAnsi="Verdana"/>
        </w:rPr>
        <w:t xml:space="preserve">for 2010 using MAC’s </w:t>
      </w:r>
      <w:r w:rsidR="00671036" w:rsidRPr="009C1832">
        <w:rPr>
          <w:rFonts w:ascii="Verdana" w:hAnsi="Verdana"/>
        </w:rPr>
        <w:t xml:space="preserve">own </w:t>
      </w:r>
      <w:r w:rsidRPr="009C1832">
        <w:rPr>
          <w:rFonts w:ascii="Verdana" w:hAnsi="Verdana"/>
        </w:rPr>
        <w:t xml:space="preserve">methodology. </w:t>
      </w:r>
      <w:r w:rsidR="00631E8B" w:rsidRPr="009C1832">
        <w:rPr>
          <w:rFonts w:ascii="Verdana" w:hAnsi="Verdana"/>
        </w:rPr>
        <w:t xml:space="preserve">Should </w:t>
      </w:r>
      <w:r w:rsidRPr="009C1832">
        <w:rPr>
          <w:rFonts w:ascii="Verdana" w:hAnsi="Verdana"/>
        </w:rPr>
        <w:t>the</w:t>
      </w:r>
      <w:r w:rsidR="000D627A" w:rsidRPr="009C1832">
        <w:rPr>
          <w:rFonts w:ascii="Verdana" w:hAnsi="Verdana"/>
        </w:rPr>
        <w:t xml:space="preserve"> </w:t>
      </w:r>
      <w:r w:rsidR="00631E8B" w:rsidRPr="009C1832">
        <w:rPr>
          <w:rFonts w:ascii="Verdana" w:hAnsi="Verdana"/>
        </w:rPr>
        <w:t xml:space="preserve">MAC estimate prove superior – and it is likely it will itself prove an understatement – </w:t>
      </w:r>
      <w:r w:rsidR="00533AA9" w:rsidRPr="009C1832">
        <w:rPr>
          <w:rFonts w:ascii="Verdana" w:hAnsi="Verdana"/>
        </w:rPr>
        <w:t xml:space="preserve">there will be </w:t>
      </w:r>
      <w:r w:rsidRPr="009C1832">
        <w:rPr>
          <w:rFonts w:ascii="Verdana" w:hAnsi="Verdana"/>
        </w:rPr>
        <w:t xml:space="preserve">incontrovertible proof </w:t>
      </w:r>
      <w:r w:rsidR="00765DB2" w:rsidRPr="009C1832">
        <w:rPr>
          <w:rFonts w:ascii="Verdana" w:hAnsi="Verdana"/>
        </w:rPr>
        <w:t>that</w:t>
      </w:r>
      <w:r w:rsidRPr="009C1832">
        <w:rPr>
          <w:rFonts w:ascii="Verdana" w:hAnsi="Verdana"/>
        </w:rPr>
        <w:t xml:space="preserve"> the IPS undercounts </w:t>
      </w:r>
      <w:r w:rsidR="00765DB2" w:rsidRPr="009C1832">
        <w:rPr>
          <w:rFonts w:ascii="Verdana" w:hAnsi="Verdana"/>
        </w:rPr>
        <w:t xml:space="preserve">the </w:t>
      </w:r>
      <w:r w:rsidRPr="009C1832">
        <w:rPr>
          <w:rFonts w:ascii="Verdana" w:hAnsi="Verdana"/>
        </w:rPr>
        <w:t>outflow of students</w:t>
      </w:r>
      <w:r w:rsidR="00765DB2" w:rsidRPr="009C1832">
        <w:rPr>
          <w:rFonts w:ascii="Verdana" w:hAnsi="Verdana"/>
        </w:rPr>
        <w:t>, and the scale of that error will be visible</w:t>
      </w:r>
      <w:r w:rsidRPr="009C1832">
        <w:rPr>
          <w:rFonts w:ascii="Verdana" w:hAnsi="Verdana"/>
        </w:rPr>
        <w:t xml:space="preserve">. </w:t>
      </w:r>
      <w:r w:rsidR="006D5417" w:rsidRPr="009C1832">
        <w:rPr>
          <w:rFonts w:ascii="Verdana" w:hAnsi="Verdana"/>
        </w:rPr>
        <w:t xml:space="preserve">Universities have expressed their willingness to fund the exercise. The CBI might well be willing to fund a parallel exercise on work-route outflows – where MAC’s own estimate </w:t>
      </w:r>
      <w:r w:rsidR="00FB4FA6" w:rsidRPr="009C1832">
        <w:rPr>
          <w:rFonts w:ascii="Verdana" w:hAnsi="Verdana"/>
        </w:rPr>
        <w:t xml:space="preserve">for 2008 </w:t>
      </w:r>
      <w:r w:rsidR="006D5417" w:rsidRPr="009C1832">
        <w:rPr>
          <w:rFonts w:ascii="Verdana" w:hAnsi="Verdana"/>
        </w:rPr>
        <w:t xml:space="preserve">again far exceeds that of the IPS (p. 301). </w:t>
      </w:r>
    </w:p>
    <w:p w:rsidR="00631E8B" w:rsidRPr="009C1832" w:rsidRDefault="006D1644" w:rsidP="009C1832">
      <w:pPr>
        <w:numPr>
          <w:ilvl w:val="0"/>
          <w:numId w:val="1"/>
        </w:numPr>
        <w:ind w:left="0" w:firstLine="0"/>
        <w:rPr>
          <w:rFonts w:ascii="Verdana" w:hAnsi="Verdana"/>
        </w:rPr>
      </w:pPr>
      <w:r w:rsidRPr="009C1832">
        <w:rPr>
          <w:rFonts w:ascii="Verdana" w:hAnsi="Verdana"/>
        </w:rPr>
        <w:t>T</w:t>
      </w:r>
      <w:r w:rsidR="00631E8B" w:rsidRPr="009C1832">
        <w:rPr>
          <w:rFonts w:ascii="Verdana" w:hAnsi="Verdana"/>
        </w:rPr>
        <w:t>he government will, to its credit, have developed a much more accurate and authoritative method of measuring non-EU net migration to replace the IPS</w:t>
      </w:r>
      <w:r w:rsidR="00533AA9" w:rsidRPr="009C1832">
        <w:rPr>
          <w:rFonts w:ascii="Verdana" w:hAnsi="Verdana"/>
        </w:rPr>
        <w:t xml:space="preserve">. </w:t>
      </w:r>
      <w:r w:rsidR="00482DB2" w:rsidRPr="009C1832">
        <w:rPr>
          <w:rFonts w:ascii="Verdana" w:hAnsi="Verdana"/>
        </w:rPr>
        <w:t>Very real p</w:t>
      </w:r>
      <w:r w:rsidR="00533AA9" w:rsidRPr="009C1832">
        <w:rPr>
          <w:rFonts w:ascii="Verdana" w:hAnsi="Verdana"/>
        </w:rPr>
        <w:t xml:space="preserve">ublic concern about the scale of net migration can be swiftly tempered. </w:t>
      </w:r>
      <w:r w:rsidR="00765DB2" w:rsidRPr="009C1832">
        <w:rPr>
          <w:rFonts w:ascii="Verdana" w:hAnsi="Verdana"/>
        </w:rPr>
        <w:t>So too can the scale of the visa reductions envisaged to bring net migration down to the ‘tens of thousands’.  T</w:t>
      </w:r>
      <w:r w:rsidR="00076265" w:rsidRPr="009C1832">
        <w:rPr>
          <w:rFonts w:ascii="Verdana" w:hAnsi="Verdana"/>
        </w:rPr>
        <w:t>he</w:t>
      </w:r>
      <w:r w:rsidR="00533AA9" w:rsidRPr="009C1832">
        <w:rPr>
          <w:rFonts w:ascii="Verdana" w:hAnsi="Verdana"/>
        </w:rPr>
        <w:t xml:space="preserve"> tightening of the screw on Tier 1 and Tier 2</w:t>
      </w:r>
      <w:r w:rsidR="006D5417" w:rsidRPr="009C1832">
        <w:rPr>
          <w:rFonts w:ascii="Verdana" w:hAnsi="Verdana"/>
        </w:rPr>
        <w:t xml:space="preserve"> – </w:t>
      </w:r>
      <w:r w:rsidR="00765DB2" w:rsidRPr="009C1832">
        <w:rPr>
          <w:rFonts w:ascii="Verdana" w:hAnsi="Verdana"/>
        </w:rPr>
        <w:t>which</w:t>
      </w:r>
      <w:r w:rsidR="00730B15" w:rsidRPr="009C1832">
        <w:rPr>
          <w:rFonts w:ascii="Verdana" w:hAnsi="Verdana"/>
        </w:rPr>
        <w:t xml:space="preserve"> </w:t>
      </w:r>
      <w:r w:rsidR="00250227" w:rsidRPr="009C1832">
        <w:rPr>
          <w:rFonts w:ascii="Verdana" w:hAnsi="Verdana"/>
        </w:rPr>
        <w:t>is</w:t>
      </w:r>
      <w:r w:rsidR="00765DB2" w:rsidRPr="009C1832">
        <w:rPr>
          <w:rFonts w:ascii="Verdana" w:hAnsi="Verdana"/>
        </w:rPr>
        <w:t xml:space="preserve"> already depriving </w:t>
      </w:r>
      <w:r w:rsidR="00730B15" w:rsidRPr="009C1832">
        <w:rPr>
          <w:rFonts w:ascii="Verdana" w:hAnsi="Verdana"/>
        </w:rPr>
        <w:t xml:space="preserve">universities, research institutes and businesses </w:t>
      </w:r>
      <w:r w:rsidR="00765DB2" w:rsidRPr="009C1832">
        <w:rPr>
          <w:rFonts w:ascii="Verdana" w:hAnsi="Verdana"/>
        </w:rPr>
        <w:t>of first class minds</w:t>
      </w:r>
      <w:r w:rsidR="00482DB2" w:rsidRPr="009C1832">
        <w:rPr>
          <w:rFonts w:ascii="Verdana" w:hAnsi="Verdana"/>
        </w:rPr>
        <w:t xml:space="preserve"> from outside the EU</w:t>
      </w:r>
      <w:r w:rsidR="00765DB2" w:rsidRPr="009C1832">
        <w:rPr>
          <w:rFonts w:ascii="Verdana" w:hAnsi="Verdana"/>
        </w:rPr>
        <w:t xml:space="preserve"> – can be eased.</w:t>
      </w:r>
      <w:r w:rsidR="00730B15" w:rsidRPr="009C1832">
        <w:rPr>
          <w:rFonts w:ascii="Verdana" w:hAnsi="Verdana"/>
        </w:rPr>
        <w:t xml:space="preserve">  Britain can seek to </w:t>
      </w:r>
      <w:r w:rsidR="00765DB2" w:rsidRPr="009C1832">
        <w:rPr>
          <w:rFonts w:ascii="Verdana" w:hAnsi="Verdana"/>
        </w:rPr>
        <w:t>make the recruitment and education of</w:t>
      </w:r>
      <w:r w:rsidR="00730B15" w:rsidRPr="009C1832">
        <w:rPr>
          <w:rFonts w:ascii="Verdana" w:hAnsi="Verdana"/>
        </w:rPr>
        <w:t xml:space="preserve"> legitimate and</w:t>
      </w:r>
      <w:r w:rsidR="00765DB2" w:rsidRPr="009C1832">
        <w:rPr>
          <w:rFonts w:ascii="Verdana" w:hAnsi="Verdana"/>
        </w:rPr>
        <w:t xml:space="preserve"> visa-compliant non-EU students an important part of its growth strategy.</w:t>
      </w:r>
    </w:p>
    <w:p w:rsidR="00631E8B" w:rsidRPr="009C1832" w:rsidRDefault="00631E8B" w:rsidP="009C1832">
      <w:pPr>
        <w:rPr>
          <w:rFonts w:ascii="Verdana" w:hAnsi="Verdana"/>
          <w:b/>
        </w:rPr>
      </w:pPr>
      <w:r w:rsidRPr="009C1832">
        <w:rPr>
          <w:rFonts w:ascii="Verdana" w:hAnsi="Verdana"/>
          <w:b/>
        </w:rPr>
        <w:t>The alternative</w:t>
      </w:r>
    </w:p>
    <w:p w:rsidR="00631E8B" w:rsidRPr="009C1832" w:rsidRDefault="00631E8B" w:rsidP="009C1832">
      <w:pPr>
        <w:numPr>
          <w:ilvl w:val="0"/>
          <w:numId w:val="1"/>
        </w:numPr>
        <w:ind w:left="0" w:firstLine="0"/>
        <w:rPr>
          <w:rFonts w:ascii="Verdana" w:hAnsi="Verdana"/>
        </w:rPr>
      </w:pPr>
      <w:r w:rsidRPr="009C1832">
        <w:rPr>
          <w:rFonts w:ascii="Verdana" w:hAnsi="Verdana"/>
        </w:rPr>
        <w:t>If the government is determined to be guided by IPS data and to discourage international HE recruitment, we need certainty about the matter.  We can then drastically curtail the considerable British resource being spent on seeking to attract international students by our embassies, by the British Council, by BIS and by every university. William Hag</w:t>
      </w:r>
      <w:r w:rsidR="00076265" w:rsidRPr="009C1832">
        <w:rPr>
          <w:rFonts w:ascii="Verdana" w:hAnsi="Verdana"/>
        </w:rPr>
        <w:t>ue can rethink his announcement</w:t>
      </w:r>
      <w:r w:rsidRPr="009C1832">
        <w:rPr>
          <w:rFonts w:ascii="Verdana" w:hAnsi="Verdana"/>
        </w:rPr>
        <w:t xml:space="preserve"> in January that ‘</w:t>
      </w:r>
      <w:r w:rsidRPr="009C1832">
        <w:rPr>
          <w:rFonts w:ascii="Verdana" w:hAnsi="Verdana"/>
          <w:bCs/>
        </w:rPr>
        <w:t>as British Ministers fan out across the world in the months to come we will be promoting British education as well as our economy as a whole.’</w:t>
      </w:r>
      <w:r w:rsidRPr="009C1832">
        <w:rPr>
          <w:rFonts w:ascii="Verdana" w:hAnsi="Verdana"/>
        </w:rPr>
        <w:t xml:space="preserve"> HMT can build the concomitant fall in export earnings into its forecasts. HEFCE can revise its list of ‘at risk’ institutions. Universities can plan </w:t>
      </w:r>
      <w:r w:rsidR="00671036" w:rsidRPr="009C1832">
        <w:rPr>
          <w:rFonts w:ascii="Verdana" w:hAnsi="Verdana"/>
        </w:rPr>
        <w:t xml:space="preserve">with local authorities </w:t>
      </w:r>
      <w:r w:rsidRPr="009C1832">
        <w:rPr>
          <w:rFonts w:ascii="Verdana" w:hAnsi="Verdana"/>
        </w:rPr>
        <w:t xml:space="preserve">how to cope with the rapid loss of income, shedding of jobs and singularly ill-timed damage to university cities and regional economies that will follow. </w:t>
      </w:r>
    </w:p>
    <w:sectPr w:rsidR="00631E8B" w:rsidRPr="009C1832" w:rsidSect="00B649F6">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90" w:rsidRDefault="005D2290" w:rsidP="002379A8">
      <w:pPr>
        <w:spacing w:after="0" w:line="240" w:lineRule="auto"/>
      </w:pPr>
      <w:r>
        <w:separator/>
      </w:r>
    </w:p>
  </w:endnote>
  <w:endnote w:type="continuationSeparator" w:id="0">
    <w:p w:rsidR="005D2290" w:rsidRDefault="005D2290" w:rsidP="00237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onotype Sorts"/>
    <w:panose1 w:val="02020603050405020304"/>
    <w:charset w:val="00"/>
    <w:family w:val="roman"/>
    <w:pitch w:val="variable"/>
    <w:sig w:usb0="20002A87" w:usb1="80000000" w:usb2="00000008" w:usb3="00000000" w:csb0="000001FF" w:csb1="00000000"/>
  </w:font>
  <w:font w:name="Calibri">
    <w:altName w:val="Times New Roman"/>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FrutigerLTStd-Roman">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90" w:rsidRDefault="005D2290" w:rsidP="002379A8">
      <w:pPr>
        <w:spacing w:after="0" w:line="240" w:lineRule="auto"/>
      </w:pPr>
      <w:r>
        <w:separator/>
      </w:r>
    </w:p>
  </w:footnote>
  <w:footnote w:type="continuationSeparator" w:id="0">
    <w:p w:rsidR="005D2290" w:rsidRDefault="005D2290" w:rsidP="002379A8">
      <w:pPr>
        <w:spacing w:after="0" w:line="240" w:lineRule="auto"/>
      </w:pPr>
      <w:r>
        <w:continuationSeparator/>
      </w:r>
    </w:p>
  </w:footnote>
  <w:footnote w:id="1">
    <w:p w:rsidR="004D3243" w:rsidRDefault="004D3243" w:rsidP="004D3243">
      <w:pPr>
        <w:pStyle w:val="FootnoteText"/>
      </w:pPr>
      <w:r>
        <w:rPr>
          <w:rStyle w:val="FootnoteReference"/>
        </w:rPr>
        <w:footnoteRef/>
      </w:r>
      <w:r>
        <w:t xml:space="preserve"> “Net immigration/migration” is the number entering the country less the number leaving in the same year</w:t>
      </w:r>
    </w:p>
  </w:footnote>
  <w:footnote w:id="2">
    <w:p w:rsidR="00146F74" w:rsidRPr="00F54D87" w:rsidRDefault="00146F74" w:rsidP="004D3243">
      <w:pPr>
        <w:pStyle w:val="NormalWeb"/>
        <w:spacing w:before="0" w:beforeAutospacing="0" w:after="0" w:afterAutospacing="0" w:line="300" w:lineRule="auto"/>
        <w:rPr>
          <w:rFonts w:ascii="Calibri" w:eastAsia="Times New Roman" w:hAnsi="Calibri" w:cs="Arial"/>
          <w:color w:val="333333"/>
          <w:sz w:val="20"/>
          <w:szCs w:val="20"/>
        </w:rPr>
      </w:pPr>
      <w:r w:rsidRPr="00F54D87">
        <w:rPr>
          <w:rStyle w:val="FootnoteReference"/>
          <w:rFonts w:ascii="Calibri" w:hAnsi="Calibri"/>
          <w:sz w:val="20"/>
          <w:szCs w:val="20"/>
        </w:rPr>
        <w:footnoteRef/>
      </w:r>
      <w:r w:rsidRPr="00F54D87">
        <w:rPr>
          <w:rFonts w:ascii="Calibri" w:hAnsi="Calibri"/>
          <w:sz w:val="20"/>
          <w:szCs w:val="20"/>
        </w:rPr>
        <w:t xml:space="preserve"> </w:t>
      </w:r>
      <w:r w:rsidRPr="00F54D87">
        <w:rPr>
          <w:rFonts w:ascii="Calibri" w:eastAsia="Times New Roman" w:hAnsi="Calibri" w:cs="Arial"/>
          <w:color w:val="333333"/>
          <w:sz w:val="20"/>
          <w:szCs w:val="20"/>
        </w:rPr>
        <w:t>The points-based system (PBS), introduced in 2008, is a system for managing migration for those wishing to enter the UK for work or study.</w:t>
      </w:r>
    </w:p>
    <w:p w:rsidR="00146F74" w:rsidRDefault="00146F74">
      <w:pPr>
        <w:pStyle w:val="FootnoteText"/>
      </w:pPr>
    </w:p>
  </w:footnote>
  <w:footnote w:id="3">
    <w:p w:rsidR="002379A8" w:rsidRPr="00D9045F" w:rsidRDefault="002379A8" w:rsidP="009C1832">
      <w:pPr>
        <w:spacing w:after="0"/>
        <w:rPr>
          <w:sz w:val="20"/>
          <w:szCs w:val="20"/>
        </w:rPr>
      </w:pPr>
      <w:r w:rsidRPr="00D9045F">
        <w:rPr>
          <w:rStyle w:val="FootnoteReference"/>
          <w:sz w:val="20"/>
          <w:szCs w:val="20"/>
        </w:rPr>
        <w:footnoteRef/>
      </w:r>
      <w:r w:rsidRPr="00D9045F">
        <w:rPr>
          <w:sz w:val="20"/>
          <w:szCs w:val="20"/>
        </w:rPr>
        <w:t xml:space="preserve"> </w:t>
      </w:r>
      <w:r w:rsidRPr="00671036">
        <w:rPr>
          <w:sz w:val="20"/>
          <w:szCs w:val="20"/>
        </w:rPr>
        <w:t xml:space="preserve">HEFCE data gathered in 2009 showed English universities aiming to increase non-EU numbers </w:t>
      </w:r>
      <w:r w:rsidR="00A61428" w:rsidRPr="00671036">
        <w:rPr>
          <w:sz w:val="20"/>
          <w:szCs w:val="20"/>
        </w:rPr>
        <w:t xml:space="preserve">some 20% </w:t>
      </w:r>
      <w:proofErr w:type="gramStart"/>
      <w:r w:rsidR="00774D7E" w:rsidRPr="00671036">
        <w:rPr>
          <w:sz w:val="20"/>
          <w:szCs w:val="20"/>
        </w:rPr>
        <w:t>b</w:t>
      </w:r>
      <w:r w:rsidR="00A61428" w:rsidRPr="00671036">
        <w:rPr>
          <w:sz w:val="20"/>
          <w:szCs w:val="20"/>
        </w:rPr>
        <w:t>etween</w:t>
      </w:r>
      <w:r w:rsidRPr="00671036">
        <w:rPr>
          <w:sz w:val="20"/>
          <w:szCs w:val="20"/>
        </w:rPr>
        <w:t xml:space="preserve"> 2008-09 to 2012-13</w:t>
      </w:r>
      <w:proofErr w:type="gramEnd"/>
      <w:r w:rsidRPr="00671036">
        <w:rPr>
          <w:sz w:val="20"/>
          <w:szCs w:val="20"/>
        </w:rPr>
        <w:t>.</w:t>
      </w:r>
    </w:p>
  </w:footnote>
  <w:footnote w:id="4">
    <w:p w:rsidR="00774D7E" w:rsidRPr="00774D7E" w:rsidRDefault="00774D7E" w:rsidP="009C1832">
      <w:pPr>
        <w:pStyle w:val="NormalWeb"/>
        <w:spacing w:before="0" w:beforeAutospacing="0" w:after="0" w:afterAutospacing="0"/>
        <w:rPr>
          <w:rFonts w:ascii="Calibri" w:hAnsi="Calibri"/>
          <w:sz w:val="20"/>
          <w:szCs w:val="20"/>
        </w:rPr>
      </w:pPr>
      <w:r w:rsidRPr="00774D7E">
        <w:rPr>
          <w:rStyle w:val="FootnoteReference"/>
          <w:rFonts w:ascii="Calibri" w:hAnsi="Calibri"/>
          <w:sz w:val="20"/>
          <w:szCs w:val="20"/>
        </w:rPr>
        <w:footnoteRef/>
      </w:r>
      <w:r w:rsidRPr="00774D7E">
        <w:rPr>
          <w:rFonts w:ascii="Calibri" w:hAnsi="Calibri"/>
          <w:sz w:val="20"/>
          <w:szCs w:val="20"/>
        </w:rPr>
        <w:t xml:space="preserve"> In his ‘Rivers of Blood’ speech in April </w:t>
      </w:r>
      <w:r>
        <w:rPr>
          <w:rFonts w:ascii="Calibri" w:hAnsi="Calibri"/>
          <w:sz w:val="20"/>
          <w:szCs w:val="20"/>
        </w:rPr>
        <w:t>1968</w:t>
      </w:r>
      <w:r w:rsidRPr="00774D7E">
        <w:rPr>
          <w:rFonts w:ascii="Calibri" w:hAnsi="Calibri"/>
          <w:sz w:val="20"/>
          <w:szCs w:val="20"/>
        </w:rPr>
        <w:t>: ‘I stress the words "for settlement." This has nothing to do with the entry of Commonwealth citizens, any more than of aliens, into this country, for the purposes of study or of improving their qualifications, like (for instance) the Commonwealth doctors who, to the advantage of their own countries, have enabled our hospital service to be expanded faster than would otherwise have been possible. They are not, and never have been, immigrants.</w:t>
      </w:r>
      <w:r>
        <w:rPr>
          <w:rFonts w:ascii="Calibri" w:hAnsi="Calibri"/>
          <w:sz w:val="20"/>
          <w:szCs w:val="20"/>
        </w:rPr>
        <w:t>’</w:t>
      </w:r>
      <w:r w:rsidRPr="00774D7E">
        <w:rPr>
          <w:rFonts w:ascii="Calibri" w:hAnsi="Calibri"/>
          <w:sz w:val="20"/>
          <w:szCs w:val="20"/>
        </w:rPr>
        <w:t xml:space="preserve"> </w:t>
      </w:r>
    </w:p>
    <w:p w:rsidR="00774D7E" w:rsidRDefault="00774D7E">
      <w:pPr>
        <w:pStyle w:val="FootnoteText"/>
      </w:pPr>
    </w:p>
  </w:footnote>
  <w:footnote w:id="5">
    <w:p w:rsidR="00BA05A6" w:rsidRDefault="00BA05A6">
      <w:pPr>
        <w:pStyle w:val="FootnoteText"/>
      </w:pPr>
      <w:r>
        <w:rPr>
          <w:rStyle w:val="FootnoteReference"/>
        </w:rPr>
        <w:footnoteRef/>
      </w:r>
      <w:r>
        <w:t xml:space="preserve"> Migration Advisory Committee, </w:t>
      </w:r>
      <w:r w:rsidRPr="00BA05A6">
        <w:rPr>
          <w:i/>
        </w:rPr>
        <w:t>Limits on Migration</w:t>
      </w:r>
      <w:r>
        <w:t>, November 2010, pp. 134-220.</w:t>
      </w:r>
    </w:p>
  </w:footnote>
  <w:footnote w:id="6">
    <w:p w:rsidR="00F72A77" w:rsidRPr="009C1832" w:rsidRDefault="00F72A77" w:rsidP="009C1832">
      <w:pPr>
        <w:pStyle w:val="NormalWeb"/>
        <w:spacing w:before="0" w:beforeAutospacing="0" w:after="0" w:afterAutospacing="0" w:line="300" w:lineRule="auto"/>
        <w:rPr>
          <w:rFonts w:ascii="Calibri" w:eastAsia="Times New Roman" w:hAnsi="Calibri" w:cs="Arial"/>
          <w:color w:val="333333"/>
          <w:sz w:val="20"/>
          <w:szCs w:val="20"/>
        </w:rPr>
      </w:pPr>
      <w:r w:rsidRPr="00F72A77">
        <w:rPr>
          <w:rStyle w:val="FootnoteReference"/>
          <w:rFonts w:ascii="Calibri" w:hAnsi="Calibri"/>
          <w:sz w:val="20"/>
          <w:szCs w:val="20"/>
        </w:rPr>
        <w:footnoteRef/>
      </w:r>
      <w:r w:rsidRPr="00F72A77">
        <w:rPr>
          <w:rFonts w:ascii="Calibri" w:hAnsi="Calibri"/>
          <w:sz w:val="20"/>
          <w:szCs w:val="20"/>
        </w:rPr>
        <w:t xml:space="preserve"> To secure a Tier 4 visa, an applicant needs the support of a licensed sponsor. In 2010 a special new category of Highly Trusted Sponsors (HTS) was introduced</w:t>
      </w:r>
      <w:r w:rsidRPr="00F72A77">
        <w:rPr>
          <w:rFonts w:ascii="Calibri" w:eastAsia="Times New Roman" w:hAnsi="Calibri" w:cs="Arial"/>
          <w:color w:val="333333"/>
          <w:sz w:val="20"/>
          <w:szCs w:val="20"/>
        </w:rPr>
        <w:t xml:space="preserve"> to identify those sponsors who </w:t>
      </w:r>
      <w:r w:rsidR="00BE767E">
        <w:rPr>
          <w:rFonts w:ascii="Calibri" w:eastAsia="Times New Roman" w:hAnsi="Calibri" w:cs="Arial"/>
          <w:color w:val="333333"/>
          <w:sz w:val="20"/>
          <w:szCs w:val="20"/>
        </w:rPr>
        <w:t>comply best</w:t>
      </w:r>
      <w:r w:rsidRPr="00F72A77">
        <w:rPr>
          <w:rFonts w:ascii="Calibri" w:eastAsia="Times New Roman" w:hAnsi="Calibri" w:cs="Arial"/>
          <w:color w:val="333333"/>
          <w:sz w:val="20"/>
          <w:szCs w:val="20"/>
        </w:rPr>
        <w:t xml:space="preserve"> with their sponsor obligations, and whose students </w:t>
      </w:r>
      <w:r w:rsidR="00BE767E">
        <w:rPr>
          <w:rFonts w:ascii="Calibri" w:eastAsia="Times New Roman" w:hAnsi="Calibri" w:cs="Arial"/>
          <w:color w:val="333333"/>
          <w:sz w:val="20"/>
          <w:szCs w:val="20"/>
        </w:rPr>
        <w:t>comply best</w:t>
      </w:r>
      <w:r w:rsidRPr="00F72A77">
        <w:rPr>
          <w:rFonts w:ascii="Calibri" w:eastAsia="Times New Roman" w:hAnsi="Calibri" w:cs="Arial"/>
          <w:color w:val="333333"/>
          <w:sz w:val="20"/>
          <w:szCs w:val="20"/>
        </w:rPr>
        <w:t xml:space="preserve"> with the terms of their visa</w:t>
      </w:r>
      <w:r w:rsidR="00BE767E">
        <w:rPr>
          <w:rFonts w:ascii="Calibri" w:eastAsia="Times New Roman" w:hAnsi="Calibri" w:cs="Arial"/>
          <w:color w:val="333333"/>
          <w:sz w:val="20"/>
          <w:szCs w:val="20"/>
        </w:rPr>
        <w:t>s</w:t>
      </w:r>
      <w:r w:rsidR="009C1832">
        <w:rPr>
          <w:rFonts w:ascii="Calibri" w:eastAsia="Times New Roman" w:hAnsi="Calibri" w:cs="Arial"/>
          <w:color w:val="333333"/>
          <w:sz w:val="20"/>
          <w:szCs w:val="20"/>
        </w:rPr>
        <w:t xml:space="preserve"> or permission to stay.</w:t>
      </w:r>
    </w:p>
  </w:footnote>
  <w:footnote w:id="7">
    <w:p w:rsidR="00FF7ED0" w:rsidRDefault="00FF7ED0" w:rsidP="009C1832">
      <w:pPr>
        <w:spacing w:after="0"/>
      </w:pPr>
      <w:r>
        <w:rPr>
          <w:rStyle w:val="FootnoteReference"/>
        </w:rPr>
        <w:footnoteRef/>
      </w:r>
      <w:r>
        <w:t xml:space="preserve"> </w:t>
      </w:r>
      <w:r w:rsidRPr="004704D7">
        <w:rPr>
          <w:sz w:val="20"/>
          <w:szCs w:val="20"/>
        </w:rPr>
        <w:t xml:space="preserve">The students barred to the UK, it should be noted, would </w:t>
      </w:r>
      <w:r w:rsidR="004335BE">
        <w:rPr>
          <w:sz w:val="20"/>
          <w:szCs w:val="20"/>
        </w:rPr>
        <w:t>come predominantly from</w:t>
      </w:r>
      <w:r w:rsidRPr="004704D7">
        <w:rPr>
          <w:sz w:val="20"/>
          <w:szCs w:val="20"/>
        </w:rPr>
        <w:t xml:space="preserve"> </w:t>
      </w:r>
      <w:r w:rsidR="0079280C" w:rsidRPr="004704D7">
        <w:rPr>
          <w:sz w:val="20"/>
          <w:szCs w:val="20"/>
        </w:rPr>
        <w:t xml:space="preserve">countries where visa abuse is judged </w:t>
      </w:r>
      <w:r w:rsidRPr="004704D7">
        <w:rPr>
          <w:sz w:val="20"/>
          <w:szCs w:val="20"/>
        </w:rPr>
        <w:t>low-</w:t>
      </w:r>
      <w:r w:rsidR="0079280C" w:rsidRPr="004704D7">
        <w:rPr>
          <w:sz w:val="20"/>
          <w:szCs w:val="20"/>
        </w:rPr>
        <w:t>risk, and make much les</w:t>
      </w:r>
      <w:r w:rsidR="004335BE">
        <w:rPr>
          <w:sz w:val="20"/>
          <w:szCs w:val="20"/>
        </w:rPr>
        <w:t xml:space="preserve">s impact on high-risk countries in </w:t>
      </w:r>
      <w:r w:rsidR="00D9045F">
        <w:rPr>
          <w:sz w:val="20"/>
          <w:szCs w:val="20"/>
        </w:rPr>
        <w:t>most</w:t>
      </w:r>
      <w:r w:rsidR="004335BE">
        <w:rPr>
          <w:sz w:val="20"/>
          <w:szCs w:val="20"/>
        </w:rPr>
        <w:t xml:space="preserve"> of which</w:t>
      </w:r>
      <w:r w:rsidRPr="004704D7">
        <w:rPr>
          <w:sz w:val="20"/>
          <w:szCs w:val="20"/>
        </w:rPr>
        <w:t xml:space="preserve"> English is one of the official languages. </w:t>
      </w:r>
    </w:p>
    <w:p w:rsidR="00FF7ED0" w:rsidRDefault="00FF7ED0">
      <w:pPr>
        <w:pStyle w:val="FootnoteText"/>
      </w:pPr>
    </w:p>
  </w:footnote>
  <w:footnote w:id="8">
    <w:p w:rsidR="00976107" w:rsidRDefault="00976107">
      <w:pPr>
        <w:pStyle w:val="FootnoteText"/>
      </w:pPr>
      <w:r>
        <w:rPr>
          <w:rStyle w:val="FootnoteReference"/>
        </w:rPr>
        <w:footnoteRef/>
      </w:r>
      <w:r>
        <w:t xml:space="preserve"> It should be noted that similar </w:t>
      </w:r>
      <w:r w:rsidR="00194F33">
        <w:t>considerations</w:t>
      </w:r>
      <w:r>
        <w:t xml:space="preserve"> may apply to sub-degree provision.  However</w:t>
      </w:r>
      <w:r w:rsidR="009727DE">
        <w:t>,</w:t>
      </w:r>
      <w:r>
        <w:t xml:space="preserve"> this paper does not address these and is concerned only with the impact of the proposals on </w:t>
      </w:r>
      <w:r w:rsidR="00194F33">
        <w:t>universities</w:t>
      </w:r>
    </w:p>
  </w:footnote>
  <w:footnote w:id="9">
    <w:p w:rsidR="00076265" w:rsidRDefault="00076265" w:rsidP="005178F7">
      <w:pPr>
        <w:autoSpaceDE w:val="0"/>
        <w:autoSpaceDN w:val="0"/>
        <w:adjustRightInd w:val="0"/>
        <w:spacing w:after="0" w:line="240" w:lineRule="auto"/>
      </w:pPr>
      <w:r>
        <w:rPr>
          <w:rStyle w:val="FootnoteReference"/>
        </w:rPr>
        <w:footnoteRef/>
      </w:r>
      <w:r>
        <w:t xml:space="preserve"> </w:t>
      </w:r>
      <w:r w:rsidR="00793B90" w:rsidRPr="00BE767E">
        <w:rPr>
          <w:sz w:val="20"/>
          <w:szCs w:val="20"/>
        </w:rPr>
        <w:t>In May 2008, f</w:t>
      </w:r>
      <w:r w:rsidR="005178F7">
        <w:rPr>
          <w:rFonts w:cs="FrutigerLTStd-Roman"/>
          <w:sz w:val="20"/>
          <w:szCs w:val="20"/>
        </w:rPr>
        <w:t xml:space="preserve">ollowing its </w:t>
      </w:r>
      <w:r w:rsidRPr="00BE767E">
        <w:rPr>
          <w:rFonts w:cs="FrutigerLTStd-Roman"/>
          <w:sz w:val="20"/>
          <w:szCs w:val="20"/>
        </w:rPr>
        <w:t xml:space="preserve">inquiry into the adequacy of population estimates, the House of Commons Treasury Committee found that the </w:t>
      </w:r>
      <w:r w:rsidR="005178F7">
        <w:rPr>
          <w:rFonts w:cs="FrutigerLTStd-Roman"/>
          <w:sz w:val="20"/>
          <w:szCs w:val="20"/>
        </w:rPr>
        <w:t>IPS was ‘</w:t>
      </w:r>
      <w:r w:rsidRPr="00BE767E">
        <w:rPr>
          <w:rFonts w:cs="FrutigerLTStd-Roman"/>
          <w:sz w:val="20"/>
          <w:szCs w:val="20"/>
        </w:rPr>
        <w:t>not fit for purpose</w:t>
      </w:r>
      <w:r w:rsidR="00A02D8B">
        <w:rPr>
          <w:rFonts w:cs="FrutigerLTStd-Roman"/>
          <w:sz w:val="20"/>
          <w:szCs w:val="20"/>
        </w:rPr>
        <w:t>’</w:t>
      </w:r>
      <w:r w:rsidR="005178F7">
        <w:rPr>
          <w:rFonts w:cs="FrutigerLTStd-Roman"/>
          <w:sz w:val="20"/>
          <w:szCs w:val="20"/>
        </w:rPr>
        <w:t xml:space="preserve"> and ‘not suitable for estimating international migration.’</w:t>
      </w:r>
      <w:r w:rsidR="00793B90">
        <w:rPr>
          <w:rFonts w:cs="FrutigerLTStd-Roman"/>
          <w:sz w:val="20"/>
          <w:szCs w:val="20"/>
        </w:rPr>
        <w:t xml:space="preserve"> </w:t>
      </w:r>
    </w:p>
  </w:footnote>
  <w:footnote w:id="10">
    <w:p w:rsidR="000A4B43" w:rsidRDefault="000A4B43">
      <w:pPr>
        <w:pStyle w:val="FootnoteText"/>
      </w:pPr>
      <w:r>
        <w:rPr>
          <w:rStyle w:val="FootnoteReference"/>
        </w:rPr>
        <w:footnoteRef/>
      </w:r>
      <w:r>
        <w:t xml:space="preserve"> </w:t>
      </w:r>
      <w:proofErr w:type="gramStart"/>
      <w:r>
        <w:t xml:space="preserve">Treating students as ‘migrants’ despite the obvious differences between </w:t>
      </w:r>
      <w:r w:rsidR="00194F33">
        <w:t>students</w:t>
      </w:r>
      <w:r>
        <w:t xml:space="preserve"> and economic migrants.</w:t>
      </w:r>
      <w:proofErr w:type="gramEnd"/>
    </w:p>
  </w:footnote>
  <w:footnote w:id="11">
    <w:p w:rsidR="00114511" w:rsidRDefault="00114511">
      <w:pPr>
        <w:pStyle w:val="FootnoteText"/>
      </w:pPr>
      <w:r>
        <w:rPr>
          <w:rStyle w:val="FootnoteReference"/>
        </w:rPr>
        <w:footnoteRef/>
      </w:r>
      <w:r>
        <w:t xml:space="preserve"> </w:t>
      </w:r>
      <w:r w:rsidR="00FB4FA6">
        <w:t>The IPS’s poor record in counting the outflow of young people, especially men, has long been recognised: it was the largest source of the error, discovered following the 2001 census, which led to previous estimates greatly overstating the size of the British population.</w:t>
      </w:r>
    </w:p>
  </w:footnote>
  <w:footnote w:id="12">
    <w:p w:rsidR="002D4044" w:rsidRDefault="002D4044">
      <w:pPr>
        <w:pStyle w:val="FootnoteText"/>
      </w:pPr>
      <w:r>
        <w:rPr>
          <w:rStyle w:val="FootnoteReference"/>
        </w:rPr>
        <w:footnoteRef/>
      </w:r>
      <w:r>
        <w:t xml:space="preserve"> “Inflow” refers to the gross numbers entering the country, “outflow” to the numbers leaving.  </w:t>
      </w:r>
      <w:proofErr w:type="gramStart"/>
      <w:r>
        <w:t>“Net migration” to the balance of the two.</w:t>
      </w:r>
      <w:proofErr w:type="gramEnd"/>
    </w:p>
  </w:footnote>
  <w:footnote w:id="13">
    <w:p w:rsidR="004D3243" w:rsidRDefault="004D3243" w:rsidP="004D3243">
      <w:pPr>
        <w:pStyle w:val="FootnoteText"/>
      </w:pPr>
      <w:r>
        <w:rPr>
          <w:rStyle w:val="FootnoteReference"/>
        </w:rPr>
        <w:footnoteRef/>
      </w:r>
      <w:r>
        <w:t xml:space="preserve"> Because MAC distrusts IPS outflow figures, there is no neat fit between this permitted inflow of 75,400, the Tier 4 net migration target of 22,800, and the IPS student outflow figure for </w:t>
      </w:r>
      <w:proofErr w:type="gramStart"/>
      <w:r>
        <w:t>2009  of</w:t>
      </w:r>
      <w:proofErr w:type="gramEnd"/>
      <w:r>
        <w:t xml:space="preserve"> 34,000.  Instead, MAC is implicitly envisaging some viring between the </w:t>
      </w:r>
      <w:proofErr w:type="gramStart"/>
      <w:r>
        <w:t>outflow</w:t>
      </w:r>
      <w:proofErr w:type="gramEnd"/>
      <w:r>
        <w:t xml:space="preserve"> attributable to each of the three migration routes, and allowing for rather higher student outflow than IPS records.   </w:t>
      </w:r>
    </w:p>
  </w:footnote>
  <w:footnote w:id="14">
    <w:p w:rsidR="001E5FC3" w:rsidRDefault="001E5FC3">
      <w:pPr>
        <w:pStyle w:val="FootnoteText"/>
      </w:pPr>
      <w:r>
        <w:rPr>
          <w:rStyle w:val="FootnoteReference"/>
        </w:rPr>
        <w:footnoteRef/>
      </w:r>
      <w:r>
        <w:t xml:space="preserve"> At this point, MAC becomes opaque. But it seems that while feeling obligated to accept IPS figures for net immigration – </w:t>
      </w:r>
      <w:r w:rsidR="00EC36E9">
        <w:t>163</w:t>
      </w:r>
      <w:r>
        <w:t xml:space="preserve">,000 in 2008, 196,000 in 2009 – it regards its own estimates as a closer guide to reality. </w:t>
      </w:r>
      <w:r w:rsidR="00353770">
        <w:t>Its own estimate</w:t>
      </w:r>
      <w:r>
        <w:t xml:space="preserve"> for 2008 </w:t>
      </w:r>
      <w:r w:rsidR="00353770">
        <w:t xml:space="preserve">(p. 301) </w:t>
      </w:r>
      <w:r>
        <w:t>indicate</w:t>
      </w:r>
      <w:r w:rsidR="00353770">
        <w:t>s</w:t>
      </w:r>
      <w:r>
        <w:t xml:space="preserve"> that total non-EU outflow was some 95,000 higher than IPS recorded. </w:t>
      </w:r>
      <w:r w:rsidR="00353770">
        <w:t xml:space="preserve">It is a little awkward that this would bring overall net immigration down to </w:t>
      </w:r>
      <w:r w:rsidR="00EC36E9">
        <w:t>68</w:t>
      </w:r>
      <w:r>
        <w:t>,000</w:t>
      </w:r>
      <w:r w:rsidR="00353770">
        <w:t xml:space="preserve"> (tens of thousands) before any new migration limits are introduced. Perhaps prudently, MAC does not provide its own outflow estimates f</w:t>
      </w:r>
      <w:r w:rsidR="00EF4ADF">
        <w:t xml:space="preserve">or the benchmark year 2009. </w:t>
      </w:r>
    </w:p>
  </w:footnote>
  <w:footnote w:id="15">
    <w:p w:rsidR="000D627A" w:rsidRDefault="000D627A" w:rsidP="006D5417">
      <w:pPr>
        <w:autoSpaceDE w:val="0"/>
        <w:autoSpaceDN w:val="0"/>
        <w:adjustRightInd w:val="0"/>
        <w:spacing w:after="0" w:line="240" w:lineRule="auto"/>
      </w:pPr>
      <w:r w:rsidRPr="006D5417">
        <w:rPr>
          <w:rStyle w:val="FootnoteReference"/>
          <w:sz w:val="20"/>
          <w:szCs w:val="20"/>
        </w:rPr>
        <w:footnoteRef/>
      </w:r>
      <w:r w:rsidRPr="006D5417">
        <w:rPr>
          <w:sz w:val="20"/>
          <w:szCs w:val="20"/>
        </w:rPr>
        <w:t xml:space="preserve"> </w:t>
      </w:r>
      <w:r w:rsidR="006D5417" w:rsidRPr="006D5417">
        <w:rPr>
          <w:sz w:val="20"/>
          <w:szCs w:val="20"/>
        </w:rPr>
        <w:t xml:space="preserve">The UKBA’s December 2010 study on </w:t>
      </w:r>
      <w:r w:rsidR="006D5417" w:rsidRPr="006D5417">
        <w:rPr>
          <w:i/>
          <w:sz w:val="20"/>
          <w:szCs w:val="20"/>
        </w:rPr>
        <w:t>Overseas Students</w:t>
      </w:r>
      <w:r w:rsidR="006D5417" w:rsidRPr="006D5417">
        <w:rPr>
          <w:sz w:val="20"/>
          <w:szCs w:val="20"/>
        </w:rPr>
        <w:t xml:space="preserve"> reports that ‘a</w:t>
      </w:r>
      <w:r w:rsidR="006D5417" w:rsidRPr="006D5417">
        <w:rPr>
          <w:rFonts w:cs="FranklinGothic-Book"/>
          <w:sz w:val="20"/>
          <w:szCs w:val="20"/>
        </w:rPr>
        <w:t>pproximately 50</w:t>
      </w:r>
      <w:r w:rsidR="0030414E">
        <w:rPr>
          <w:rFonts w:cs="FranklinGothic-Book"/>
          <w:sz w:val="20"/>
          <w:szCs w:val="20"/>
        </w:rPr>
        <w:t xml:space="preserve"> </w:t>
      </w:r>
      <w:r w:rsidR="006D5417" w:rsidRPr="006D5417">
        <w:rPr>
          <w:rFonts w:cs="FranklinGothic-Book"/>
          <w:sz w:val="20"/>
          <w:szCs w:val="20"/>
        </w:rPr>
        <w:t>per cent of all routes and carriers are currently covered by e-Borders, alth</w:t>
      </w:r>
      <w:r w:rsidR="0030414E">
        <w:rPr>
          <w:rFonts w:cs="FranklinGothic-Book"/>
          <w:sz w:val="20"/>
          <w:szCs w:val="20"/>
        </w:rPr>
        <w:t>ough key routes are all covered</w:t>
      </w:r>
      <w:r w:rsidR="006D5417">
        <w:rPr>
          <w:rFonts w:cs="FranklinGothic-Book"/>
          <w:sz w:val="20"/>
          <w:szCs w:val="20"/>
        </w:rPr>
        <w:t>’</w:t>
      </w:r>
      <w:r w:rsidR="0030414E">
        <w:rPr>
          <w:rFonts w:cs="FranklinGothic-Book"/>
          <w:sz w:val="20"/>
          <w:szCs w:val="20"/>
        </w:rPr>
        <w:t xml:space="preserve"> (p. 8). </w:t>
      </w:r>
      <w:r w:rsidR="006D5417">
        <w:rPr>
          <w:rFonts w:cs="FranklinGothic-Book"/>
          <w:sz w:val="20"/>
          <w:szCs w:val="20"/>
        </w:rPr>
        <w:t xml:space="preserve"> Coverage was sufficient for that </w:t>
      </w:r>
      <w:r w:rsidR="0030414E">
        <w:rPr>
          <w:rFonts w:cs="FranklinGothic-Book"/>
          <w:sz w:val="20"/>
          <w:szCs w:val="20"/>
        </w:rPr>
        <w:t xml:space="preserve">sample </w:t>
      </w:r>
      <w:r w:rsidR="006D5417">
        <w:rPr>
          <w:rFonts w:cs="FranklinGothic-Book"/>
          <w:sz w:val="20"/>
          <w:szCs w:val="20"/>
        </w:rPr>
        <w:t>study to judge that no more (and quite possibly less) than 2% of</w:t>
      </w:r>
      <w:r w:rsidR="0030414E">
        <w:rPr>
          <w:rFonts w:cs="FranklinGothic-Book"/>
          <w:sz w:val="20"/>
          <w:szCs w:val="20"/>
        </w:rPr>
        <w:t xml:space="preserve"> the</w:t>
      </w:r>
      <w:r w:rsidR="006D5417">
        <w:rPr>
          <w:rFonts w:cs="FranklinGothic-Book"/>
          <w:sz w:val="20"/>
          <w:szCs w:val="20"/>
        </w:rPr>
        <w:t xml:space="preserve"> ex-university students due to leave the country did so.</w:t>
      </w:r>
      <w:r w:rsidR="006D5417">
        <w:rPr>
          <w:rFonts w:ascii="FranklinGothic-Book" w:hAnsi="FranklinGothic-Book" w:cs="FranklinGothic-Book"/>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CA" w:rsidRPr="007227CA" w:rsidRDefault="005A1529" w:rsidP="005A1529">
    <w:pPr>
      <w:pStyle w:val="Header"/>
      <w:tabs>
        <w:tab w:val="left" w:pos="2400"/>
        <w:tab w:val="center" w:pos="4513"/>
      </w:tabs>
      <w:rPr>
        <w:b/>
      </w:rPr>
    </w:pPr>
    <w:r>
      <w:rPr>
        <w:b/>
      </w:rPr>
      <w:tab/>
    </w:r>
    <w:r>
      <w:rPr>
        <w:b/>
      </w:rPr>
      <w:tab/>
    </w:r>
  </w:p>
  <w:p w:rsidR="007227CA" w:rsidRDefault="00722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B2576"/>
    <w:multiLevelType w:val="hybridMultilevel"/>
    <w:tmpl w:val="D8E45C78"/>
    <w:lvl w:ilvl="0" w:tplc="E8242B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611824"/>
    <w:multiLevelType w:val="hybridMultilevel"/>
    <w:tmpl w:val="CC08C728"/>
    <w:lvl w:ilvl="0" w:tplc="0809000F">
      <w:start w:val="1"/>
      <w:numFmt w:val="decimal"/>
      <w:lvlText w:val="%1."/>
      <w:lvlJc w:val="left"/>
      <w:pPr>
        <w:ind w:left="720" w:hanging="360"/>
      </w:pPr>
    </w:lvl>
    <w:lvl w:ilvl="1" w:tplc="DF427042">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docVars>
    <w:docVar w:name="dgnword-docGUID" w:val="{39C90CE5-8C4F-45B2-9FD8-EB63C2EF0E40}"/>
    <w:docVar w:name="dgnword-eventsink" w:val="72763920"/>
  </w:docVars>
  <w:rsids>
    <w:rsidRoot w:val="006A4110"/>
    <w:rsid w:val="00041598"/>
    <w:rsid w:val="00076265"/>
    <w:rsid w:val="000A4B43"/>
    <w:rsid w:val="000B5110"/>
    <w:rsid w:val="000D4028"/>
    <w:rsid w:val="000D627A"/>
    <w:rsid w:val="001020ED"/>
    <w:rsid w:val="00114511"/>
    <w:rsid w:val="00146F74"/>
    <w:rsid w:val="00162700"/>
    <w:rsid w:val="00181C91"/>
    <w:rsid w:val="00193723"/>
    <w:rsid w:val="00194F33"/>
    <w:rsid w:val="001B0496"/>
    <w:rsid w:val="001D6693"/>
    <w:rsid w:val="001E5FC3"/>
    <w:rsid w:val="001F2E56"/>
    <w:rsid w:val="00202870"/>
    <w:rsid w:val="00210AFE"/>
    <w:rsid w:val="00214FBD"/>
    <w:rsid w:val="00222057"/>
    <w:rsid w:val="002379A8"/>
    <w:rsid w:val="00250227"/>
    <w:rsid w:val="00262C6B"/>
    <w:rsid w:val="00295AB7"/>
    <w:rsid w:val="002D4044"/>
    <w:rsid w:val="002D62FF"/>
    <w:rsid w:val="0030414E"/>
    <w:rsid w:val="00325407"/>
    <w:rsid w:val="00353770"/>
    <w:rsid w:val="00374020"/>
    <w:rsid w:val="00393191"/>
    <w:rsid w:val="003978A4"/>
    <w:rsid w:val="003C7217"/>
    <w:rsid w:val="003D6BA6"/>
    <w:rsid w:val="003F56D0"/>
    <w:rsid w:val="004335BE"/>
    <w:rsid w:val="00465BE2"/>
    <w:rsid w:val="004704D7"/>
    <w:rsid w:val="00482DB2"/>
    <w:rsid w:val="004A6E6E"/>
    <w:rsid w:val="004D1F2F"/>
    <w:rsid w:val="004D3243"/>
    <w:rsid w:val="005178F7"/>
    <w:rsid w:val="00533AA9"/>
    <w:rsid w:val="0055530F"/>
    <w:rsid w:val="005778EC"/>
    <w:rsid w:val="00593F94"/>
    <w:rsid w:val="005A1529"/>
    <w:rsid w:val="005A3872"/>
    <w:rsid w:val="005D2290"/>
    <w:rsid w:val="005E6AEF"/>
    <w:rsid w:val="00621825"/>
    <w:rsid w:val="00631E8B"/>
    <w:rsid w:val="006456D4"/>
    <w:rsid w:val="00671036"/>
    <w:rsid w:val="00685E3C"/>
    <w:rsid w:val="006A4110"/>
    <w:rsid w:val="006B5870"/>
    <w:rsid w:val="006D1644"/>
    <w:rsid w:val="006D5417"/>
    <w:rsid w:val="00705A68"/>
    <w:rsid w:val="007227CA"/>
    <w:rsid w:val="00730B15"/>
    <w:rsid w:val="00731488"/>
    <w:rsid w:val="00744002"/>
    <w:rsid w:val="00765DB2"/>
    <w:rsid w:val="00774D7E"/>
    <w:rsid w:val="00776E18"/>
    <w:rsid w:val="0079280C"/>
    <w:rsid w:val="00793B90"/>
    <w:rsid w:val="00804EC5"/>
    <w:rsid w:val="00813FC9"/>
    <w:rsid w:val="008C1FE2"/>
    <w:rsid w:val="008D4988"/>
    <w:rsid w:val="00903A8A"/>
    <w:rsid w:val="009727DE"/>
    <w:rsid w:val="00975128"/>
    <w:rsid w:val="00976107"/>
    <w:rsid w:val="009A1A88"/>
    <w:rsid w:val="009A37EC"/>
    <w:rsid w:val="009B2821"/>
    <w:rsid w:val="009B4874"/>
    <w:rsid w:val="009C1832"/>
    <w:rsid w:val="009D3993"/>
    <w:rsid w:val="009E2401"/>
    <w:rsid w:val="00A02D8B"/>
    <w:rsid w:val="00A31CFC"/>
    <w:rsid w:val="00A61428"/>
    <w:rsid w:val="00A97129"/>
    <w:rsid w:val="00AB5355"/>
    <w:rsid w:val="00B41717"/>
    <w:rsid w:val="00B6430F"/>
    <w:rsid w:val="00B649F6"/>
    <w:rsid w:val="00BA05A6"/>
    <w:rsid w:val="00BE72F0"/>
    <w:rsid w:val="00BE767E"/>
    <w:rsid w:val="00C50C12"/>
    <w:rsid w:val="00C50FDB"/>
    <w:rsid w:val="00C667D7"/>
    <w:rsid w:val="00CA28A8"/>
    <w:rsid w:val="00CF25B3"/>
    <w:rsid w:val="00D266B6"/>
    <w:rsid w:val="00D31412"/>
    <w:rsid w:val="00D447FE"/>
    <w:rsid w:val="00D621BC"/>
    <w:rsid w:val="00D9045F"/>
    <w:rsid w:val="00DA1919"/>
    <w:rsid w:val="00DB24EE"/>
    <w:rsid w:val="00DE22AB"/>
    <w:rsid w:val="00E076A9"/>
    <w:rsid w:val="00E15198"/>
    <w:rsid w:val="00E20297"/>
    <w:rsid w:val="00E22DF9"/>
    <w:rsid w:val="00E23BF3"/>
    <w:rsid w:val="00E26341"/>
    <w:rsid w:val="00E54119"/>
    <w:rsid w:val="00EC36E9"/>
    <w:rsid w:val="00EF2CEA"/>
    <w:rsid w:val="00EF4ADF"/>
    <w:rsid w:val="00EF605E"/>
    <w:rsid w:val="00F27222"/>
    <w:rsid w:val="00F50B42"/>
    <w:rsid w:val="00F54D87"/>
    <w:rsid w:val="00F72A77"/>
    <w:rsid w:val="00F9044F"/>
    <w:rsid w:val="00FB4FA6"/>
    <w:rsid w:val="00FE15A5"/>
    <w:rsid w:val="00FF7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1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9A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79A8"/>
    <w:rPr>
      <w:vertAlign w:val="superscript"/>
    </w:rPr>
  </w:style>
  <w:style w:type="paragraph" w:styleId="NormalWeb">
    <w:name w:val="Normal (Web)"/>
    <w:basedOn w:val="Normal"/>
    <w:uiPriority w:val="99"/>
    <w:unhideWhenUsed/>
    <w:rsid w:val="002379A8"/>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semiHidden/>
    <w:unhideWhenUsed/>
    <w:rsid w:val="00076265"/>
    <w:rPr>
      <w:color w:val="0000FF"/>
      <w:u w:val="single"/>
    </w:rPr>
  </w:style>
  <w:style w:type="character" w:styleId="CommentReference">
    <w:name w:val="annotation reference"/>
    <w:basedOn w:val="DefaultParagraphFont"/>
    <w:uiPriority w:val="99"/>
    <w:semiHidden/>
    <w:unhideWhenUsed/>
    <w:rsid w:val="00705A68"/>
    <w:rPr>
      <w:sz w:val="16"/>
      <w:szCs w:val="16"/>
    </w:rPr>
  </w:style>
  <w:style w:type="paragraph" w:styleId="CommentText">
    <w:name w:val="annotation text"/>
    <w:basedOn w:val="Normal"/>
    <w:link w:val="CommentTextChar"/>
    <w:uiPriority w:val="99"/>
    <w:semiHidden/>
    <w:unhideWhenUsed/>
    <w:rsid w:val="00705A68"/>
    <w:rPr>
      <w:sz w:val="20"/>
      <w:szCs w:val="20"/>
    </w:rPr>
  </w:style>
  <w:style w:type="character" w:customStyle="1" w:styleId="CommentTextChar">
    <w:name w:val="Comment Text Char"/>
    <w:basedOn w:val="DefaultParagraphFont"/>
    <w:link w:val="CommentText"/>
    <w:uiPriority w:val="99"/>
    <w:semiHidden/>
    <w:rsid w:val="00705A68"/>
    <w:rPr>
      <w:lang w:eastAsia="en-US"/>
    </w:rPr>
  </w:style>
  <w:style w:type="paragraph" w:styleId="CommentSubject">
    <w:name w:val="annotation subject"/>
    <w:basedOn w:val="CommentText"/>
    <w:next w:val="CommentText"/>
    <w:link w:val="CommentSubjectChar"/>
    <w:uiPriority w:val="99"/>
    <w:semiHidden/>
    <w:unhideWhenUsed/>
    <w:rsid w:val="00705A68"/>
    <w:rPr>
      <w:b/>
      <w:bCs/>
    </w:rPr>
  </w:style>
  <w:style w:type="character" w:customStyle="1" w:styleId="CommentSubjectChar">
    <w:name w:val="Comment Subject Char"/>
    <w:basedOn w:val="CommentTextChar"/>
    <w:link w:val="CommentSubject"/>
    <w:uiPriority w:val="99"/>
    <w:semiHidden/>
    <w:rsid w:val="00705A68"/>
    <w:rPr>
      <w:b/>
      <w:bCs/>
    </w:rPr>
  </w:style>
  <w:style w:type="paragraph" w:styleId="BalloonText">
    <w:name w:val="Balloon Text"/>
    <w:basedOn w:val="Normal"/>
    <w:link w:val="BalloonTextChar"/>
    <w:uiPriority w:val="99"/>
    <w:semiHidden/>
    <w:unhideWhenUsed/>
    <w:rsid w:val="00705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A68"/>
    <w:rPr>
      <w:rFonts w:ascii="Tahoma" w:hAnsi="Tahoma" w:cs="Tahoma"/>
      <w:sz w:val="16"/>
      <w:szCs w:val="16"/>
      <w:lang w:eastAsia="en-US"/>
    </w:rPr>
  </w:style>
  <w:style w:type="paragraph" w:styleId="Header">
    <w:name w:val="header"/>
    <w:basedOn w:val="Normal"/>
    <w:link w:val="HeaderChar"/>
    <w:uiPriority w:val="99"/>
    <w:unhideWhenUsed/>
    <w:rsid w:val="00722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7CA"/>
    <w:rPr>
      <w:sz w:val="22"/>
      <w:szCs w:val="22"/>
      <w:lang w:eastAsia="en-US"/>
    </w:rPr>
  </w:style>
  <w:style w:type="paragraph" w:styleId="Footer">
    <w:name w:val="footer"/>
    <w:basedOn w:val="Normal"/>
    <w:link w:val="FooterChar"/>
    <w:uiPriority w:val="99"/>
    <w:semiHidden/>
    <w:unhideWhenUsed/>
    <w:rsid w:val="007227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27C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9721161">
      <w:bodyDiv w:val="1"/>
      <w:marLeft w:val="0"/>
      <w:marRight w:val="0"/>
      <w:marTop w:val="0"/>
      <w:marBottom w:val="0"/>
      <w:divBdr>
        <w:top w:val="none" w:sz="0" w:space="0" w:color="auto"/>
        <w:left w:val="none" w:sz="0" w:space="0" w:color="auto"/>
        <w:bottom w:val="none" w:sz="0" w:space="0" w:color="auto"/>
        <w:right w:val="none" w:sz="0" w:space="0" w:color="auto"/>
      </w:divBdr>
    </w:div>
    <w:div w:id="543642500">
      <w:bodyDiv w:val="1"/>
      <w:marLeft w:val="0"/>
      <w:marRight w:val="0"/>
      <w:marTop w:val="0"/>
      <w:marBottom w:val="0"/>
      <w:divBdr>
        <w:top w:val="none" w:sz="0" w:space="0" w:color="auto"/>
        <w:left w:val="none" w:sz="0" w:space="0" w:color="auto"/>
        <w:bottom w:val="none" w:sz="0" w:space="0" w:color="auto"/>
        <w:right w:val="none" w:sz="0" w:space="0" w:color="auto"/>
      </w:divBdr>
    </w:div>
    <w:div w:id="594173680">
      <w:bodyDiv w:val="1"/>
      <w:marLeft w:val="0"/>
      <w:marRight w:val="0"/>
      <w:marTop w:val="0"/>
      <w:marBottom w:val="0"/>
      <w:divBdr>
        <w:top w:val="none" w:sz="0" w:space="0" w:color="auto"/>
        <w:left w:val="none" w:sz="0" w:space="0" w:color="auto"/>
        <w:bottom w:val="none" w:sz="0" w:space="0" w:color="auto"/>
        <w:right w:val="none" w:sz="0" w:space="0" w:color="auto"/>
      </w:divBdr>
    </w:div>
    <w:div w:id="834999906">
      <w:bodyDiv w:val="1"/>
      <w:marLeft w:val="0"/>
      <w:marRight w:val="0"/>
      <w:marTop w:val="0"/>
      <w:marBottom w:val="0"/>
      <w:divBdr>
        <w:top w:val="none" w:sz="0" w:space="0" w:color="auto"/>
        <w:left w:val="none" w:sz="0" w:space="0" w:color="auto"/>
        <w:bottom w:val="none" w:sz="0" w:space="0" w:color="auto"/>
        <w:right w:val="none" w:sz="0" w:space="0" w:color="auto"/>
      </w:divBdr>
    </w:div>
    <w:div w:id="936212169">
      <w:bodyDiv w:val="1"/>
      <w:marLeft w:val="0"/>
      <w:marRight w:val="0"/>
      <w:marTop w:val="0"/>
      <w:marBottom w:val="0"/>
      <w:divBdr>
        <w:top w:val="none" w:sz="0" w:space="0" w:color="auto"/>
        <w:left w:val="none" w:sz="0" w:space="0" w:color="auto"/>
        <w:bottom w:val="none" w:sz="0" w:space="0" w:color="auto"/>
        <w:right w:val="none" w:sz="0" w:space="0" w:color="auto"/>
      </w:divBdr>
      <w:divsChild>
        <w:div w:id="809980468">
          <w:marLeft w:val="0"/>
          <w:marRight w:val="0"/>
          <w:marTop w:val="100"/>
          <w:marBottom w:val="100"/>
          <w:divBdr>
            <w:top w:val="none" w:sz="0" w:space="0" w:color="auto"/>
            <w:left w:val="none" w:sz="0" w:space="0" w:color="auto"/>
            <w:bottom w:val="none" w:sz="0" w:space="0" w:color="auto"/>
            <w:right w:val="none" w:sz="0" w:space="0" w:color="auto"/>
          </w:divBdr>
          <w:divsChild>
            <w:div w:id="533545336">
              <w:marLeft w:val="0"/>
              <w:marRight w:val="0"/>
              <w:marTop w:val="0"/>
              <w:marBottom w:val="0"/>
              <w:divBdr>
                <w:top w:val="none" w:sz="0" w:space="0" w:color="auto"/>
                <w:left w:val="none" w:sz="0" w:space="0" w:color="auto"/>
                <w:bottom w:val="none" w:sz="0" w:space="0" w:color="auto"/>
                <w:right w:val="none" w:sz="0" w:space="0" w:color="auto"/>
              </w:divBdr>
              <w:divsChild>
                <w:div w:id="1624581230">
                  <w:marLeft w:val="0"/>
                  <w:marRight w:val="0"/>
                  <w:marTop w:val="0"/>
                  <w:marBottom w:val="0"/>
                  <w:divBdr>
                    <w:top w:val="none" w:sz="0" w:space="0" w:color="auto"/>
                    <w:left w:val="none" w:sz="0" w:space="0" w:color="auto"/>
                    <w:bottom w:val="none" w:sz="0" w:space="0" w:color="auto"/>
                    <w:right w:val="none" w:sz="0" w:space="0" w:color="auto"/>
                  </w:divBdr>
                  <w:divsChild>
                    <w:div w:id="1199245245">
                      <w:marLeft w:val="0"/>
                      <w:marRight w:val="0"/>
                      <w:marTop w:val="0"/>
                      <w:marBottom w:val="0"/>
                      <w:divBdr>
                        <w:top w:val="none" w:sz="0" w:space="0" w:color="auto"/>
                        <w:left w:val="none" w:sz="0" w:space="0" w:color="auto"/>
                        <w:bottom w:val="none" w:sz="0" w:space="0" w:color="auto"/>
                        <w:right w:val="none" w:sz="0" w:space="0" w:color="auto"/>
                      </w:divBdr>
                      <w:divsChild>
                        <w:div w:id="1485507086">
                          <w:marLeft w:val="0"/>
                          <w:marRight w:val="0"/>
                          <w:marTop w:val="0"/>
                          <w:marBottom w:val="0"/>
                          <w:divBdr>
                            <w:top w:val="none" w:sz="0" w:space="0" w:color="auto"/>
                            <w:left w:val="none" w:sz="0" w:space="0" w:color="auto"/>
                            <w:bottom w:val="none" w:sz="0" w:space="0" w:color="auto"/>
                            <w:right w:val="none" w:sz="0" w:space="0" w:color="auto"/>
                          </w:divBdr>
                          <w:divsChild>
                            <w:div w:id="5545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81704">
      <w:bodyDiv w:val="1"/>
      <w:marLeft w:val="0"/>
      <w:marRight w:val="0"/>
      <w:marTop w:val="0"/>
      <w:marBottom w:val="0"/>
      <w:divBdr>
        <w:top w:val="none" w:sz="0" w:space="0" w:color="auto"/>
        <w:left w:val="none" w:sz="0" w:space="0" w:color="auto"/>
        <w:bottom w:val="none" w:sz="0" w:space="0" w:color="auto"/>
        <w:right w:val="none" w:sz="0" w:space="0" w:color="auto"/>
      </w:divBdr>
    </w:div>
    <w:div w:id="1739670031">
      <w:bodyDiv w:val="1"/>
      <w:marLeft w:val="0"/>
      <w:marRight w:val="0"/>
      <w:marTop w:val="0"/>
      <w:marBottom w:val="0"/>
      <w:divBdr>
        <w:top w:val="none" w:sz="0" w:space="0" w:color="auto"/>
        <w:left w:val="none" w:sz="0" w:space="0" w:color="auto"/>
        <w:bottom w:val="none" w:sz="0" w:space="0" w:color="auto"/>
        <w:right w:val="none" w:sz="0" w:space="0" w:color="auto"/>
      </w:divBdr>
      <w:divsChild>
        <w:div w:id="15038171">
          <w:marLeft w:val="0"/>
          <w:marRight w:val="0"/>
          <w:marTop w:val="100"/>
          <w:marBottom w:val="100"/>
          <w:divBdr>
            <w:top w:val="none" w:sz="0" w:space="0" w:color="auto"/>
            <w:left w:val="none" w:sz="0" w:space="0" w:color="auto"/>
            <w:bottom w:val="none" w:sz="0" w:space="0" w:color="auto"/>
            <w:right w:val="none" w:sz="0" w:space="0" w:color="auto"/>
          </w:divBdr>
          <w:divsChild>
            <w:div w:id="1793744319">
              <w:marLeft w:val="0"/>
              <w:marRight w:val="0"/>
              <w:marTop w:val="0"/>
              <w:marBottom w:val="0"/>
              <w:divBdr>
                <w:top w:val="none" w:sz="0" w:space="0" w:color="auto"/>
                <w:left w:val="none" w:sz="0" w:space="0" w:color="auto"/>
                <w:bottom w:val="none" w:sz="0" w:space="0" w:color="auto"/>
                <w:right w:val="none" w:sz="0" w:space="0" w:color="auto"/>
              </w:divBdr>
              <w:divsChild>
                <w:div w:id="282927953">
                  <w:marLeft w:val="0"/>
                  <w:marRight w:val="0"/>
                  <w:marTop w:val="0"/>
                  <w:marBottom w:val="0"/>
                  <w:divBdr>
                    <w:top w:val="none" w:sz="0" w:space="0" w:color="auto"/>
                    <w:left w:val="none" w:sz="0" w:space="0" w:color="auto"/>
                    <w:bottom w:val="none" w:sz="0" w:space="0" w:color="auto"/>
                    <w:right w:val="none" w:sz="0" w:space="0" w:color="auto"/>
                  </w:divBdr>
                  <w:divsChild>
                    <w:div w:id="8762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6F44-20FB-4B70-9E3A-C0143026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12</Pages>
  <Words>4622</Words>
  <Characters>26351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and Computing Service</dc:creator>
  <cp:lastModifiedBy> </cp:lastModifiedBy>
  <cp:revision>5</cp:revision>
  <cp:lastPrinted>2011-02-18T10:01:00Z</cp:lastPrinted>
  <dcterms:created xsi:type="dcterms:W3CDTF">2011-02-14T07:56:00Z</dcterms:created>
  <dcterms:modified xsi:type="dcterms:W3CDTF">2011-02-18T10:22:00Z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