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8B" w:rsidRPr="00AD32FF" w:rsidRDefault="001D1EF1" w:rsidP="0079346A">
      <w:pPr>
        <w:ind w:right="332"/>
        <w:jc w:val="center"/>
        <w:rPr>
          <w:rFonts w:ascii="Verdana" w:hAnsi="Verdana"/>
          <w:b/>
          <w:color w:val="000000"/>
          <w:sz w:val="22"/>
          <w:szCs w:val="22"/>
        </w:rPr>
      </w:pPr>
      <w:r w:rsidRPr="00AD32FF">
        <w:rPr>
          <w:rFonts w:ascii="Verdana" w:hAnsi="Verdana"/>
          <w:b/>
          <w:color w:val="000000"/>
          <w:sz w:val="22"/>
          <w:szCs w:val="22"/>
        </w:rPr>
        <w:t>Private Providers in UK Higher Education:</w:t>
      </w:r>
      <w:r w:rsidR="0022592D" w:rsidRPr="00AD32FF">
        <w:rPr>
          <w:rFonts w:ascii="Verdana" w:hAnsi="Verdana"/>
          <w:b/>
          <w:color w:val="000000"/>
          <w:sz w:val="22"/>
          <w:szCs w:val="22"/>
        </w:rPr>
        <w:t xml:space="preserve">  </w:t>
      </w:r>
      <w:r w:rsidRPr="00AD32FF">
        <w:rPr>
          <w:rFonts w:ascii="Verdana" w:hAnsi="Verdana"/>
          <w:b/>
          <w:color w:val="000000"/>
          <w:sz w:val="22"/>
          <w:szCs w:val="22"/>
        </w:rPr>
        <w:t>Some Policy Options</w:t>
      </w:r>
    </w:p>
    <w:p w:rsidR="00393C8B" w:rsidRPr="00AD32FF" w:rsidRDefault="0022592D" w:rsidP="0079346A">
      <w:pPr>
        <w:spacing w:before="120" w:line="300" w:lineRule="atLeast"/>
        <w:ind w:right="332"/>
        <w:jc w:val="center"/>
        <w:rPr>
          <w:rFonts w:ascii="Verdana" w:hAnsi="Verdana"/>
          <w:b/>
          <w:color w:val="000000"/>
          <w:sz w:val="22"/>
          <w:szCs w:val="22"/>
        </w:rPr>
      </w:pPr>
      <w:r w:rsidRPr="00AD32FF">
        <w:rPr>
          <w:rFonts w:ascii="Verdana" w:hAnsi="Verdana"/>
          <w:b/>
          <w:color w:val="000000"/>
          <w:sz w:val="22"/>
          <w:szCs w:val="22"/>
        </w:rPr>
        <w:t xml:space="preserve">By </w:t>
      </w:r>
      <w:r w:rsidR="00424983" w:rsidRPr="00AD32FF">
        <w:rPr>
          <w:rFonts w:ascii="Verdana" w:hAnsi="Verdana"/>
          <w:b/>
          <w:color w:val="000000"/>
          <w:sz w:val="22"/>
          <w:szCs w:val="22"/>
        </w:rPr>
        <w:t>Professor Robin Middlehurst a</w:t>
      </w:r>
      <w:r w:rsidR="00DB3CF4" w:rsidRPr="00AD32FF">
        <w:rPr>
          <w:rFonts w:ascii="Verdana" w:hAnsi="Verdana"/>
          <w:b/>
          <w:color w:val="000000"/>
          <w:sz w:val="22"/>
          <w:szCs w:val="22"/>
        </w:rPr>
        <w:t>nd</w:t>
      </w:r>
      <w:r w:rsidR="00424983" w:rsidRPr="00AD32FF">
        <w:rPr>
          <w:rFonts w:ascii="Verdana" w:hAnsi="Verdana"/>
          <w:b/>
          <w:color w:val="000000"/>
          <w:sz w:val="22"/>
          <w:szCs w:val="22"/>
        </w:rPr>
        <w:t xml:space="preserve"> John Fielden</w:t>
      </w:r>
    </w:p>
    <w:p w:rsidR="00393C8B" w:rsidRPr="00AD32FF" w:rsidRDefault="000B4426"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This </w:t>
      </w:r>
      <w:r w:rsidR="00D568E3" w:rsidRPr="00AD32FF">
        <w:rPr>
          <w:rFonts w:ascii="Verdana" w:hAnsi="Verdana"/>
          <w:color w:val="000000"/>
          <w:sz w:val="22"/>
          <w:szCs w:val="22"/>
        </w:rPr>
        <w:t>report</w:t>
      </w:r>
      <w:r w:rsidRPr="00AD32FF">
        <w:rPr>
          <w:rFonts w:ascii="Verdana" w:hAnsi="Verdana"/>
          <w:color w:val="000000"/>
          <w:sz w:val="22"/>
          <w:szCs w:val="22"/>
        </w:rPr>
        <w:t xml:space="preserve"> describes the present role of private providers in UK higher education, compares the position with that in the United States and discusses some policy questions and options relating to their regulation and funding. </w:t>
      </w:r>
    </w:p>
    <w:p w:rsidR="00393C8B" w:rsidRPr="00AD32FF" w:rsidRDefault="00667F8C" w:rsidP="00F023B3">
      <w:pPr>
        <w:spacing w:before="120" w:line="300" w:lineRule="atLeast"/>
        <w:ind w:right="332"/>
        <w:rPr>
          <w:rFonts w:ascii="Verdana" w:hAnsi="Verdana"/>
          <w:b/>
          <w:color w:val="000000"/>
          <w:sz w:val="22"/>
          <w:szCs w:val="22"/>
        </w:rPr>
      </w:pPr>
      <w:r w:rsidRPr="00AD32FF">
        <w:rPr>
          <w:rFonts w:ascii="Verdana" w:hAnsi="Verdana"/>
          <w:b/>
          <w:color w:val="000000"/>
          <w:sz w:val="22"/>
          <w:szCs w:val="22"/>
        </w:rPr>
        <w:t>The background to the present UK position</w:t>
      </w:r>
    </w:p>
    <w:p w:rsidR="00393C8B" w:rsidRPr="00AD32FF" w:rsidRDefault="006127F7"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The </w:t>
      </w:r>
      <w:r w:rsidR="00B70511" w:rsidRPr="00AD32FF">
        <w:rPr>
          <w:rFonts w:ascii="Verdana" w:hAnsi="Verdana"/>
          <w:color w:val="000000"/>
          <w:sz w:val="22"/>
          <w:szCs w:val="22"/>
        </w:rPr>
        <w:t>growth</w:t>
      </w:r>
      <w:r w:rsidRPr="00AD32FF">
        <w:rPr>
          <w:rFonts w:ascii="Verdana" w:hAnsi="Verdana"/>
          <w:color w:val="000000"/>
          <w:sz w:val="22"/>
          <w:szCs w:val="22"/>
        </w:rPr>
        <w:t xml:space="preserve"> of a private higher education sector in the UK is part of a global trend. Throughout the world</w:t>
      </w:r>
      <w:r w:rsidR="000D03D1" w:rsidRPr="00AD32FF">
        <w:rPr>
          <w:rFonts w:ascii="Verdana" w:hAnsi="Verdana"/>
          <w:color w:val="000000"/>
          <w:sz w:val="22"/>
          <w:szCs w:val="22"/>
        </w:rPr>
        <w:t>,</w:t>
      </w:r>
      <w:r w:rsidRPr="00AD32FF">
        <w:rPr>
          <w:rFonts w:ascii="Verdana" w:hAnsi="Verdana"/>
          <w:color w:val="000000"/>
          <w:sz w:val="22"/>
          <w:szCs w:val="22"/>
        </w:rPr>
        <w:t xml:space="preserve"> the number of students in private institutions is growing faster than in publicly-owned ones. The reason </w:t>
      </w:r>
      <w:r w:rsidR="00E84CDE" w:rsidRPr="00AD32FF">
        <w:rPr>
          <w:rFonts w:ascii="Verdana" w:hAnsi="Verdana"/>
          <w:color w:val="000000"/>
          <w:sz w:val="22"/>
          <w:szCs w:val="22"/>
        </w:rPr>
        <w:t>is</w:t>
      </w:r>
      <w:r w:rsidRPr="00AD32FF">
        <w:rPr>
          <w:rFonts w:ascii="Verdana" w:hAnsi="Verdana"/>
          <w:color w:val="000000"/>
          <w:sz w:val="22"/>
          <w:szCs w:val="22"/>
        </w:rPr>
        <w:t xml:space="preserve"> simple</w:t>
      </w:r>
      <w:r w:rsidR="000D03D1" w:rsidRPr="00AD32FF">
        <w:rPr>
          <w:rFonts w:ascii="Verdana" w:hAnsi="Verdana"/>
          <w:color w:val="000000"/>
          <w:sz w:val="22"/>
          <w:szCs w:val="22"/>
        </w:rPr>
        <w:t>:</w:t>
      </w:r>
      <w:r w:rsidRPr="00AD32FF">
        <w:rPr>
          <w:rFonts w:ascii="Verdana" w:hAnsi="Verdana"/>
          <w:color w:val="000000"/>
          <w:sz w:val="22"/>
          <w:szCs w:val="22"/>
        </w:rPr>
        <w:t xml:space="preserve"> governments cannot afford to pay for the higher education that is require</w:t>
      </w:r>
      <w:r w:rsidR="000D03D1" w:rsidRPr="00AD32FF">
        <w:rPr>
          <w:rFonts w:ascii="Verdana" w:hAnsi="Verdana"/>
          <w:color w:val="000000"/>
          <w:sz w:val="22"/>
          <w:szCs w:val="22"/>
        </w:rPr>
        <w:t xml:space="preserve">d so </w:t>
      </w:r>
      <w:r w:rsidRPr="00AD32FF">
        <w:rPr>
          <w:rFonts w:ascii="Verdana" w:hAnsi="Verdana"/>
          <w:color w:val="000000"/>
          <w:sz w:val="22"/>
          <w:szCs w:val="22"/>
        </w:rPr>
        <w:t xml:space="preserve">the private sector </w:t>
      </w:r>
      <w:r w:rsidR="000D03D1" w:rsidRPr="00AD32FF">
        <w:rPr>
          <w:rFonts w:ascii="Verdana" w:hAnsi="Verdana"/>
          <w:color w:val="000000"/>
          <w:sz w:val="22"/>
          <w:szCs w:val="22"/>
        </w:rPr>
        <w:t xml:space="preserve">has expanded to become </w:t>
      </w:r>
      <w:r w:rsidRPr="00AD32FF">
        <w:rPr>
          <w:rFonts w:ascii="Verdana" w:hAnsi="Verdana"/>
          <w:color w:val="000000"/>
          <w:sz w:val="22"/>
          <w:szCs w:val="22"/>
        </w:rPr>
        <w:t>“demand absorbing”</w:t>
      </w:r>
      <w:r w:rsidR="003655CB" w:rsidRPr="00AD32FF">
        <w:rPr>
          <w:rFonts w:ascii="Verdana" w:hAnsi="Verdana"/>
          <w:color w:val="000000"/>
          <w:sz w:val="22"/>
          <w:szCs w:val="22"/>
        </w:rPr>
        <w:t xml:space="preserve">. </w:t>
      </w:r>
    </w:p>
    <w:p w:rsidR="00F023B3" w:rsidRPr="00AD32FF" w:rsidRDefault="00F023B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private ‘sector’ of higher education defies simple classification.  It can hardly be described as ‘a sector’ as there are few common features among the varied providers within or across countries and they have few, if any, shared interests. Most is not-for-profit and below degree level</w:t>
      </w:r>
      <w:r w:rsidR="00043FE8" w:rsidRPr="00AD32FF">
        <w:rPr>
          <w:rFonts w:ascii="Verdana" w:hAnsi="Verdana"/>
          <w:color w:val="000000"/>
          <w:sz w:val="22"/>
          <w:szCs w:val="22"/>
        </w:rPr>
        <w:t>,</w:t>
      </w:r>
      <w:r w:rsidRPr="00AD32FF">
        <w:rPr>
          <w:rFonts w:ascii="Verdana" w:hAnsi="Verdana"/>
          <w:color w:val="000000"/>
          <w:sz w:val="22"/>
          <w:szCs w:val="22"/>
        </w:rPr>
        <w:t xml:space="preserve"> but in some countries there is a </w:t>
      </w:r>
      <w:r w:rsidR="00043FE8" w:rsidRPr="00AD32FF">
        <w:rPr>
          <w:rFonts w:ascii="Verdana" w:hAnsi="Verdana"/>
          <w:color w:val="000000"/>
          <w:sz w:val="22"/>
          <w:szCs w:val="22"/>
        </w:rPr>
        <w:t xml:space="preserve">growing </w:t>
      </w:r>
      <w:r w:rsidRPr="00AD32FF">
        <w:rPr>
          <w:rFonts w:ascii="Verdana" w:hAnsi="Verdana"/>
          <w:color w:val="000000"/>
          <w:sz w:val="22"/>
          <w:szCs w:val="22"/>
        </w:rPr>
        <w:t>for-profit sector.  However, there are differences between countries. In the USA, non-profit private providers pre</w:t>
      </w:r>
      <w:r w:rsidR="00043FE8" w:rsidRPr="00AD32FF">
        <w:rPr>
          <w:rFonts w:ascii="Verdana" w:hAnsi="Verdana"/>
          <w:color w:val="000000"/>
          <w:sz w:val="22"/>
          <w:szCs w:val="22"/>
        </w:rPr>
        <w:t>dominate</w:t>
      </w:r>
      <w:r w:rsidRPr="00AD32FF">
        <w:rPr>
          <w:rFonts w:ascii="Verdana" w:hAnsi="Verdana"/>
          <w:color w:val="000000"/>
          <w:sz w:val="22"/>
          <w:szCs w:val="22"/>
        </w:rPr>
        <w:t xml:space="preserve">, while in Africa there are many institutions with a religious mission. In some countries such as Indonesia or Japan, the private sector has provided the bulk of higher education for many years. </w:t>
      </w:r>
    </w:p>
    <w:p w:rsidR="00F023B3" w:rsidRPr="00AD32FF" w:rsidRDefault="00043FE8"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F023B3" w:rsidRPr="00AD32FF">
        <w:rPr>
          <w:rFonts w:ascii="Verdana" w:hAnsi="Verdana"/>
          <w:color w:val="000000"/>
          <w:sz w:val="22"/>
          <w:szCs w:val="22"/>
        </w:rPr>
        <w:t>he range of providers is already very heterogeneous; and this landscape continues to be dynamic with new entrants emerging and existing providers changing their shape or their owners.  Furthermore, the boundary between a ‘public’ or ‘private’ provider has become increasingly blurred as funding streams for both come from public and private sources</w:t>
      </w:r>
      <w:r w:rsidRPr="00AD32FF">
        <w:rPr>
          <w:rFonts w:ascii="Verdana" w:hAnsi="Verdana"/>
          <w:color w:val="000000"/>
          <w:sz w:val="22"/>
          <w:szCs w:val="22"/>
        </w:rPr>
        <w:t>.  D</w:t>
      </w:r>
      <w:r w:rsidR="00F023B3" w:rsidRPr="00AD32FF">
        <w:rPr>
          <w:rFonts w:ascii="Verdana" w:hAnsi="Verdana"/>
          <w:color w:val="000000"/>
          <w:sz w:val="22"/>
          <w:szCs w:val="22"/>
        </w:rPr>
        <w:t xml:space="preserve">ifferent countries include providers offering different levels of qualification in their categorisation of ‘the private (HE or tertiary) sector’, making direct comparisons with other countries </w:t>
      </w:r>
      <w:r w:rsidRPr="00AD32FF">
        <w:rPr>
          <w:rFonts w:ascii="Verdana" w:hAnsi="Verdana"/>
          <w:color w:val="000000"/>
          <w:sz w:val="22"/>
          <w:szCs w:val="22"/>
        </w:rPr>
        <w:t>problematic.</w:t>
      </w:r>
      <w:r w:rsidR="00F023B3" w:rsidRPr="00AD32FF">
        <w:rPr>
          <w:rFonts w:ascii="Verdana" w:hAnsi="Verdana"/>
          <w:color w:val="000000"/>
          <w:sz w:val="22"/>
          <w:szCs w:val="22"/>
        </w:rPr>
        <w:t xml:space="preserve">  In the UK, the post-secondary sector is subdivided into </w:t>
      </w:r>
      <w:proofErr w:type="gramStart"/>
      <w:r w:rsidR="00F023B3" w:rsidRPr="00AD32FF">
        <w:rPr>
          <w:rFonts w:ascii="Verdana" w:hAnsi="Verdana"/>
          <w:color w:val="000000"/>
          <w:sz w:val="22"/>
          <w:szCs w:val="22"/>
        </w:rPr>
        <w:t>HE</w:t>
      </w:r>
      <w:proofErr w:type="gramEnd"/>
      <w:r w:rsidR="00F023B3" w:rsidRPr="00AD32FF">
        <w:rPr>
          <w:rFonts w:ascii="Verdana" w:hAnsi="Verdana"/>
          <w:color w:val="000000"/>
          <w:sz w:val="22"/>
          <w:szCs w:val="22"/>
        </w:rPr>
        <w:t xml:space="preserve"> and FE (and many private providers are offering FE-level provision). The present </w:t>
      </w:r>
      <w:r w:rsidR="00D568E3" w:rsidRPr="00AD32FF">
        <w:rPr>
          <w:rFonts w:ascii="Verdana" w:hAnsi="Verdana"/>
          <w:color w:val="000000"/>
          <w:sz w:val="22"/>
          <w:szCs w:val="22"/>
        </w:rPr>
        <w:t>report</w:t>
      </w:r>
      <w:r w:rsidR="00F023B3" w:rsidRPr="00AD32FF">
        <w:rPr>
          <w:rFonts w:ascii="Verdana" w:hAnsi="Verdana"/>
          <w:color w:val="000000"/>
          <w:sz w:val="22"/>
          <w:szCs w:val="22"/>
        </w:rPr>
        <w:t xml:space="preserve"> focuses on degree-level </w:t>
      </w:r>
      <w:proofErr w:type="gramStart"/>
      <w:r w:rsidR="00F023B3" w:rsidRPr="00AD32FF">
        <w:rPr>
          <w:rFonts w:ascii="Verdana" w:hAnsi="Verdana"/>
          <w:color w:val="000000"/>
          <w:sz w:val="22"/>
          <w:szCs w:val="22"/>
        </w:rPr>
        <w:t>HE</w:t>
      </w:r>
      <w:proofErr w:type="gramEnd"/>
      <w:r w:rsidR="00F023B3" w:rsidRPr="00AD32FF">
        <w:rPr>
          <w:rFonts w:ascii="Verdana" w:hAnsi="Verdana"/>
          <w:color w:val="000000"/>
          <w:sz w:val="22"/>
          <w:szCs w:val="22"/>
        </w:rPr>
        <w:t xml:space="preserve"> providers and provision.</w:t>
      </w:r>
    </w:p>
    <w:p w:rsidR="00393C8B" w:rsidRPr="00AD32FF" w:rsidRDefault="000D03D1"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Another </w:t>
      </w:r>
      <w:r w:rsidR="00822ED8" w:rsidRPr="00AD32FF">
        <w:rPr>
          <w:rFonts w:ascii="Verdana" w:hAnsi="Verdana"/>
          <w:color w:val="000000"/>
          <w:sz w:val="22"/>
          <w:szCs w:val="22"/>
        </w:rPr>
        <w:t xml:space="preserve">key feature of </w:t>
      </w:r>
      <w:r w:rsidRPr="00AD32FF">
        <w:rPr>
          <w:rFonts w:ascii="Verdana" w:hAnsi="Verdana"/>
          <w:color w:val="000000"/>
          <w:sz w:val="22"/>
          <w:szCs w:val="22"/>
        </w:rPr>
        <w:t xml:space="preserve">most </w:t>
      </w:r>
      <w:r w:rsidR="00822ED8" w:rsidRPr="00AD32FF">
        <w:rPr>
          <w:rFonts w:ascii="Verdana" w:hAnsi="Verdana"/>
          <w:color w:val="000000"/>
          <w:sz w:val="22"/>
          <w:szCs w:val="22"/>
        </w:rPr>
        <w:t>private providers is their focus on disciplines such as business, law</w:t>
      </w:r>
      <w:r w:rsidR="00E663AC" w:rsidRPr="00AD32FF">
        <w:rPr>
          <w:rFonts w:ascii="Verdana" w:hAnsi="Verdana"/>
          <w:color w:val="000000"/>
          <w:sz w:val="22"/>
          <w:szCs w:val="22"/>
        </w:rPr>
        <w:t>, computing, hospitality</w:t>
      </w:r>
      <w:r w:rsidRPr="00AD32FF">
        <w:rPr>
          <w:rFonts w:ascii="Verdana" w:hAnsi="Verdana"/>
          <w:color w:val="000000"/>
          <w:sz w:val="22"/>
          <w:szCs w:val="22"/>
        </w:rPr>
        <w:t>,</w:t>
      </w:r>
      <w:r w:rsidR="00E663AC" w:rsidRPr="00AD32FF">
        <w:rPr>
          <w:rFonts w:ascii="Verdana" w:hAnsi="Verdana"/>
          <w:color w:val="000000"/>
          <w:sz w:val="22"/>
          <w:szCs w:val="22"/>
        </w:rPr>
        <w:t xml:space="preserve"> tourism</w:t>
      </w:r>
      <w:r w:rsidR="00822ED8" w:rsidRPr="00AD32FF">
        <w:rPr>
          <w:rFonts w:ascii="Verdana" w:hAnsi="Verdana"/>
          <w:color w:val="000000"/>
          <w:sz w:val="22"/>
          <w:szCs w:val="22"/>
        </w:rPr>
        <w:t xml:space="preserve"> and management. </w:t>
      </w:r>
      <w:r w:rsidR="00F023B3" w:rsidRPr="00AD32FF">
        <w:rPr>
          <w:rFonts w:ascii="Verdana" w:hAnsi="Verdana"/>
          <w:color w:val="000000"/>
          <w:sz w:val="22"/>
          <w:szCs w:val="22"/>
        </w:rPr>
        <w:t>In the</w:t>
      </w:r>
      <w:r w:rsidR="00E663AC" w:rsidRPr="00AD32FF">
        <w:rPr>
          <w:rFonts w:ascii="Verdana" w:hAnsi="Verdana"/>
          <w:color w:val="000000"/>
          <w:sz w:val="22"/>
          <w:szCs w:val="22"/>
        </w:rPr>
        <w:t xml:space="preserve"> UK</w:t>
      </w:r>
      <w:r w:rsidR="00043FE8" w:rsidRPr="00AD32FF">
        <w:rPr>
          <w:rFonts w:ascii="Verdana" w:hAnsi="Verdana"/>
          <w:color w:val="000000"/>
          <w:sz w:val="22"/>
          <w:szCs w:val="22"/>
        </w:rPr>
        <w:t>,</w:t>
      </w:r>
      <w:r w:rsidR="00E663AC" w:rsidRPr="00AD32FF">
        <w:rPr>
          <w:rFonts w:ascii="Verdana" w:hAnsi="Verdana"/>
          <w:color w:val="000000"/>
          <w:sz w:val="22"/>
          <w:szCs w:val="22"/>
        </w:rPr>
        <w:t xml:space="preserve"> c</w:t>
      </w:r>
      <w:r w:rsidR="004F372D" w:rsidRPr="00AD32FF">
        <w:rPr>
          <w:rFonts w:ascii="Verdana" w:hAnsi="Verdana"/>
          <w:color w:val="000000"/>
          <w:sz w:val="22"/>
          <w:szCs w:val="22"/>
        </w:rPr>
        <w:t>o</w:t>
      </w:r>
      <w:r w:rsidR="00E663AC" w:rsidRPr="00AD32FF">
        <w:rPr>
          <w:rFonts w:ascii="Verdana" w:hAnsi="Verdana"/>
          <w:color w:val="000000"/>
          <w:sz w:val="22"/>
          <w:szCs w:val="22"/>
        </w:rPr>
        <w:t xml:space="preserve">urses </w:t>
      </w:r>
      <w:r w:rsidR="00F023B3" w:rsidRPr="00AD32FF">
        <w:rPr>
          <w:rFonts w:ascii="Verdana" w:hAnsi="Verdana"/>
          <w:color w:val="000000"/>
          <w:sz w:val="22"/>
          <w:szCs w:val="22"/>
        </w:rPr>
        <w:t xml:space="preserve">are </w:t>
      </w:r>
      <w:r w:rsidR="003655CB" w:rsidRPr="00AD32FF">
        <w:rPr>
          <w:rFonts w:ascii="Verdana" w:hAnsi="Verdana"/>
          <w:color w:val="000000"/>
          <w:sz w:val="22"/>
          <w:szCs w:val="22"/>
        </w:rPr>
        <w:t>almost entirely</w:t>
      </w:r>
      <w:r w:rsidR="00E663AC" w:rsidRPr="00AD32FF">
        <w:rPr>
          <w:rFonts w:ascii="Verdana" w:hAnsi="Verdana"/>
          <w:color w:val="000000"/>
          <w:sz w:val="22"/>
          <w:szCs w:val="22"/>
        </w:rPr>
        <w:t xml:space="preserve"> in th</w:t>
      </w:r>
      <w:r w:rsidR="0022592D" w:rsidRPr="00AD32FF">
        <w:rPr>
          <w:rFonts w:ascii="Verdana" w:hAnsi="Verdana"/>
          <w:color w:val="000000"/>
          <w:sz w:val="22"/>
          <w:szCs w:val="22"/>
        </w:rPr>
        <w:t>e</w:t>
      </w:r>
      <w:r w:rsidR="00E663AC" w:rsidRPr="00AD32FF">
        <w:rPr>
          <w:rFonts w:ascii="Verdana" w:hAnsi="Verdana"/>
          <w:color w:val="000000"/>
          <w:sz w:val="22"/>
          <w:szCs w:val="22"/>
        </w:rPr>
        <w:t>se subjects</w:t>
      </w:r>
      <w:r w:rsidR="003655CB" w:rsidRPr="00AD32FF">
        <w:rPr>
          <w:rFonts w:ascii="Verdana" w:hAnsi="Verdana"/>
          <w:color w:val="000000"/>
          <w:sz w:val="22"/>
          <w:szCs w:val="22"/>
        </w:rPr>
        <w:t>.</w:t>
      </w:r>
    </w:p>
    <w:p w:rsidR="00393C8B" w:rsidRPr="00AD32FF" w:rsidRDefault="00F023B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There </w:t>
      </w:r>
      <w:r w:rsidR="00242F43" w:rsidRPr="00AD32FF">
        <w:rPr>
          <w:rFonts w:ascii="Verdana" w:hAnsi="Verdana"/>
          <w:color w:val="000000"/>
          <w:sz w:val="22"/>
          <w:szCs w:val="22"/>
        </w:rPr>
        <w:t>is a small but growing private sector</w:t>
      </w:r>
      <w:r w:rsidR="00B7768C" w:rsidRPr="00AD32FF">
        <w:rPr>
          <w:rFonts w:ascii="Verdana" w:hAnsi="Verdana"/>
          <w:color w:val="000000"/>
          <w:sz w:val="22"/>
          <w:szCs w:val="22"/>
        </w:rPr>
        <w:t xml:space="preserve"> </w:t>
      </w:r>
      <w:r w:rsidR="00341B08" w:rsidRPr="00AD32FF">
        <w:rPr>
          <w:rFonts w:ascii="Verdana" w:hAnsi="Verdana"/>
          <w:color w:val="000000"/>
          <w:sz w:val="22"/>
          <w:szCs w:val="22"/>
        </w:rPr>
        <w:t xml:space="preserve">predominantly </w:t>
      </w:r>
      <w:r w:rsidR="00B7768C" w:rsidRPr="00AD32FF">
        <w:rPr>
          <w:rFonts w:ascii="Verdana" w:hAnsi="Verdana"/>
          <w:color w:val="000000"/>
          <w:sz w:val="22"/>
          <w:szCs w:val="22"/>
        </w:rPr>
        <w:t>located in London</w:t>
      </w:r>
      <w:r w:rsidR="0022592D" w:rsidRPr="00AD32FF">
        <w:rPr>
          <w:rFonts w:ascii="Verdana" w:hAnsi="Verdana"/>
          <w:color w:val="000000"/>
          <w:sz w:val="22"/>
          <w:szCs w:val="22"/>
        </w:rPr>
        <w:t>.</w:t>
      </w:r>
      <w:r w:rsidR="00242F43" w:rsidRPr="00AD32FF">
        <w:rPr>
          <w:rFonts w:ascii="Verdana" w:hAnsi="Verdana"/>
          <w:color w:val="000000"/>
          <w:sz w:val="22"/>
          <w:szCs w:val="22"/>
        </w:rPr>
        <w:t xml:space="preserve"> </w:t>
      </w:r>
      <w:r w:rsidR="00341B08" w:rsidRPr="00AD32FF">
        <w:rPr>
          <w:rFonts w:ascii="Verdana" w:hAnsi="Verdana"/>
          <w:color w:val="000000"/>
          <w:sz w:val="22"/>
          <w:szCs w:val="22"/>
        </w:rPr>
        <w:t>T</w:t>
      </w:r>
      <w:r w:rsidR="00242F43" w:rsidRPr="00AD32FF">
        <w:rPr>
          <w:rFonts w:ascii="Verdana" w:hAnsi="Verdana"/>
          <w:color w:val="000000"/>
          <w:sz w:val="22"/>
          <w:szCs w:val="22"/>
        </w:rPr>
        <w:t>he exact number of students from home or overseas studying for degrees in the sector</w:t>
      </w:r>
      <w:r w:rsidR="00341B08" w:rsidRPr="00AD32FF">
        <w:rPr>
          <w:rFonts w:ascii="Verdana" w:hAnsi="Verdana"/>
          <w:color w:val="000000"/>
          <w:sz w:val="22"/>
          <w:szCs w:val="22"/>
        </w:rPr>
        <w:t xml:space="preserve"> is unknown</w:t>
      </w:r>
      <w:r w:rsidR="00242F43" w:rsidRPr="00AD32FF">
        <w:rPr>
          <w:rFonts w:ascii="Verdana" w:hAnsi="Verdana"/>
          <w:color w:val="000000"/>
          <w:sz w:val="22"/>
          <w:szCs w:val="22"/>
        </w:rPr>
        <w:t xml:space="preserve">, as no statistics have </w:t>
      </w:r>
      <w:r w:rsidR="00043FE8" w:rsidRPr="00AD32FF">
        <w:rPr>
          <w:rFonts w:ascii="Verdana" w:hAnsi="Verdana"/>
          <w:color w:val="000000"/>
          <w:sz w:val="22"/>
          <w:szCs w:val="22"/>
        </w:rPr>
        <w:t xml:space="preserve">yet </w:t>
      </w:r>
      <w:r w:rsidR="00242F43" w:rsidRPr="00AD32FF">
        <w:rPr>
          <w:rFonts w:ascii="Verdana" w:hAnsi="Verdana"/>
          <w:color w:val="000000"/>
          <w:sz w:val="22"/>
          <w:szCs w:val="22"/>
        </w:rPr>
        <w:t xml:space="preserve">been collected. </w:t>
      </w:r>
      <w:r w:rsidR="00341B08" w:rsidRPr="00AD32FF">
        <w:rPr>
          <w:rFonts w:ascii="Verdana" w:hAnsi="Verdana"/>
          <w:color w:val="000000"/>
          <w:sz w:val="22"/>
          <w:szCs w:val="22"/>
        </w:rPr>
        <w:t xml:space="preserve">Defining </w:t>
      </w:r>
      <w:r w:rsidR="00242F43" w:rsidRPr="00AD32FF">
        <w:rPr>
          <w:rFonts w:ascii="Verdana" w:hAnsi="Verdana"/>
          <w:color w:val="000000"/>
          <w:sz w:val="22"/>
          <w:szCs w:val="22"/>
        </w:rPr>
        <w:t>private providers as those organisations offering degree level programmes and receiving no public funds, we can identify the following categories of provider:</w:t>
      </w:r>
    </w:p>
    <w:p w:rsidR="00393C8B" w:rsidRPr="00AD32FF" w:rsidRDefault="00242F43" w:rsidP="00F023B3">
      <w:pPr>
        <w:numPr>
          <w:ilvl w:val="0"/>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UK campuses or branches of foreign universities. There are estimated to be </w:t>
      </w:r>
      <w:r w:rsidR="0043119B" w:rsidRPr="00AD32FF">
        <w:rPr>
          <w:rFonts w:ascii="Verdana" w:hAnsi="Verdana"/>
          <w:color w:val="000000"/>
          <w:sz w:val="22"/>
          <w:szCs w:val="22"/>
        </w:rPr>
        <w:t>between</w:t>
      </w:r>
      <w:r w:rsidRPr="00AD32FF">
        <w:rPr>
          <w:rFonts w:ascii="Verdana" w:hAnsi="Verdana"/>
          <w:color w:val="000000"/>
          <w:sz w:val="22"/>
          <w:szCs w:val="22"/>
        </w:rPr>
        <w:t xml:space="preserve"> 50 </w:t>
      </w:r>
      <w:r w:rsidR="0043119B" w:rsidRPr="00AD32FF">
        <w:rPr>
          <w:rFonts w:ascii="Verdana" w:hAnsi="Verdana"/>
          <w:color w:val="000000"/>
          <w:sz w:val="22"/>
          <w:szCs w:val="22"/>
        </w:rPr>
        <w:t xml:space="preserve">and 90 </w:t>
      </w:r>
      <w:r w:rsidRPr="00AD32FF">
        <w:rPr>
          <w:rFonts w:ascii="Verdana" w:hAnsi="Verdana"/>
          <w:color w:val="000000"/>
          <w:sz w:val="22"/>
          <w:szCs w:val="22"/>
        </w:rPr>
        <w:t>branch campuses of American universities</w:t>
      </w:r>
      <w:r w:rsidR="0043119B" w:rsidRPr="00AD32FF">
        <w:rPr>
          <w:rFonts w:ascii="Verdana" w:hAnsi="Verdana"/>
          <w:color w:val="000000"/>
          <w:sz w:val="22"/>
          <w:szCs w:val="22"/>
        </w:rPr>
        <w:t>,</w:t>
      </w:r>
      <w:r w:rsidRPr="00AD32FF">
        <w:rPr>
          <w:rFonts w:ascii="Verdana" w:hAnsi="Verdana"/>
          <w:color w:val="000000"/>
          <w:sz w:val="22"/>
          <w:szCs w:val="22"/>
        </w:rPr>
        <w:t xml:space="preserve"> but they do </w:t>
      </w:r>
      <w:r w:rsidRPr="00AD32FF">
        <w:rPr>
          <w:rFonts w:ascii="Verdana" w:hAnsi="Verdana"/>
          <w:color w:val="000000"/>
          <w:sz w:val="22"/>
          <w:szCs w:val="22"/>
        </w:rPr>
        <w:lastRenderedPageBreak/>
        <w:t xml:space="preserve">not enrol UK or EU students. However, there are exceptions, since the American InterContinental University and Richmond, the American University in London subscribe to </w:t>
      </w:r>
      <w:r w:rsidR="00F023B3" w:rsidRPr="00AD32FF">
        <w:rPr>
          <w:rFonts w:ascii="Verdana" w:hAnsi="Verdana"/>
          <w:color w:val="000000"/>
          <w:sz w:val="22"/>
          <w:szCs w:val="22"/>
        </w:rPr>
        <w:t>the Quality Assurance Agency (</w:t>
      </w:r>
      <w:r w:rsidRPr="00AD32FF">
        <w:rPr>
          <w:rFonts w:ascii="Verdana" w:hAnsi="Verdana"/>
          <w:color w:val="000000"/>
          <w:sz w:val="22"/>
          <w:szCs w:val="22"/>
        </w:rPr>
        <w:t>QAA</w:t>
      </w:r>
      <w:r w:rsidR="00F023B3" w:rsidRPr="00AD32FF">
        <w:rPr>
          <w:rFonts w:ascii="Verdana" w:hAnsi="Verdana"/>
          <w:color w:val="000000"/>
          <w:sz w:val="22"/>
          <w:szCs w:val="22"/>
        </w:rPr>
        <w:t>)</w:t>
      </w:r>
      <w:r w:rsidRPr="00AD32FF">
        <w:rPr>
          <w:rFonts w:ascii="Verdana" w:hAnsi="Verdana"/>
          <w:color w:val="000000"/>
          <w:sz w:val="22"/>
          <w:szCs w:val="22"/>
        </w:rPr>
        <w:t xml:space="preserve"> and UCAS and do seek to enrol UK/EU students. In addition</w:t>
      </w:r>
      <w:r w:rsidR="009A4C03" w:rsidRPr="00AD32FF">
        <w:rPr>
          <w:rFonts w:ascii="Verdana" w:hAnsi="Verdana"/>
          <w:color w:val="000000"/>
          <w:sz w:val="22"/>
          <w:szCs w:val="22"/>
        </w:rPr>
        <w:t>,</w:t>
      </w:r>
      <w:r w:rsidRPr="00AD32FF">
        <w:rPr>
          <w:rFonts w:ascii="Verdana" w:hAnsi="Verdana"/>
          <w:color w:val="000000"/>
          <w:sz w:val="22"/>
          <w:szCs w:val="22"/>
        </w:rPr>
        <w:t xml:space="preserve"> campuses have been established by universities from Iran, Malaysia, Poland and India.</w:t>
      </w:r>
    </w:p>
    <w:p w:rsidR="00242F43" w:rsidRPr="00AD32FF" w:rsidRDefault="00242F43" w:rsidP="00F023B3">
      <w:pPr>
        <w:numPr>
          <w:ilvl w:val="0"/>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The five organisations granted degree awarding powers (DAPs) </w:t>
      </w:r>
      <w:r w:rsidR="00043FE8" w:rsidRPr="00AD32FF">
        <w:rPr>
          <w:rFonts w:ascii="Verdana" w:hAnsi="Verdana"/>
          <w:color w:val="000000"/>
          <w:sz w:val="22"/>
          <w:szCs w:val="22"/>
        </w:rPr>
        <w:t xml:space="preserve">mainly </w:t>
      </w:r>
      <w:r w:rsidRPr="00AD32FF">
        <w:rPr>
          <w:rFonts w:ascii="Verdana" w:hAnsi="Verdana"/>
          <w:color w:val="000000"/>
          <w:sz w:val="22"/>
          <w:szCs w:val="22"/>
        </w:rPr>
        <w:t>under the Higher Education Act 2004. With one exc</w:t>
      </w:r>
      <w:r w:rsidR="00007767" w:rsidRPr="00AD32FF">
        <w:rPr>
          <w:rFonts w:ascii="Verdana" w:hAnsi="Verdana"/>
          <w:color w:val="000000"/>
          <w:sz w:val="22"/>
          <w:szCs w:val="22"/>
        </w:rPr>
        <w:t>eption they are not-for-profit</w:t>
      </w:r>
      <w:r w:rsidRPr="00AD32FF">
        <w:rPr>
          <w:rFonts w:ascii="Verdana" w:hAnsi="Verdana"/>
          <w:color w:val="000000"/>
          <w:sz w:val="22"/>
          <w:szCs w:val="22"/>
        </w:rPr>
        <w:t>:</w:t>
      </w:r>
    </w:p>
    <w:p w:rsidR="00F023B3" w:rsidRPr="00AD32FF" w:rsidRDefault="00242F43" w:rsidP="00F023B3">
      <w:pPr>
        <w:numPr>
          <w:ilvl w:val="1"/>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The University of Buckingham, a not-for-profit company</w:t>
      </w:r>
      <w:r w:rsidR="00043FE8" w:rsidRPr="00AD32FF">
        <w:rPr>
          <w:rFonts w:ascii="Verdana" w:hAnsi="Verdana"/>
          <w:color w:val="000000"/>
          <w:sz w:val="22"/>
          <w:szCs w:val="22"/>
        </w:rPr>
        <w:t xml:space="preserve"> (a </w:t>
      </w:r>
      <w:r w:rsidR="00007767" w:rsidRPr="00AD32FF">
        <w:rPr>
          <w:rFonts w:ascii="Verdana" w:hAnsi="Verdana"/>
          <w:color w:val="000000"/>
          <w:sz w:val="22"/>
          <w:szCs w:val="22"/>
        </w:rPr>
        <w:t>chartered university from</w:t>
      </w:r>
      <w:r w:rsidR="00043FE8" w:rsidRPr="00AD32FF">
        <w:rPr>
          <w:rFonts w:ascii="Verdana" w:hAnsi="Verdana"/>
          <w:color w:val="000000"/>
          <w:sz w:val="22"/>
          <w:szCs w:val="22"/>
        </w:rPr>
        <w:t xml:space="preserve"> 1973)</w:t>
      </w:r>
      <w:r w:rsidR="00F023B3" w:rsidRPr="00AD32FF">
        <w:rPr>
          <w:rFonts w:ascii="Verdana" w:hAnsi="Verdana"/>
          <w:color w:val="000000"/>
          <w:sz w:val="22"/>
          <w:szCs w:val="22"/>
        </w:rPr>
        <w:t xml:space="preserve"> </w:t>
      </w:r>
    </w:p>
    <w:p w:rsidR="00242F43" w:rsidRPr="00AD32FF" w:rsidRDefault="00242F43" w:rsidP="00F023B3">
      <w:pPr>
        <w:numPr>
          <w:ilvl w:val="1"/>
          <w:numId w:val="27"/>
        </w:numPr>
        <w:spacing w:before="120" w:line="300" w:lineRule="atLeast"/>
        <w:ind w:right="332"/>
        <w:rPr>
          <w:rFonts w:ascii="Verdana" w:hAnsi="Verdana"/>
          <w:color w:val="000000"/>
          <w:sz w:val="22"/>
          <w:szCs w:val="22"/>
        </w:rPr>
      </w:pPr>
      <w:smartTag w:uri="urn:schemas-microsoft-com:office:smarttags" w:element="stockticker">
        <w:r w:rsidRPr="00AD32FF">
          <w:rPr>
            <w:rFonts w:ascii="Verdana" w:hAnsi="Verdana"/>
            <w:color w:val="000000"/>
            <w:sz w:val="22"/>
            <w:szCs w:val="22"/>
          </w:rPr>
          <w:t>BPP</w:t>
        </w:r>
      </w:smartTag>
      <w:r w:rsidRPr="00AD32FF">
        <w:rPr>
          <w:rFonts w:ascii="Verdana" w:hAnsi="Verdana"/>
          <w:color w:val="000000"/>
          <w:sz w:val="22"/>
          <w:szCs w:val="22"/>
        </w:rPr>
        <w:t xml:space="preserve"> Ltd, a for</w:t>
      </w:r>
      <w:r w:rsidR="0043119B" w:rsidRPr="00AD32FF">
        <w:rPr>
          <w:rFonts w:ascii="Verdana" w:hAnsi="Verdana"/>
          <w:color w:val="000000"/>
          <w:sz w:val="22"/>
          <w:szCs w:val="22"/>
        </w:rPr>
        <w:t>-</w:t>
      </w:r>
      <w:r w:rsidRPr="00AD32FF">
        <w:rPr>
          <w:rFonts w:ascii="Verdana" w:hAnsi="Verdana"/>
          <w:color w:val="000000"/>
          <w:sz w:val="22"/>
          <w:szCs w:val="22"/>
        </w:rPr>
        <w:t>profit company that began in 1976</w:t>
      </w:r>
      <w:r w:rsidR="00007767" w:rsidRPr="00AD32FF">
        <w:rPr>
          <w:rFonts w:ascii="Verdana" w:hAnsi="Verdana"/>
          <w:color w:val="000000"/>
          <w:sz w:val="22"/>
          <w:szCs w:val="22"/>
        </w:rPr>
        <w:t xml:space="preserve">, </w:t>
      </w:r>
      <w:r w:rsidRPr="00AD32FF">
        <w:rPr>
          <w:rFonts w:ascii="Verdana" w:hAnsi="Verdana"/>
          <w:color w:val="000000"/>
          <w:sz w:val="22"/>
          <w:szCs w:val="22"/>
        </w:rPr>
        <w:t>now a subsidiary of the Apollo Group in the USA</w:t>
      </w:r>
    </w:p>
    <w:p w:rsidR="00242F43" w:rsidRPr="00AD32FF" w:rsidRDefault="00242F43" w:rsidP="00F023B3">
      <w:pPr>
        <w:numPr>
          <w:ilvl w:val="1"/>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The College of Law, a charity created by the Law Society in 1967</w:t>
      </w:r>
    </w:p>
    <w:p w:rsidR="00F023B3" w:rsidRPr="00AD32FF" w:rsidRDefault="00242F43" w:rsidP="00F023B3">
      <w:pPr>
        <w:numPr>
          <w:ilvl w:val="1"/>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Ashridge Business School, a charitable educational trust </w:t>
      </w:r>
    </w:p>
    <w:p w:rsidR="00393C8B" w:rsidRPr="00AD32FF" w:rsidRDefault="00242F43" w:rsidP="00F023B3">
      <w:pPr>
        <w:numPr>
          <w:ilvl w:val="1"/>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IFS School of Finance, a charity established over 130 years </w:t>
      </w:r>
      <w:r w:rsidR="00F023B3" w:rsidRPr="00AD32FF">
        <w:rPr>
          <w:rFonts w:ascii="Verdana" w:hAnsi="Verdana"/>
          <w:color w:val="000000"/>
          <w:sz w:val="22"/>
          <w:szCs w:val="22"/>
        </w:rPr>
        <w:t>ago.</w:t>
      </w:r>
    </w:p>
    <w:p w:rsidR="00393C8B" w:rsidRPr="00AD32FF" w:rsidRDefault="00242F43" w:rsidP="00F023B3">
      <w:pPr>
        <w:numPr>
          <w:ilvl w:val="0"/>
          <w:numId w:val="27"/>
        </w:numPr>
        <w:spacing w:before="120" w:line="300" w:lineRule="atLeast"/>
        <w:ind w:right="332"/>
        <w:rPr>
          <w:rFonts w:ascii="Verdana" w:hAnsi="Verdana"/>
          <w:color w:val="000000"/>
          <w:sz w:val="22"/>
          <w:szCs w:val="22"/>
        </w:rPr>
      </w:pPr>
      <w:r w:rsidRPr="00AD32FF">
        <w:rPr>
          <w:rFonts w:ascii="Verdana" w:hAnsi="Verdana"/>
          <w:color w:val="000000"/>
          <w:sz w:val="22"/>
          <w:szCs w:val="22"/>
        </w:rPr>
        <w:t>The largest group of private providers are colleges validated by UK HEIs to award their degrees (or</w:t>
      </w:r>
      <w:r w:rsidR="00F023B3" w:rsidRPr="00AD32FF">
        <w:rPr>
          <w:rFonts w:ascii="Verdana" w:hAnsi="Verdana"/>
          <w:color w:val="000000"/>
          <w:sz w:val="22"/>
          <w:szCs w:val="22"/>
        </w:rPr>
        <w:t xml:space="preserve"> offering </w:t>
      </w:r>
      <w:r w:rsidRPr="00AD32FF">
        <w:rPr>
          <w:rFonts w:ascii="Verdana" w:hAnsi="Verdana"/>
          <w:color w:val="000000"/>
          <w:sz w:val="22"/>
          <w:szCs w:val="22"/>
        </w:rPr>
        <w:t>the</w:t>
      </w:r>
      <w:r w:rsidR="009A4C03" w:rsidRPr="00AD32FF">
        <w:rPr>
          <w:rFonts w:ascii="Verdana" w:hAnsi="Verdana"/>
          <w:color w:val="000000"/>
          <w:sz w:val="22"/>
          <w:szCs w:val="22"/>
        </w:rPr>
        <w:t xml:space="preserve"> university’s</w:t>
      </w:r>
      <w:r w:rsidRPr="00AD32FF">
        <w:rPr>
          <w:rFonts w:ascii="Verdana" w:hAnsi="Verdana"/>
          <w:color w:val="000000"/>
          <w:sz w:val="22"/>
          <w:szCs w:val="22"/>
        </w:rPr>
        <w:t xml:space="preserve"> franchised programmes). </w:t>
      </w:r>
      <w:r w:rsidR="009A4C03" w:rsidRPr="00AD32FF">
        <w:rPr>
          <w:rFonts w:ascii="Verdana" w:hAnsi="Verdana"/>
          <w:color w:val="000000"/>
          <w:sz w:val="22"/>
          <w:szCs w:val="22"/>
        </w:rPr>
        <w:t xml:space="preserve">Almost all are </w:t>
      </w:r>
      <w:r w:rsidRPr="00AD32FF">
        <w:rPr>
          <w:rFonts w:ascii="Verdana" w:hAnsi="Verdana"/>
          <w:color w:val="000000"/>
          <w:sz w:val="22"/>
          <w:szCs w:val="22"/>
        </w:rPr>
        <w:t xml:space="preserve">based in London and until recently have been targeting international students. </w:t>
      </w:r>
      <w:r w:rsidR="009A4C03" w:rsidRPr="00AD32FF">
        <w:rPr>
          <w:rFonts w:ascii="Verdana" w:hAnsi="Verdana"/>
          <w:color w:val="000000"/>
          <w:sz w:val="22"/>
          <w:szCs w:val="22"/>
        </w:rPr>
        <w:t>Specifying exact numbers is difficult</w:t>
      </w:r>
      <w:r w:rsidRPr="00AD32FF">
        <w:rPr>
          <w:rFonts w:ascii="Verdana" w:hAnsi="Verdana"/>
          <w:color w:val="000000"/>
          <w:sz w:val="22"/>
          <w:szCs w:val="22"/>
        </w:rPr>
        <w:t xml:space="preserve"> since</w:t>
      </w:r>
      <w:r w:rsidR="00F023B3" w:rsidRPr="00AD32FF">
        <w:rPr>
          <w:rFonts w:ascii="Verdana" w:hAnsi="Verdana"/>
          <w:color w:val="000000"/>
          <w:sz w:val="22"/>
          <w:szCs w:val="22"/>
        </w:rPr>
        <w:t xml:space="preserve"> many offer only qualifications provided by professional bodies and in accountancy, computing, tourism and hospitality.</w:t>
      </w:r>
      <w:r w:rsidRPr="00AD32FF">
        <w:rPr>
          <w:rFonts w:ascii="Verdana" w:hAnsi="Verdana"/>
          <w:color w:val="000000"/>
          <w:sz w:val="22"/>
          <w:szCs w:val="22"/>
        </w:rPr>
        <w:t xml:space="preserve"> However, the British Accreditation Council (BAC</w:t>
      </w:r>
      <w:r w:rsidR="00410601" w:rsidRPr="00AD32FF">
        <w:rPr>
          <w:rFonts w:ascii="Verdana" w:hAnsi="Verdana"/>
          <w:color w:val="000000"/>
          <w:sz w:val="22"/>
          <w:szCs w:val="22"/>
        </w:rPr>
        <w:t>) said</w:t>
      </w:r>
      <w:r w:rsidRPr="00AD32FF">
        <w:rPr>
          <w:rFonts w:ascii="Verdana" w:hAnsi="Verdana"/>
          <w:color w:val="000000"/>
          <w:sz w:val="22"/>
          <w:szCs w:val="22"/>
        </w:rPr>
        <w:t xml:space="preserve"> in March 2010 that 177 colleges</w:t>
      </w:r>
      <w:r w:rsidR="009A4C03" w:rsidRPr="00AD32FF">
        <w:rPr>
          <w:rFonts w:ascii="Verdana" w:hAnsi="Verdana"/>
          <w:color w:val="000000"/>
          <w:sz w:val="22"/>
          <w:szCs w:val="22"/>
        </w:rPr>
        <w:t xml:space="preserve"> had received BAC accreditation</w:t>
      </w:r>
      <w:r w:rsidRPr="00AD32FF">
        <w:rPr>
          <w:rFonts w:ascii="Verdana" w:hAnsi="Verdana"/>
          <w:color w:val="000000"/>
          <w:sz w:val="22"/>
          <w:szCs w:val="22"/>
        </w:rPr>
        <w:t xml:space="preserve"> to offer higher education qualifications</w:t>
      </w:r>
      <w:r w:rsidR="0022592D" w:rsidRPr="00AD32FF">
        <w:rPr>
          <w:rFonts w:ascii="Verdana" w:hAnsi="Verdana"/>
          <w:color w:val="000000"/>
          <w:sz w:val="22"/>
          <w:szCs w:val="22"/>
        </w:rPr>
        <w:t xml:space="preserve"> to </w:t>
      </w:r>
      <w:r w:rsidRPr="00AD32FF">
        <w:rPr>
          <w:rFonts w:ascii="Verdana" w:hAnsi="Verdana"/>
          <w:color w:val="000000"/>
          <w:sz w:val="22"/>
          <w:szCs w:val="22"/>
        </w:rPr>
        <w:t>some 25,880 students</w:t>
      </w:r>
      <w:r w:rsidR="0022592D" w:rsidRPr="00AD32FF">
        <w:rPr>
          <w:rFonts w:ascii="Verdana" w:hAnsi="Verdana"/>
          <w:color w:val="000000"/>
          <w:sz w:val="22"/>
          <w:szCs w:val="22"/>
        </w:rPr>
        <w:t>.</w:t>
      </w:r>
      <w:r w:rsidR="0043119B" w:rsidRPr="00AD32FF">
        <w:rPr>
          <w:rFonts w:ascii="Verdana" w:hAnsi="Verdana"/>
          <w:color w:val="000000"/>
          <w:sz w:val="22"/>
          <w:szCs w:val="22"/>
        </w:rPr>
        <w:t xml:space="preserve"> The Accreditation Service for International Colleges (ASIC)</w:t>
      </w:r>
      <w:r w:rsidR="00B7768C" w:rsidRPr="00AD32FF">
        <w:rPr>
          <w:rFonts w:ascii="Verdana" w:hAnsi="Verdana"/>
          <w:color w:val="000000"/>
          <w:sz w:val="22"/>
          <w:szCs w:val="22"/>
        </w:rPr>
        <w:t xml:space="preserve">, the second body authorised to accredit private colleges, </w:t>
      </w:r>
      <w:r w:rsidR="0043119B" w:rsidRPr="00AD32FF">
        <w:rPr>
          <w:rFonts w:ascii="Verdana" w:hAnsi="Verdana"/>
          <w:color w:val="000000"/>
          <w:sz w:val="22"/>
          <w:szCs w:val="22"/>
        </w:rPr>
        <w:t>currently lists 427 organisations</w:t>
      </w:r>
      <w:r w:rsidR="00410601" w:rsidRPr="00AD32FF">
        <w:rPr>
          <w:rFonts w:ascii="Verdana" w:hAnsi="Verdana"/>
          <w:color w:val="000000"/>
          <w:sz w:val="22"/>
          <w:szCs w:val="22"/>
        </w:rPr>
        <w:t>, some</w:t>
      </w:r>
      <w:r w:rsidR="0043119B" w:rsidRPr="00AD32FF">
        <w:rPr>
          <w:rFonts w:ascii="Verdana" w:hAnsi="Verdana"/>
          <w:color w:val="000000"/>
          <w:sz w:val="22"/>
          <w:szCs w:val="22"/>
        </w:rPr>
        <w:t xml:space="preserve"> offering higher education.</w:t>
      </w:r>
      <w:r w:rsidR="000B4426" w:rsidRPr="00AD32FF">
        <w:rPr>
          <w:rFonts w:ascii="Verdana" w:hAnsi="Verdana"/>
          <w:color w:val="000000"/>
          <w:sz w:val="22"/>
          <w:szCs w:val="22"/>
        </w:rPr>
        <w:t xml:space="preserve"> HESA has identified a possible 670</w:t>
      </w:r>
      <w:r w:rsidR="00F6566A" w:rsidRPr="00AD32FF">
        <w:rPr>
          <w:rFonts w:ascii="Verdana" w:hAnsi="Verdana"/>
          <w:color w:val="000000"/>
          <w:sz w:val="22"/>
          <w:szCs w:val="22"/>
        </w:rPr>
        <w:t xml:space="preserve"> </w:t>
      </w:r>
      <w:proofErr w:type="gramStart"/>
      <w:r w:rsidR="00D568E3" w:rsidRPr="00AD32FF">
        <w:rPr>
          <w:rFonts w:ascii="Verdana" w:hAnsi="Verdana"/>
          <w:color w:val="000000"/>
          <w:sz w:val="22"/>
          <w:szCs w:val="22"/>
        </w:rPr>
        <w:t xml:space="preserve">private </w:t>
      </w:r>
      <w:r w:rsidR="000B4426" w:rsidRPr="00AD32FF">
        <w:rPr>
          <w:rFonts w:ascii="Verdana" w:hAnsi="Verdana"/>
          <w:color w:val="000000"/>
          <w:sz w:val="22"/>
          <w:szCs w:val="22"/>
        </w:rPr>
        <w:t xml:space="preserve"> higher</w:t>
      </w:r>
      <w:proofErr w:type="gramEnd"/>
      <w:r w:rsidR="000B4426" w:rsidRPr="00AD32FF">
        <w:rPr>
          <w:rFonts w:ascii="Verdana" w:hAnsi="Verdana"/>
          <w:color w:val="000000"/>
          <w:sz w:val="22"/>
          <w:szCs w:val="22"/>
        </w:rPr>
        <w:t xml:space="preserve"> education providers.</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One key</w:t>
      </w:r>
      <w:r w:rsidR="00410601" w:rsidRPr="00AD32FF">
        <w:rPr>
          <w:rFonts w:ascii="Verdana" w:hAnsi="Verdana"/>
          <w:color w:val="000000"/>
          <w:sz w:val="22"/>
          <w:szCs w:val="22"/>
        </w:rPr>
        <w:t xml:space="preserve"> concern </w:t>
      </w:r>
      <w:r w:rsidRPr="00AD32FF">
        <w:rPr>
          <w:rFonts w:ascii="Verdana" w:hAnsi="Verdana"/>
          <w:color w:val="000000"/>
          <w:sz w:val="22"/>
          <w:szCs w:val="22"/>
        </w:rPr>
        <w:t xml:space="preserve">about </w:t>
      </w:r>
      <w:r w:rsidR="0022592D" w:rsidRPr="00AD32FF">
        <w:rPr>
          <w:rFonts w:ascii="Verdana" w:hAnsi="Verdana"/>
          <w:color w:val="000000"/>
          <w:sz w:val="22"/>
          <w:szCs w:val="22"/>
        </w:rPr>
        <w:t>the colleges</w:t>
      </w:r>
      <w:r w:rsidR="00043FE8" w:rsidRPr="00AD32FF">
        <w:rPr>
          <w:rFonts w:ascii="Verdana" w:hAnsi="Verdana"/>
          <w:color w:val="000000"/>
          <w:sz w:val="22"/>
          <w:szCs w:val="22"/>
        </w:rPr>
        <w:t>’</w:t>
      </w:r>
      <w:r w:rsidR="0022592D" w:rsidRPr="00AD32FF">
        <w:rPr>
          <w:rFonts w:ascii="Verdana" w:hAnsi="Verdana"/>
          <w:color w:val="000000"/>
          <w:sz w:val="22"/>
          <w:szCs w:val="22"/>
        </w:rPr>
        <w:t xml:space="preserve"> sub</w:t>
      </w:r>
      <w:r w:rsidR="009A4C03" w:rsidRPr="00AD32FF">
        <w:rPr>
          <w:rFonts w:ascii="Verdana" w:hAnsi="Verdana"/>
          <w:color w:val="000000"/>
          <w:sz w:val="22"/>
          <w:szCs w:val="22"/>
        </w:rPr>
        <w:t>-</w:t>
      </w:r>
      <w:r w:rsidR="0022592D" w:rsidRPr="00AD32FF">
        <w:rPr>
          <w:rFonts w:ascii="Verdana" w:hAnsi="Verdana"/>
          <w:color w:val="000000"/>
          <w:sz w:val="22"/>
          <w:szCs w:val="22"/>
        </w:rPr>
        <w:t xml:space="preserve">sector of </w:t>
      </w:r>
      <w:r w:rsidRPr="00AD32FF">
        <w:rPr>
          <w:rFonts w:ascii="Verdana" w:hAnsi="Verdana"/>
          <w:color w:val="000000"/>
          <w:sz w:val="22"/>
          <w:szCs w:val="22"/>
        </w:rPr>
        <w:t>private providers is their pricing policy. In the majority of cases</w:t>
      </w:r>
      <w:r w:rsidR="009A4C03" w:rsidRPr="00AD32FF">
        <w:rPr>
          <w:rFonts w:ascii="Verdana" w:hAnsi="Verdana"/>
          <w:color w:val="000000"/>
          <w:sz w:val="22"/>
          <w:szCs w:val="22"/>
        </w:rPr>
        <w:t>,</w:t>
      </w:r>
      <w:r w:rsidRPr="00AD32FF">
        <w:rPr>
          <w:rFonts w:ascii="Verdana" w:hAnsi="Verdana"/>
          <w:color w:val="000000"/>
          <w:sz w:val="22"/>
          <w:szCs w:val="22"/>
        </w:rPr>
        <w:t xml:space="preserve"> they recruit only international students and set their fees at levels well below those charged to international students by their validating institutions.</w:t>
      </w:r>
      <w:r w:rsidR="00410601" w:rsidRPr="00AD32FF">
        <w:rPr>
          <w:rFonts w:ascii="Verdana" w:hAnsi="Verdana"/>
          <w:color w:val="000000"/>
          <w:sz w:val="22"/>
          <w:szCs w:val="22"/>
        </w:rPr>
        <w:t xml:space="preserve"> With the proposed </w:t>
      </w:r>
      <w:r w:rsidR="009A4C03" w:rsidRPr="00AD32FF">
        <w:rPr>
          <w:rFonts w:ascii="Verdana" w:hAnsi="Verdana"/>
          <w:color w:val="000000"/>
          <w:sz w:val="22"/>
          <w:szCs w:val="22"/>
        </w:rPr>
        <w:t xml:space="preserve">increases </w:t>
      </w:r>
      <w:r w:rsidRPr="00AD32FF">
        <w:rPr>
          <w:rFonts w:ascii="Verdana" w:hAnsi="Verdana"/>
          <w:color w:val="000000"/>
          <w:sz w:val="22"/>
          <w:szCs w:val="22"/>
        </w:rPr>
        <w:t>in tuition fees in the public</w:t>
      </w:r>
      <w:r w:rsidR="009A4C03" w:rsidRPr="00AD32FF">
        <w:rPr>
          <w:rFonts w:ascii="Verdana" w:hAnsi="Verdana"/>
          <w:color w:val="000000"/>
          <w:sz w:val="22"/>
          <w:szCs w:val="22"/>
        </w:rPr>
        <w:t>ly-funded</w:t>
      </w:r>
      <w:r w:rsidRPr="00AD32FF">
        <w:rPr>
          <w:rFonts w:ascii="Verdana" w:hAnsi="Verdana"/>
          <w:color w:val="000000"/>
          <w:sz w:val="22"/>
          <w:szCs w:val="22"/>
        </w:rPr>
        <w:t xml:space="preserve"> sector</w:t>
      </w:r>
      <w:r w:rsidR="0061166E" w:rsidRPr="00AD32FF">
        <w:rPr>
          <w:rFonts w:ascii="Verdana" w:hAnsi="Verdana"/>
          <w:color w:val="000000"/>
          <w:sz w:val="22"/>
          <w:szCs w:val="22"/>
        </w:rPr>
        <w:t xml:space="preserve"> </w:t>
      </w:r>
      <w:r w:rsidRPr="00AD32FF">
        <w:rPr>
          <w:rFonts w:ascii="Verdana" w:hAnsi="Verdana"/>
          <w:color w:val="000000"/>
          <w:sz w:val="22"/>
          <w:szCs w:val="22"/>
        </w:rPr>
        <w:t>some colleges are now actively targeting UK/EU students and offering them programmes at fees lower than</w:t>
      </w:r>
      <w:r w:rsidR="00410601" w:rsidRPr="00AD32FF">
        <w:rPr>
          <w:rFonts w:ascii="Verdana" w:hAnsi="Verdana"/>
          <w:color w:val="000000"/>
          <w:sz w:val="22"/>
          <w:szCs w:val="22"/>
        </w:rPr>
        <w:t xml:space="preserve"> they charge </w:t>
      </w:r>
      <w:r w:rsidRPr="00AD32FF">
        <w:rPr>
          <w:rFonts w:ascii="Verdana" w:hAnsi="Verdana"/>
          <w:color w:val="000000"/>
          <w:sz w:val="22"/>
          <w:szCs w:val="22"/>
        </w:rPr>
        <w:t xml:space="preserve">international students. </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Although almost all the private colleges are small with none exceeding 5,000 students</w:t>
      </w:r>
      <w:r w:rsidR="0061166E" w:rsidRPr="00AD32FF">
        <w:rPr>
          <w:rFonts w:ascii="Verdana" w:hAnsi="Verdana"/>
          <w:color w:val="000000"/>
          <w:sz w:val="22"/>
          <w:szCs w:val="22"/>
        </w:rPr>
        <w:t>, t</w:t>
      </w:r>
      <w:r w:rsidRPr="00AD32FF">
        <w:rPr>
          <w:rFonts w:ascii="Verdana" w:hAnsi="Verdana"/>
          <w:color w:val="000000"/>
          <w:sz w:val="22"/>
          <w:szCs w:val="22"/>
        </w:rPr>
        <w:t>hey have been expanding rapidly in the UK and overseas</w:t>
      </w:r>
      <w:r w:rsidR="00734603" w:rsidRPr="00AD32FF">
        <w:rPr>
          <w:rFonts w:ascii="Verdana" w:hAnsi="Verdana"/>
          <w:color w:val="000000"/>
          <w:sz w:val="22"/>
          <w:szCs w:val="22"/>
        </w:rPr>
        <w:t>.</w:t>
      </w:r>
      <w:r w:rsidRPr="00AD32FF">
        <w:rPr>
          <w:rFonts w:ascii="Verdana" w:hAnsi="Verdana"/>
          <w:color w:val="000000"/>
          <w:sz w:val="22"/>
          <w:szCs w:val="22"/>
        </w:rPr>
        <w:t xml:space="preserve"> The two colleges offering postgraduate law qualifications are also </w:t>
      </w:r>
      <w:r w:rsidR="00C27A0D" w:rsidRPr="00AD32FF">
        <w:rPr>
          <w:rFonts w:ascii="Verdana" w:hAnsi="Verdana"/>
          <w:color w:val="000000"/>
          <w:sz w:val="22"/>
          <w:szCs w:val="22"/>
        </w:rPr>
        <w:t>expanding</w:t>
      </w:r>
      <w:r w:rsidRPr="00AD32FF">
        <w:rPr>
          <w:rFonts w:ascii="Verdana" w:hAnsi="Verdana"/>
          <w:color w:val="000000"/>
          <w:sz w:val="22"/>
          <w:szCs w:val="22"/>
        </w:rPr>
        <w:t xml:space="preserve"> and spreading their network</w:t>
      </w:r>
      <w:r w:rsidR="00267FC4" w:rsidRPr="00AD32FF">
        <w:rPr>
          <w:rFonts w:ascii="Verdana" w:hAnsi="Verdana"/>
          <w:color w:val="000000"/>
          <w:sz w:val="22"/>
          <w:szCs w:val="22"/>
        </w:rPr>
        <w:t>s</w:t>
      </w:r>
      <w:r w:rsidRPr="00AD32FF">
        <w:rPr>
          <w:rFonts w:ascii="Verdana" w:hAnsi="Verdana"/>
          <w:color w:val="000000"/>
          <w:sz w:val="22"/>
          <w:szCs w:val="22"/>
        </w:rPr>
        <w:t xml:space="preserve"> of campuses into cities outside London.</w:t>
      </w:r>
      <w:r w:rsidR="007D3135" w:rsidRPr="00AD32FF">
        <w:rPr>
          <w:rFonts w:ascii="Verdana" w:hAnsi="Verdana"/>
          <w:color w:val="000000"/>
          <w:sz w:val="22"/>
          <w:szCs w:val="22"/>
        </w:rPr>
        <w:t xml:space="preserve"> </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regulations concerning private providers are complex and scattered in various Acts and instruments</w:t>
      </w:r>
      <w:r w:rsidR="00410601" w:rsidRPr="00AD32FF">
        <w:rPr>
          <w:rFonts w:ascii="Verdana" w:hAnsi="Verdana"/>
          <w:color w:val="000000"/>
          <w:sz w:val="22"/>
          <w:szCs w:val="22"/>
        </w:rPr>
        <w:t>.</w:t>
      </w:r>
      <w:r w:rsidRPr="00AD32FF">
        <w:rPr>
          <w:rFonts w:ascii="Verdana" w:hAnsi="Verdana"/>
          <w:color w:val="000000"/>
          <w:sz w:val="22"/>
          <w:szCs w:val="22"/>
        </w:rPr>
        <w:t xml:space="preserve"> The net effect is that for an educational entrepreneur the regulatory fram</w:t>
      </w:r>
      <w:r w:rsidR="007D3135" w:rsidRPr="00AD32FF">
        <w:rPr>
          <w:rFonts w:ascii="Verdana" w:hAnsi="Verdana"/>
          <w:color w:val="000000"/>
          <w:sz w:val="22"/>
          <w:szCs w:val="22"/>
        </w:rPr>
        <w:t>ework is confusing. For example</w:t>
      </w:r>
      <w:r w:rsidR="0061166E" w:rsidRPr="00AD32FF">
        <w:rPr>
          <w:rFonts w:ascii="Verdana" w:hAnsi="Verdana"/>
          <w:color w:val="000000"/>
          <w:sz w:val="22"/>
          <w:szCs w:val="22"/>
        </w:rPr>
        <w:t>,</w:t>
      </w:r>
      <w:r w:rsidR="007D3135" w:rsidRPr="00AD32FF">
        <w:rPr>
          <w:rFonts w:ascii="Verdana" w:hAnsi="Verdana"/>
          <w:color w:val="000000"/>
          <w:sz w:val="22"/>
          <w:szCs w:val="22"/>
        </w:rPr>
        <w:t xml:space="preserve"> t</w:t>
      </w:r>
      <w:r w:rsidRPr="00AD32FF">
        <w:rPr>
          <w:rFonts w:ascii="Verdana" w:hAnsi="Verdana"/>
          <w:color w:val="000000"/>
          <w:sz w:val="22"/>
          <w:szCs w:val="22"/>
        </w:rPr>
        <w:t>he</w:t>
      </w:r>
      <w:r w:rsidR="00410601" w:rsidRPr="00AD32FF">
        <w:rPr>
          <w:rFonts w:ascii="Verdana" w:hAnsi="Verdana"/>
          <w:color w:val="000000"/>
          <w:sz w:val="22"/>
          <w:szCs w:val="22"/>
        </w:rPr>
        <w:t xml:space="preserve"> QAA </w:t>
      </w:r>
      <w:r w:rsidRPr="00AD32FF">
        <w:rPr>
          <w:rFonts w:ascii="Verdana" w:hAnsi="Verdana"/>
          <w:color w:val="000000"/>
          <w:sz w:val="22"/>
          <w:szCs w:val="22"/>
        </w:rPr>
        <w:t xml:space="preserve">reviews whether a </w:t>
      </w:r>
      <w:r w:rsidRPr="00AD32FF">
        <w:rPr>
          <w:rFonts w:ascii="Verdana" w:hAnsi="Verdana"/>
          <w:color w:val="000000"/>
          <w:sz w:val="22"/>
          <w:szCs w:val="22"/>
        </w:rPr>
        <w:lastRenderedPageBreak/>
        <w:t>provider (public or private) is competent to award degrees and makes a recommendation on the grant of DAPs to the Privy Council. The criteria and issues examined in these reviews are different from those used to review publicly</w:t>
      </w:r>
      <w:r w:rsidR="0061166E" w:rsidRPr="00AD32FF">
        <w:rPr>
          <w:rFonts w:ascii="Verdana" w:hAnsi="Verdana"/>
          <w:color w:val="000000"/>
          <w:sz w:val="22"/>
          <w:szCs w:val="22"/>
        </w:rPr>
        <w:t>-</w:t>
      </w:r>
      <w:r w:rsidRPr="00AD32FF">
        <w:rPr>
          <w:rFonts w:ascii="Verdana" w:hAnsi="Verdana"/>
          <w:color w:val="000000"/>
          <w:sz w:val="22"/>
          <w:szCs w:val="22"/>
        </w:rPr>
        <w:t>funded universities</w:t>
      </w:r>
      <w:r w:rsidR="0061166E" w:rsidRPr="00AD32FF">
        <w:rPr>
          <w:rFonts w:ascii="Verdana" w:hAnsi="Verdana"/>
          <w:color w:val="000000"/>
          <w:sz w:val="22"/>
          <w:szCs w:val="22"/>
        </w:rPr>
        <w:t>.</w:t>
      </w:r>
      <w:r w:rsidRPr="00AD32FF">
        <w:rPr>
          <w:rFonts w:ascii="Verdana" w:hAnsi="Verdana"/>
          <w:color w:val="000000"/>
          <w:sz w:val="22"/>
          <w:szCs w:val="22"/>
        </w:rPr>
        <w:t xml:space="preserve"> </w:t>
      </w:r>
      <w:r w:rsidR="00734603" w:rsidRPr="00AD32FF">
        <w:rPr>
          <w:rFonts w:ascii="Verdana" w:hAnsi="Verdana"/>
          <w:color w:val="000000"/>
          <w:sz w:val="22"/>
          <w:szCs w:val="22"/>
        </w:rPr>
        <w:t>This and other anomalies mean that t</w:t>
      </w:r>
      <w:r w:rsidRPr="00AD32FF">
        <w:rPr>
          <w:rFonts w:ascii="Verdana" w:hAnsi="Verdana"/>
          <w:color w:val="000000"/>
          <w:sz w:val="22"/>
          <w:szCs w:val="22"/>
        </w:rPr>
        <w:t>he UK’s regulatory framework for private providers is overdue for clarification and codification</w:t>
      </w:r>
      <w:r w:rsidR="00734603" w:rsidRPr="00AD32FF">
        <w:rPr>
          <w:rFonts w:ascii="Verdana" w:hAnsi="Verdana"/>
          <w:color w:val="000000"/>
          <w:sz w:val="22"/>
          <w:szCs w:val="22"/>
        </w:rPr>
        <w:t>.</w:t>
      </w:r>
    </w:p>
    <w:p w:rsidR="00393C8B" w:rsidRPr="00AD32FF" w:rsidRDefault="009A1284"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Many policy</w:t>
      </w:r>
      <w:r w:rsidR="0061166E" w:rsidRPr="00AD32FF">
        <w:rPr>
          <w:rFonts w:ascii="Verdana" w:hAnsi="Verdana"/>
          <w:color w:val="000000"/>
          <w:sz w:val="22"/>
          <w:szCs w:val="22"/>
        </w:rPr>
        <w:t>-</w:t>
      </w:r>
      <w:r w:rsidRPr="00AD32FF">
        <w:rPr>
          <w:rFonts w:ascii="Verdana" w:hAnsi="Verdana"/>
          <w:color w:val="000000"/>
          <w:sz w:val="22"/>
          <w:szCs w:val="22"/>
        </w:rPr>
        <w:t xml:space="preserve">makers look </w:t>
      </w:r>
      <w:r w:rsidR="0061166E" w:rsidRPr="00AD32FF">
        <w:rPr>
          <w:rFonts w:ascii="Verdana" w:hAnsi="Verdana"/>
          <w:color w:val="000000"/>
          <w:sz w:val="22"/>
          <w:szCs w:val="22"/>
        </w:rPr>
        <w:t xml:space="preserve">closely </w:t>
      </w:r>
      <w:r w:rsidRPr="00AD32FF">
        <w:rPr>
          <w:rFonts w:ascii="Verdana" w:hAnsi="Verdana"/>
          <w:color w:val="000000"/>
          <w:sz w:val="22"/>
          <w:szCs w:val="22"/>
        </w:rPr>
        <w:t xml:space="preserve">at </w:t>
      </w:r>
      <w:r w:rsidR="0061166E" w:rsidRPr="00AD32FF">
        <w:rPr>
          <w:rFonts w:ascii="Verdana" w:hAnsi="Verdana"/>
          <w:color w:val="000000"/>
          <w:sz w:val="22"/>
          <w:szCs w:val="22"/>
        </w:rPr>
        <w:t xml:space="preserve">developments </w:t>
      </w:r>
      <w:r w:rsidRPr="00AD32FF">
        <w:rPr>
          <w:rFonts w:ascii="Verdana" w:hAnsi="Verdana"/>
          <w:color w:val="000000"/>
          <w:sz w:val="22"/>
          <w:szCs w:val="22"/>
        </w:rPr>
        <w:t>in the USA</w:t>
      </w:r>
      <w:r w:rsidR="00410601" w:rsidRPr="00AD32FF">
        <w:rPr>
          <w:rFonts w:ascii="Verdana" w:hAnsi="Verdana"/>
          <w:color w:val="000000"/>
          <w:sz w:val="22"/>
          <w:szCs w:val="22"/>
        </w:rPr>
        <w:t xml:space="preserve">, where the number of </w:t>
      </w:r>
      <w:r w:rsidR="00242F43" w:rsidRPr="00AD32FF">
        <w:rPr>
          <w:rFonts w:ascii="Verdana" w:hAnsi="Verdana"/>
          <w:color w:val="000000"/>
          <w:sz w:val="22"/>
          <w:szCs w:val="22"/>
        </w:rPr>
        <w:t>university</w:t>
      </w:r>
      <w:r w:rsidR="009A6D8E" w:rsidRPr="00AD32FF">
        <w:rPr>
          <w:rFonts w:ascii="Verdana" w:hAnsi="Verdana"/>
          <w:color w:val="000000"/>
          <w:sz w:val="22"/>
          <w:szCs w:val="22"/>
        </w:rPr>
        <w:t>-</w:t>
      </w:r>
      <w:r w:rsidR="00242F43" w:rsidRPr="00AD32FF">
        <w:rPr>
          <w:rFonts w:ascii="Verdana" w:hAnsi="Verdana"/>
          <w:color w:val="000000"/>
          <w:sz w:val="22"/>
          <w:szCs w:val="22"/>
        </w:rPr>
        <w:t xml:space="preserve">level institutions </w:t>
      </w:r>
      <w:r w:rsidR="00410601" w:rsidRPr="00AD32FF">
        <w:rPr>
          <w:rFonts w:ascii="Verdana" w:hAnsi="Verdana"/>
          <w:color w:val="000000"/>
          <w:sz w:val="22"/>
          <w:szCs w:val="22"/>
        </w:rPr>
        <w:t>is as follows</w:t>
      </w:r>
      <w:r w:rsidR="00242F43" w:rsidRPr="00AD32FF">
        <w:rPr>
          <w:rFonts w:ascii="Verdana" w:hAnsi="Verdana"/>
          <w:color w:val="000000"/>
          <w:sz w:val="22"/>
          <w:szCs w:val="22"/>
        </w:rPr>
        <w:t>:</w:t>
      </w:r>
    </w:p>
    <w:p w:rsidR="00242F43" w:rsidRPr="00AD32FF" w:rsidRDefault="00242F43"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Public institutions</w:t>
      </w:r>
      <w:r w:rsidRPr="00AD32FF">
        <w:rPr>
          <w:rFonts w:ascii="Verdana" w:hAnsi="Verdana"/>
          <w:color w:val="000000"/>
          <w:sz w:val="22"/>
          <w:szCs w:val="22"/>
        </w:rPr>
        <w:tab/>
      </w:r>
      <w:r w:rsidRPr="00AD32FF">
        <w:rPr>
          <w:rFonts w:ascii="Verdana" w:hAnsi="Verdana"/>
          <w:color w:val="000000"/>
          <w:sz w:val="22"/>
          <w:szCs w:val="22"/>
        </w:rPr>
        <w:tab/>
      </w:r>
      <w:r w:rsidRPr="00AD32FF">
        <w:rPr>
          <w:rFonts w:ascii="Verdana" w:hAnsi="Verdana"/>
          <w:color w:val="000000"/>
          <w:sz w:val="22"/>
          <w:szCs w:val="22"/>
        </w:rPr>
        <w:tab/>
        <w:t xml:space="preserve"> </w:t>
      </w:r>
      <w:r w:rsidRPr="00AD32FF">
        <w:rPr>
          <w:rFonts w:ascii="Verdana" w:hAnsi="Verdana"/>
          <w:color w:val="000000"/>
          <w:sz w:val="22"/>
          <w:szCs w:val="22"/>
        </w:rPr>
        <w:tab/>
      </w:r>
      <w:r w:rsidR="00734603" w:rsidRPr="00AD32FF">
        <w:rPr>
          <w:rFonts w:ascii="Verdana" w:hAnsi="Verdana"/>
          <w:color w:val="000000"/>
          <w:sz w:val="22"/>
          <w:szCs w:val="22"/>
        </w:rPr>
        <w:tab/>
      </w:r>
      <w:r w:rsidRPr="00AD32FF">
        <w:rPr>
          <w:rFonts w:ascii="Verdana" w:hAnsi="Verdana"/>
          <w:color w:val="000000"/>
          <w:sz w:val="22"/>
          <w:szCs w:val="22"/>
        </w:rPr>
        <w:t xml:space="preserve"> </w:t>
      </w:r>
      <w:r w:rsidR="00734603" w:rsidRPr="00AD32FF">
        <w:rPr>
          <w:rFonts w:ascii="Verdana" w:hAnsi="Verdana"/>
          <w:color w:val="000000"/>
          <w:sz w:val="22"/>
          <w:szCs w:val="22"/>
        </w:rPr>
        <w:tab/>
      </w:r>
      <w:r w:rsidR="00734603" w:rsidRPr="00AD32FF">
        <w:rPr>
          <w:rFonts w:ascii="Verdana" w:hAnsi="Verdana"/>
          <w:color w:val="000000"/>
          <w:sz w:val="22"/>
          <w:szCs w:val="22"/>
        </w:rPr>
        <w:tab/>
      </w:r>
      <w:r w:rsidR="0000492C" w:rsidRPr="00AD32FF">
        <w:rPr>
          <w:rFonts w:ascii="Verdana" w:hAnsi="Verdana"/>
          <w:color w:val="000000"/>
          <w:sz w:val="22"/>
          <w:szCs w:val="22"/>
        </w:rPr>
        <w:t xml:space="preserve"> </w:t>
      </w:r>
      <w:r w:rsidRPr="00AD32FF">
        <w:rPr>
          <w:rFonts w:ascii="Verdana" w:hAnsi="Verdana"/>
          <w:color w:val="000000"/>
          <w:sz w:val="22"/>
          <w:szCs w:val="22"/>
        </w:rPr>
        <w:t xml:space="preserve">  594</w:t>
      </w:r>
    </w:p>
    <w:p w:rsidR="00242F43" w:rsidRPr="00AD32FF" w:rsidRDefault="00242F43"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Private </w:t>
      </w:r>
      <w:r w:rsidR="0000492C" w:rsidRPr="00AD32FF">
        <w:rPr>
          <w:rFonts w:ascii="Verdana" w:hAnsi="Verdana"/>
          <w:color w:val="000000"/>
          <w:sz w:val="22"/>
          <w:szCs w:val="22"/>
        </w:rPr>
        <w:t>n</w:t>
      </w:r>
      <w:r w:rsidRPr="00AD32FF">
        <w:rPr>
          <w:rFonts w:ascii="Verdana" w:hAnsi="Verdana"/>
          <w:color w:val="000000"/>
          <w:sz w:val="22"/>
          <w:szCs w:val="22"/>
        </w:rPr>
        <w:t>ot-for-profit institutions</w:t>
      </w:r>
      <w:r w:rsidRPr="00AD32FF">
        <w:rPr>
          <w:rFonts w:ascii="Verdana" w:hAnsi="Verdana"/>
          <w:color w:val="000000"/>
          <w:sz w:val="22"/>
          <w:szCs w:val="22"/>
        </w:rPr>
        <w:tab/>
      </w:r>
      <w:r w:rsidR="00F677B5" w:rsidRPr="00AD32FF">
        <w:rPr>
          <w:rStyle w:val="FootnoteReference"/>
          <w:rFonts w:ascii="Verdana" w:hAnsi="Verdana"/>
          <w:color w:val="000000"/>
          <w:sz w:val="22"/>
          <w:szCs w:val="22"/>
        </w:rPr>
        <w:footnoteReference w:id="1"/>
      </w:r>
      <w:r w:rsidRPr="00AD32FF">
        <w:rPr>
          <w:rFonts w:ascii="Verdana" w:hAnsi="Verdana"/>
          <w:color w:val="000000"/>
          <w:sz w:val="22"/>
          <w:szCs w:val="22"/>
        </w:rPr>
        <w:tab/>
      </w:r>
      <w:r w:rsidR="00734603" w:rsidRPr="00AD32FF">
        <w:rPr>
          <w:rFonts w:ascii="Verdana" w:hAnsi="Verdana"/>
          <w:color w:val="000000"/>
          <w:sz w:val="22"/>
          <w:szCs w:val="22"/>
        </w:rPr>
        <w:tab/>
      </w:r>
      <w:r w:rsidR="00734603" w:rsidRPr="00AD32FF">
        <w:rPr>
          <w:rFonts w:ascii="Verdana" w:hAnsi="Verdana"/>
          <w:color w:val="000000"/>
          <w:sz w:val="22"/>
          <w:szCs w:val="22"/>
        </w:rPr>
        <w:tab/>
      </w:r>
      <w:r w:rsidR="00734603" w:rsidRPr="00AD32FF">
        <w:rPr>
          <w:rFonts w:ascii="Verdana" w:hAnsi="Verdana"/>
          <w:color w:val="000000"/>
          <w:sz w:val="22"/>
          <w:szCs w:val="22"/>
        </w:rPr>
        <w:tab/>
      </w:r>
      <w:r w:rsidRPr="00AD32FF">
        <w:rPr>
          <w:rFonts w:ascii="Verdana" w:hAnsi="Verdana"/>
          <w:color w:val="000000"/>
          <w:sz w:val="22"/>
          <w:szCs w:val="22"/>
        </w:rPr>
        <w:t xml:space="preserve">1,127 </w:t>
      </w:r>
    </w:p>
    <w:p w:rsidR="00242F43" w:rsidRPr="00AD32FF" w:rsidRDefault="00242F43"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Private </w:t>
      </w:r>
      <w:r w:rsidR="0000492C" w:rsidRPr="00AD32FF">
        <w:rPr>
          <w:rFonts w:ascii="Verdana" w:hAnsi="Verdana"/>
          <w:color w:val="000000"/>
          <w:sz w:val="22"/>
          <w:szCs w:val="22"/>
        </w:rPr>
        <w:t>f</w:t>
      </w:r>
      <w:r w:rsidRPr="00AD32FF">
        <w:rPr>
          <w:rFonts w:ascii="Verdana" w:hAnsi="Verdana"/>
          <w:color w:val="000000"/>
          <w:sz w:val="22"/>
          <w:szCs w:val="22"/>
        </w:rPr>
        <w:t>or</w:t>
      </w:r>
      <w:r w:rsidR="009A6D8E" w:rsidRPr="00AD32FF">
        <w:rPr>
          <w:rFonts w:ascii="Verdana" w:hAnsi="Verdana"/>
          <w:color w:val="000000"/>
          <w:sz w:val="22"/>
          <w:szCs w:val="22"/>
        </w:rPr>
        <w:t>-</w:t>
      </w:r>
      <w:r w:rsidRPr="00AD32FF">
        <w:rPr>
          <w:rFonts w:ascii="Verdana" w:hAnsi="Verdana"/>
          <w:color w:val="000000"/>
          <w:sz w:val="22"/>
          <w:szCs w:val="22"/>
        </w:rPr>
        <w:t>profit institutions</w:t>
      </w:r>
    </w:p>
    <w:p w:rsidR="00242F43" w:rsidRPr="00AD32FF" w:rsidRDefault="00242F43" w:rsidP="00F31CFC">
      <w:pPr>
        <w:numPr>
          <w:ilvl w:val="1"/>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Enterprise</w:t>
      </w:r>
      <w:r w:rsidR="00734603" w:rsidRPr="00AD32FF">
        <w:rPr>
          <w:rFonts w:ascii="Verdana" w:hAnsi="Verdana"/>
          <w:color w:val="000000"/>
          <w:sz w:val="22"/>
          <w:szCs w:val="22"/>
        </w:rPr>
        <w:t xml:space="preserve"> (family owned)</w:t>
      </w:r>
      <w:r w:rsidRPr="00AD32FF">
        <w:rPr>
          <w:rFonts w:ascii="Verdana" w:hAnsi="Verdana"/>
          <w:color w:val="000000"/>
          <w:sz w:val="22"/>
          <w:szCs w:val="22"/>
        </w:rPr>
        <w:tab/>
      </w:r>
      <w:r w:rsidRPr="00AD32FF">
        <w:rPr>
          <w:rFonts w:ascii="Verdana" w:hAnsi="Verdana"/>
          <w:color w:val="000000"/>
          <w:sz w:val="22"/>
          <w:szCs w:val="22"/>
        </w:rPr>
        <w:tab/>
        <w:t xml:space="preserve"> </w:t>
      </w:r>
      <w:r w:rsidR="00734603" w:rsidRPr="00AD32FF">
        <w:rPr>
          <w:rFonts w:ascii="Verdana" w:hAnsi="Verdana"/>
          <w:color w:val="000000"/>
          <w:sz w:val="22"/>
          <w:szCs w:val="22"/>
        </w:rPr>
        <w:tab/>
      </w:r>
      <w:r w:rsidR="00F31CFC" w:rsidRPr="00AD32FF">
        <w:rPr>
          <w:rFonts w:ascii="Verdana" w:hAnsi="Verdana"/>
          <w:color w:val="000000"/>
          <w:sz w:val="22"/>
          <w:szCs w:val="22"/>
        </w:rPr>
        <w:tab/>
      </w:r>
      <w:r w:rsidR="00F31CFC" w:rsidRPr="00AD32FF">
        <w:rPr>
          <w:rFonts w:ascii="Verdana" w:hAnsi="Verdana"/>
          <w:color w:val="000000"/>
          <w:sz w:val="22"/>
          <w:szCs w:val="22"/>
        </w:rPr>
        <w:tab/>
        <w:t xml:space="preserve">   </w:t>
      </w:r>
      <w:r w:rsidRPr="00AD32FF">
        <w:rPr>
          <w:rFonts w:ascii="Verdana" w:hAnsi="Verdana"/>
          <w:color w:val="000000"/>
          <w:sz w:val="22"/>
          <w:szCs w:val="22"/>
        </w:rPr>
        <w:t xml:space="preserve"> 41</w:t>
      </w:r>
    </w:p>
    <w:p w:rsidR="00242F43" w:rsidRPr="00AD32FF" w:rsidRDefault="00242F43" w:rsidP="00F31CFC">
      <w:pPr>
        <w:numPr>
          <w:ilvl w:val="1"/>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Venture</w:t>
      </w:r>
      <w:r w:rsidR="00734603" w:rsidRPr="00AD32FF">
        <w:rPr>
          <w:rFonts w:ascii="Verdana" w:hAnsi="Verdana"/>
          <w:color w:val="000000"/>
          <w:sz w:val="22"/>
          <w:szCs w:val="22"/>
        </w:rPr>
        <w:t xml:space="preserve"> (private co</w:t>
      </w:r>
      <w:r w:rsidR="00F31CFC" w:rsidRPr="00AD32FF">
        <w:rPr>
          <w:rFonts w:ascii="Verdana" w:hAnsi="Verdana"/>
          <w:color w:val="000000"/>
          <w:sz w:val="22"/>
          <w:szCs w:val="22"/>
        </w:rPr>
        <w:t>mpany</w:t>
      </w:r>
      <w:r w:rsidR="00734603" w:rsidRPr="00AD32FF">
        <w:rPr>
          <w:rFonts w:ascii="Verdana" w:hAnsi="Verdana"/>
          <w:color w:val="000000"/>
          <w:sz w:val="22"/>
          <w:szCs w:val="22"/>
        </w:rPr>
        <w:t xml:space="preserve"> owned)</w:t>
      </w:r>
      <w:r w:rsidRPr="00AD32FF">
        <w:rPr>
          <w:rFonts w:ascii="Verdana" w:hAnsi="Verdana"/>
          <w:color w:val="000000"/>
          <w:sz w:val="22"/>
          <w:szCs w:val="22"/>
        </w:rPr>
        <w:tab/>
        <w:t xml:space="preserve"> </w:t>
      </w:r>
      <w:r w:rsidR="00F31CFC" w:rsidRPr="00AD32FF">
        <w:rPr>
          <w:rFonts w:ascii="Verdana" w:hAnsi="Verdana"/>
          <w:color w:val="000000"/>
          <w:sz w:val="22"/>
          <w:szCs w:val="22"/>
        </w:rPr>
        <w:tab/>
      </w:r>
      <w:r w:rsidR="00F31CFC" w:rsidRPr="00AD32FF">
        <w:rPr>
          <w:rFonts w:ascii="Verdana" w:hAnsi="Verdana"/>
          <w:color w:val="000000"/>
          <w:sz w:val="22"/>
          <w:szCs w:val="22"/>
        </w:rPr>
        <w:tab/>
        <w:t xml:space="preserve">  </w:t>
      </w:r>
      <w:r w:rsidRPr="00AD32FF">
        <w:rPr>
          <w:rFonts w:ascii="Verdana" w:hAnsi="Verdana"/>
          <w:color w:val="000000"/>
          <w:sz w:val="22"/>
          <w:szCs w:val="22"/>
        </w:rPr>
        <w:t xml:space="preserve"> 31</w:t>
      </w:r>
    </w:p>
    <w:p w:rsidR="00242F43" w:rsidRPr="00AD32FF" w:rsidRDefault="00242F43" w:rsidP="00F31CFC">
      <w:pPr>
        <w:numPr>
          <w:ilvl w:val="1"/>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Shareholder</w:t>
      </w:r>
      <w:r w:rsidR="00734603" w:rsidRPr="00AD32FF">
        <w:rPr>
          <w:rFonts w:ascii="Verdana" w:hAnsi="Verdana"/>
          <w:color w:val="000000"/>
          <w:sz w:val="22"/>
          <w:szCs w:val="22"/>
        </w:rPr>
        <w:t xml:space="preserve"> (public co</w:t>
      </w:r>
      <w:r w:rsidR="00F31CFC" w:rsidRPr="00AD32FF">
        <w:rPr>
          <w:rFonts w:ascii="Verdana" w:hAnsi="Verdana"/>
          <w:color w:val="000000"/>
          <w:sz w:val="22"/>
          <w:szCs w:val="22"/>
        </w:rPr>
        <w:t>mpany</w:t>
      </w:r>
      <w:r w:rsidR="00734603" w:rsidRPr="00AD32FF">
        <w:rPr>
          <w:rFonts w:ascii="Verdana" w:hAnsi="Verdana"/>
          <w:color w:val="000000"/>
          <w:sz w:val="22"/>
          <w:szCs w:val="22"/>
        </w:rPr>
        <w:t xml:space="preserve"> owned)</w:t>
      </w:r>
      <w:r w:rsidRPr="00AD32FF">
        <w:rPr>
          <w:rFonts w:ascii="Verdana" w:hAnsi="Verdana"/>
          <w:color w:val="000000"/>
          <w:sz w:val="22"/>
          <w:szCs w:val="22"/>
        </w:rPr>
        <w:tab/>
      </w:r>
      <w:r w:rsidR="00734603" w:rsidRPr="00AD32FF">
        <w:rPr>
          <w:rFonts w:ascii="Verdana" w:hAnsi="Verdana"/>
          <w:color w:val="000000"/>
          <w:sz w:val="22"/>
          <w:szCs w:val="22"/>
        </w:rPr>
        <w:tab/>
      </w:r>
      <w:r w:rsidR="00F31CFC" w:rsidRPr="00AD32FF">
        <w:rPr>
          <w:rFonts w:ascii="Verdana" w:hAnsi="Verdana"/>
          <w:color w:val="000000"/>
          <w:sz w:val="22"/>
          <w:szCs w:val="22"/>
        </w:rPr>
        <w:tab/>
        <w:t xml:space="preserve">  </w:t>
      </w:r>
      <w:r w:rsidRPr="00AD32FF">
        <w:rPr>
          <w:rFonts w:ascii="Verdana" w:hAnsi="Verdana"/>
          <w:color w:val="000000"/>
          <w:sz w:val="22"/>
          <w:szCs w:val="22"/>
          <w:u w:val="single"/>
        </w:rPr>
        <w:t>112</w:t>
      </w:r>
    </w:p>
    <w:p w:rsidR="00393C8B" w:rsidRPr="00AD32FF" w:rsidRDefault="0079346A" w:rsidP="0079346A">
      <w:pPr>
        <w:spacing w:before="120" w:line="300" w:lineRule="atLeast"/>
        <w:ind w:right="332"/>
        <w:rPr>
          <w:rFonts w:ascii="Verdana" w:hAnsi="Verdana"/>
          <w:color w:val="000000"/>
          <w:sz w:val="22"/>
          <w:szCs w:val="22"/>
        </w:rPr>
      </w:pPr>
      <w:r w:rsidRPr="00AD32FF">
        <w:rPr>
          <w:rFonts w:ascii="Verdana" w:hAnsi="Verdana"/>
          <w:color w:val="000000"/>
          <w:sz w:val="22"/>
          <w:szCs w:val="22"/>
        </w:rPr>
        <w:t>T</w:t>
      </w:r>
      <w:r w:rsidR="00242F43" w:rsidRPr="00AD32FF">
        <w:rPr>
          <w:rFonts w:ascii="Verdana" w:hAnsi="Verdana"/>
          <w:color w:val="000000"/>
          <w:sz w:val="22"/>
          <w:szCs w:val="22"/>
        </w:rPr>
        <w:t>otal</w:t>
      </w:r>
      <w:r w:rsidR="00242F43" w:rsidRPr="00AD32FF">
        <w:rPr>
          <w:rFonts w:ascii="Verdana" w:hAnsi="Verdana"/>
          <w:color w:val="000000"/>
          <w:sz w:val="22"/>
          <w:szCs w:val="22"/>
        </w:rPr>
        <w:tab/>
      </w:r>
      <w:r w:rsidR="00242F43" w:rsidRPr="00AD32FF">
        <w:rPr>
          <w:rFonts w:ascii="Verdana" w:hAnsi="Verdana"/>
          <w:color w:val="000000"/>
          <w:sz w:val="22"/>
          <w:szCs w:val="22"/>
        </w:rPr>
        <w:tab/>
      </w:r>
      <w:r w:rsidR="00242F43" w:rsidRPr="00AD32FF">
        <w:rPr>
          <w:rFonts w:ascii="Verdana" w:hAnsi="Verdana"/>
          <w:color w:val="000000"/>
          <w:sz w:val="22"/>
          <w:szCs w:val="22"/>
        </w:rPr>
        <w:tab/>
      </w:r>
      <w:r w:rsidR="00242F43" w:rsidRPr="00AD32FF">
        <w:rPr>
          <w:rFonts w:ascii="Verdana" w:hAnsi="Verdana"/>
          <w:color w:val="000000"/>
          <w:sz w:val="22"/>
          <w:szCs w:val="22"/>
        </w:rPr>
        <w:tab/>
      </w:r>
      <w:r w:rsidR="00242F43" w:rsidRPr="00AD32FF">
        <w:rPr>
          <w:rFonts w:ascii="Verdana" w:hAnsi="Verdana"/>
          <w:color w:val="000000"/>
          <w:sz w:val="22"/>
          <w:szCs w:val="22"/>
        </w:rPr>
        <w:tab/>
      </w:r>
      <w:r w:rsidR="00242F43" w:rsidRPr="00AD32FF">
        <w:rPr>
          <w:rFonts w:ascii="Verdana" w:hAnsi="Verdana"/>
          <w:color w:val="000000"/>
          <w:sz w:val="22"/>
          <w:szCs w:val="22"/>
        </w:rPr>
        <w:tab/>
      </w:r>
      <w:r w:rsidR="00734603" w:rsidRPr="00AD32FF">
        <w:rPr>
          <w:rFonts w:ascii="Verdana" w:hAnsi="Verdana"/>
          <w:color w:val="000000"/>
          <w:sz w:val="22"/>
          <w:szCs w:val="22"/>
        </w:rPr>
        <w:tab/>
      </w:r>
      <w:r w:rsidR="00734603" w:rsidRPr="00AD32FF">
        <w:rPr>
          <w:rFonts w:ascii="Verdana" w:hAnsi="Verdana"/>
          <w:color w:val="000000"/>
          <w:sz w:val="22"/>
          <w:szCs w:val="22"/>
        </w:rPr>
        <w:tab/>
      </w:r>
      <w:r w:rsidR="00734603" w:rsidRPr="00AD32FF">
        <w:rPr>
          <w:rFonts w:ascii="Verdana" w:hAnsi="Verdana"/>
          <w:color w:val="000000"/>
          <w:sz w:val="22"/>
          <w:szCs w:val="22"/>
        </w:rPr>
        <w:tab/>
      </w:r>
      <w:r w:rsidR="00F31CFC" w:rsidRPr="00AD32FF">
        <w:rPr>
          <w:rFonts w:ascii="Verdana" w:hAnsi="Verdana"/>
          <w:color w:val="000000"/>
          <w:sz w:val="22"/>
          <w:szCs w:val="22"/>
        </w:rPr>
        <w:tab/>
      </w:r>
      <w:r w:rsidR="00242F43" w:rsidRPr="00AD32FF">
        <w:rPr>
          <w:rFonts w:ascii="Verdana" w:hAnsi="Verdana"/>
          <w:color w:val="000000"/>
          <w:sz w:val="22"/>
          <w:szCs w:val="22"/>
        </w:rPr>
        <w:t>1,905</w:t>
      </w:r>
    </w:p>
    <w:p w:rsidR="00D568E3" w:rsidRPr="00AD32FF" w:rsidRDefault="00D568E3" w:rsidP="0079346A">
      <w:pPr>
        <w:spacing w:before="120" w:line="300" w:lineRule="atLeast"/>
        <w:ind w:right="332"/>
        <w:rPr>
          <w:rFonts w:ascii="Verdana" w:hAnsi="Verdana"/>
          <w:i/>
          <w:color w:val="000000"/>
          <w:sz w:val="22"/>
          <w:szCs w:val="22"/>
        </w:rPr>
      </w:pPr>
      <w:r w:rsidRPr="00AD32FF">
        <w:rPr>
          <w:rFonts w:ascii="Verdana" w:hAnsi="Verdana"/>
          <w:i/>
          <w:color w:val="000000"/>
          <w:sz w:val="22"/>
          <w:szCs w:val="22"/>
        </w:rPr>
        <w:t>The US comparison</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 </w:t>
      </w:r>
      <w:r w:rsidR="00F677B5" w:rsidRPr="00AD32FF">
        <w:rPr>
          <w:rFonts w:ascii="Verdana" w:hAnsi="Verdana"/>
          <w:color w:val="000000"/>
          <w:sz w:val="22"/>
          <w:szCs w:val="22"/>
        </w:rPr>
        <w:t>A</w:t>
      </w:r>
      <w:r w:rsidR="009A6D8E" w:rsidRPr="00AD32FF">
        <w:rPr>
          <w:rFonts w:ascii="Verdana" w:hAnsi="Verdana"/>
          <w:color w:val="000000"/>
          <w:sz w:val="22"/>
          <w:szCs w:val="22"/>
        </w:rPr>
        <w:t xml:space="preserve">ttention </w:t>
      </w:r>
      <w:r w:rsidR="00D568E3" w:rsidRPr="00AD32FF">
        <w:rPr>
          <w:rFonts w:ascii="Verdana" w:hAnsi="Verdana"/>
          <w:color w:val="000000"/>
          <w:sz w:val="22"/>
          <w:szCs w:val="22"/>
        </w:rPr>
        <w:t xml:space="preserve">in the USA </w:t>
      </w:r>
      <w:r w:rsidR="009A6D8E" w:rsidRPr="00AD32FF">
        <w:rPr>
          <w:rFonts w:ascii="Verdana" w:hAnsi="Verdana"/>
          <w:color w:val="000000"/>
          <w:sz w:val="22"/>
          <w:szCs w:val="22"/>
        </w:rPr>
        <w:t xml:space="preserve">has focussed recently on the </w:t>
      </w:r>
      <w:r w:rsidR="00F677B5" w:rsidRPr="00AD32FF">
        <w:rPr>
          <w:rFonts w:ascii="Verdana" w:hAnsi="Verdana"/>
          <w:color w:val="000000"/>
          <w:sz w:val="22"/>
          <w:szCs w:val="22"/>
        </w:rPr>
        <w:t xml:space="preserve">relatively small </w:t>
      </w:r>
      <w:r w:rsidR="009A6D8E" w:rsidRPr="00AD32FF">
        <w:rPr>
          <w:rFonts w:ascii="Verdana" w:hAnsi="Verdana"/>
          <w:color w:val="000000"/>
          <w:sz w:val="22"/>
          <w:szCs w:val="22"/>
        </w:rPr>
        <w:t xml:space="preserve">for-profit sector and the fact that many receive over 80% of their income from public funds. </w:t>
      </w:r>
      <w:r w:rsidRPr="00AD32FF">
        <w:rPr>
          <w:rFonts w:ascii="Verdana" w:hAnsi="Verdana"/>
          <w:color w:val="000000"/>
          <w:sz w:val="22"/>
          <w:szCs w:val="22"/>
        </w:rPr>
        <w:t>Critics argue that:</w:t>
      </w:r>
    </w:p>
    <w:p w:rsidR="00242F43" w:rsidRPr="00AD32FF" w:rsidRDefault="0061166E"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Providers </w:t>
      </w:r>
      <w:r w:rsidR="00242F43" w:rsidRPr="00AD32FF">
        <w:rPr>
          <w:rFonts w:ascii="Verdana" w:hAnsi="Verdana"/>
          <w:color w:val="000000"/>
          <w:sz w:val="22"/>
          <w:szCs w:val="22"/>
        </w:rPr>
        <w:t>are making excessive profits from the delivery of higher education.</w:t>
      </w:r>
    </w:p>
    <w:p w:rsidR="00242F43" w:rsidRPr="00AD32FF" w:rsidRDefault="00CE1CAC"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Their survival </w:t>
      </w:r>
      <w:r w:rsidR="00242F43" w:rsidRPr="00AD32FF">
        <w:rPr>
          <w:rFonts w:ascii="Verdana" w:hAnsi="Verdana"/>
          <w:color w:val="000000"/>
          <w:sz w:val="22"/>
          <w:szCs w:val="22"/>
        </w:rPr>
        <w:t xml:space="preserve">relies on almost all </w:t>
      </w:r>
      <w:r w:rsidR="0061166E" w:rsidRPr="00AD32FF">
        <w:rPr>
          <w:rFonts w:ascii="Verdana" w:hAnsi="Verdana"/>
          <w:color w:val="000000"/>
          <w:sz w:val="22"/>
          <w:szCs w:val="22"/>
        </w:rPr>
        <w:t xml:space="preserve">of their </w:t>
      </w:r>
      <w:r w:rsidR="00242F43" w:rsidRPr="00AD32FF">
        <w:rPr>
          <w:rFonts w:ascii="Verdana" w:hAnsi="Verdana"/>
          <w:color w:val="000000"/>
          <w:sz w:val="22"/>
          <w:szCs w:val="22"/>
        </w:rPr>
        <w:t xml:space="preserve">students </w:t>
      </w:r>
      <w:r w:rsidR="0061166E" w:rsidRPr="00AD32FF">
        <w:rPr>
          <w:rFonts w:ascii="Verdana" w:hAnsi="Verdana"/>
          <w:color w:val="000000"/>
          <w:sz w:val="22"/>
          <w:szCs w:val="22"/>
        </w:rPr>
        <w:t xml:space="preserve">being </w:t>
      </w:r>
      <w:r w:rsidR="00242F43" w:rsidRPr="00AD32FF">
        <w:rPr>
          <w:rFonts w:ascii="Verdana" w:hAnsi="Verdana"/>
          <w:color w:val="000000"/>
          <w:sz w:val="22"/>
          <w:szCs w:val="22"/>
        </w:rPr>
        <w:t xml:space="preserve">entitled to either </w:t>
      </w:r>
      <w:r w:rsidR="00912474" w:rsidRPr="00AD32FF">
        <w:rPr>
          <w:rFonts w:ascii="Verdana" w:hAnsi="Verdana"/>
          <w:color w:val="000000"/>
          <w:sz w:val="22"/>
          <w:szCs w:val="22"/>
        </w:rPr>
        <w:t xml:space="preserve">Pell </w:t>
      </w:r>
      <w:r w:rsidR="00242F43" w:rsidRPr="00AD32FF">
        <w:rPr>
          <w:rFonts w:ascii="Verdana" w:hAnsi="Verdana"/>
          <w:color w:val="000000"/>
          <w:sz w:val="22"/>
          <w:szCs w:val="22"/>
        </w:rPr>
        <w:t xml:space="preserve">grants or </w:t>
      </w:r>
      <w:r w:rsidR="00912474" w:rsidRPr="00AD32FF">
        <w:rPr>
          <w:rFonts w:ascii="Verdana" w:hAnsi="Verdana"/>
          <w:color w:val="000000"/>
          <w:sz w:val="22"/>
          <w:szCs w:val="22"/>
        </w:rPr>
        <w:t xml:space="preserve">Title IV </w:t>
      </w:r>
      <w:r w:rsidR="00242F43" w:rsidRPr="00AD32FF">
        <w:rPr>
          <w:rFonts w:ascii="Verdana" w:hAnsi="Verdana"/>
          <w:color w:val="000000"/>
          <w:sz w:val="22"/>
          <w:szCs w:val="22"/>
        </w:rPr>
        <w:t>loans from the federal government.</w:t>
      </w:r>
    </w:p>
    <w:p w:rsidR="00242F43" w:rsidRPr="00AD32FF" w:rsidRDefault="00242F43"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C</w:t>
      </w:r>
      <w:r w:rsidR="00734603" w:rsidRPr="00AD32FF">
        <w:rPr>
          <w:rFonts w:ascii="Verdana" w:hAnsi="Verdana"/>
          <w:color w:val="000000"/>
          <w:sz w:val="22"/>
          <w:szCs w:val="22"/>
        </w:rPr>
        <w:t xml:space="preserve">ohort </w:t>
      </w:r>
      <w:r w:rsidRPr="00AD32FF">
        <w:rPr>
          <w:rFonts w:ascii="Verdana" w:hAnsi="Verdana"/>
          <w:color w:val="000000"/>
          <w:sz w:val="22"/>
          <w:szCs w:val="22"/>
        </w:rPr>
        <w:t>D</w:t>
      </w:r>
      <w:r w:rsidR="00734603" w:rsidRPr="00AD32FF">
        <w:rPr>
          <w:rFonts w:ascii="Verdana" w:hAnsi="Verdana"/>
          <w:color w:val="000000"/>
          <w:sz w:val="22"/>
          <w:szCs w:val="22"/>
        </w:rPr>
        <w:t xml:space="preserve">efault </w:t>
      </w:r>
      <w:r w:rsidRPr="00AD32FF">
        <w:rPr>
          <w:rFonts w:ascii="Verdana" w:hAnsi="Verdana"/>
          <w:color w:val="000000"/>
          <w:sz w:val="22"/>
          <w:szCs w:val="22"/>
        </w:rPr>
        <w:t>R</w:t>
      </w:r>
      <w:r w:rsidR="00734603" w:rsidRPr="00AD32FF">
        <w:rPr>
          <w:rFonts w:ascii="Verdana" w:hAnsi="Verdana"/>
          <w:color w:val="000000"/>
          <w:sz w:val="22"/>
          <w:szCs w:val="22"/>
        </w:rPr>
        <w:t>ate</w:t>
      </w:r>
      <w:r w:rsidRPr="00AD32FF">
        <w:rPr>
          <w:rFonts w:ascii="Verdana" w:hAnsi="Verdana"/>
          <w:color w:val="000000"/>
          <w:sz w:val="22"/>
          <w:szCs w:val="22"/>
        </w:rPr>
        <w:t xml:space="preserve"> for </w:t>
      </w:r>
      <w:r w:rsidR="00CE1CAC" w:rsidRPr="00AD32FF">
        <w:rPr>
          <w:rFonts w:ascii="Verdana" w:hAnsi="Verdana"/>
          <w:color w:val="000000"/>
          <w:sz w:val="22"/>
          <w:szCs w:val="22"/>
        </w:rPr>
        <w:t xml:space="preserve">the </w:t>
      </w:r>
      <w:r w:rsidRPr="00AD32FF">
        <w:rPr>
          <w:rFonts w:ascii="Verdana" w:hAnsi="Verdana"/>
          <w:color w:val="000000"/>
          <w:sz w:val="22"/>
          <w:szCs w:val="22"/>
        </w:rPr>
        <w:t xml:space="preserve">for-profits as a whole is 21% compared with the equivalent of 9.7% in the public sector and 6.5% for </w:t>
      </w:r>
      <w:r w:rsidR="0061166E" w:rsidRPr="00AD32FF">
        <w:rPr>
          <w:rFonts w:ascii="Verdana" w:hAnsi="Verdana"/>
          <w:color w:val="000000"/>
          <w:sz w:val="22"/>
          <w:szCs w:val="22"/>
        </w:rPr>
        <w:t xml:space="preserve">the whole </w:t>
      </w:r>
      <w:r w:rsidRPr="00AD32FF">
        <w:rPr>
          <w:rFonts w:ascii="Verdana" w:hAnsi="Verdana"/>
          <w:color w:val="000000"/>
          <w:sz w:val="22"/>
          <w:szCs w:val="22"/>
        </w:rPr>
        <w:t>private sector</w:t>
      </w:r>
      <w:r w:rsidR="00CE1CAC" w:rsidRPr="00AD32FF">
        <w:rPr>
          <w:rFonts w:ascii="Verdana" w:hAnsi="Verdana"/>
          <w:color w:val="000000"/>
          <w:sz w:val="22"/>
          <w:szCs w:val="22"/>
        </w:rPr>
        <w:t>, suggesting that poorer students are being encouraged to take loans</w:t>
      </w:r>
      <w:r w:rsidRPr="00AD32FF">
        <w:rPr>
          <w:rFonts w:ascii="Verdana" w:hAnsi="Verdana"/>
          <w:color w:val="000000"/>
          <w:sz w:val="22"/>
          <w:szCs w:val="22"/>
        </w:rPr>
        <w:t>.</w:t>
      </w:r>
    </w:p>
    <w:p w:rsidR="00242F43" w:rsidRPr="00AD32FF" w:rsidRDefault="00CE1CAC"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Dropout rates are unacceptably high</w:t>
      </w:r>
    </w:p>
    <w:p w:rsidR="000B4426" w:rsidRPr="00AD32FF" w:rsidRDefault="000B4426"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They “cherry pick” profitable programmes, thus denying </w:t>
      </w:r>
      <w:r w:rsidR="00CE1CAC" w:rsidRPr="00AD32FF">
        <w:rPr>
          <w:rFonts w:ascii="Verdana" w:hAnsi="Verdana"/>
          <w:color w:val="000000"/>
          <w:sz w:val="22"/>
          <w:szCs w:val="22"/>
        </w:rPr>
        <w:t xml:space="preserve">publicly funded colleges </w:t>
      </w:r>
      <w:r w:rsidRPr="00AD32FF">
        <w:rPr>
          <w:rFonts w:ascii="Verdana" w:hAnsi="Verdana"/>
          <w:color w:val="000000"/>
          <w:sz w:val="22"/>
          <w:szCs w:val="22"/>
        </w:rPr>
        <w:t xml:space="preserve">the benefit of cross subsidy </w:t>
      </w:r>
      <w:r w:rsidR="00CE1CAC" w:rsidRPr="00AD32FF">
        <w:rPr>
          <w:rFonts w:ascii="Verdana" w:hAnsi="Verdana"/>
          <w:color w:val="000000"/>
          <w:sz w:val="22"/>
          <w:szCs w:val="22"/>
        </w:rPr>
        <w:t xml:space="preserve">of </w:t>
      </w:r>
      <w:r w:rsidRPr="00AD32FF">
        <w:rPr>
          <w:rFonts w:ascii="Verdana" w:hAnsi="Verdana"/>
          <w:color w:val="000000"/>
          <w:sz w:val="22"/>
          <w:szCs w:val="22"/>
        </w:rPr>
        <w:t>less popular programmes.</w:t>
      </w:r>
    </w:p>
    <w:p w:rsidR="00393C8B" w:rsidRPr="00AD32FF" w:rsidRDefault="00242F43" w:rsidP="00F023B3">
      <w:pPr>
        <w:numPr>
          <w:ilvl w:val="0"/>
          <w:numId w:val="22"/>
        </w:numPr>
        <w:spacing w:before="120" w:line="300" w:lineRule="atLeast"/>
        <w:ind w:right="332"/>
        <w:rPr>
          <w:rFonts w:ascii="Verdana" w:hAnsi="Verdana"/>
          <w:color w:val="000000"/>
          <w:sz w:val="22"/>
          <w:szCs w:val="22"/>
        </w:rPr>
      </w:pPr>
      <w:r w:rsidRPr="00AD32FF">
        <w:rPr>
          <w:rFonts w:ascii="Verdana" w:hAnsi="Verdana"/>
          <w:color w:val="000000"/>
          <w:sz w:val="22"/>
          <w:szCs w:val="22"/>
        </w:rPr>
        <w:t>The state sector could offer a better quality of education, if funded to do so.</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main differences between the US and UK private sectors are those of scale and funding</w:t>
      </w:r>
      <w:r w:rsidR="0061166E" w:rsidRPr="00AD32FF">
        <w:rPr>
          <w:rFonts w:ascii="Verdana" w:hAnsi="Verdana"/>
          <w:color w:val="000000"/>
          <w:sz w:val="22"/>
          <w:szCs w:val="22"/>
        </w:rPr>
        <w:t xml:space="preserve"> since </w:t>
      </w:r>
      <w:r w:rsidR="00734603" w:rsidRPr="00AD32FF">
        <w:rPr>
          <w:rFonts w:ascii="Verdana" w:hAnsi="Verdana"/>
          <w:color w:val="000000"/>
          <w:sz w:val="22"/>
          <w:szCs w:val="22"/>
        </w:rPr>
        <w:t>t</w:t>
      </w:r>
      <w:r w:rsidRPr="00AD32FF">
        <w:rPr>
          <w:rFonts w:ascii="Verdana" w:hAnsi="Verdana"/>
          <w:color w:val="000000"/>
          <w:sz w:val="22"/>
          <w:szCs w:val="22"/>
        </w:rPr>
        <w:t xml:space="preserve">he </w:t>
      </w:r>
      <w:r w:rsidR="0061166E" w:rsidRPr="00AD32FF">
        <w:rPr>
          <w:rFonts w:ascii="Verdana" w:hAnsi="Verdana"/>
          <w:color w:val="000000"/>
          <w:sz w:val="22"/>
          <w:szCs w:val="22"/>
        </w:rPr>
        <w:t xml:space="preserve">key features of </w:t>
      </w:r>
      <w:r w:rsidRPr="00AD32FF">
        <w:rPr>
          <w:rFonts w:ascii="Verdana" w:hAnsi="Verdana"/>
          <w:color w:val="000000"/>
          <w:sz w:val="22"/>
          <w:szCs w:val="22"/>
        </w:rPr>
        <w:t>the</w:t>
      </w:r>
      <w:r w:rsidR="00C97C4C" w:rsidRPr="00AD32FF">
        <w:rPr>
          <w:rFonts w:ascii="Verdana" w:hAnsi="Verdana"/>
          <w:color w:val="000000"/>
          <w:sz w:val="22"/>
          <w:szCs w:val="22"/>
        </w:rPr>
        <w:t xml:space="preserve"> sectors are </w:t>
      </w:r>
      <w:r w:rsidR="002B008A" w:rsidRPr="00AD32FF">
        <w:rPr>
          <w:rFonts w:ascii="Verdana" w:hAnsi="Verdana"/>
          <w:color w:val="000000"/>
          <w:sz w:val="22"/>
          <w:szCs w:val="22"/>
        </w:rPr>
        <w:t xml:space="preserve">broadly </w:t>
      </w:r>
      <w:r w:rsidR="00583A96" w:rsidRPr="00AD32FF">
        <w:rPr>
          <w:rFonts w:ascii="Verdana" w:hAnsi="Verdana"/>
          <w:color w:val="000000"/>
          <w:sz w:val="22"/>
          <w:szCs w:val="22"/>
        </w:rPr>
        <w:t>similar</w:t>
      </w:r>
      <w:r w:rsidR="00C97C4C" w:rsidRPr="00AD32FF">
        <w:rPr>
          <w:rFonts w:ascii="Verdana" w:hAnsi="Verdana"/>
          <w:color w:val="000000"/>
          <w:sz w:val="22"/>
          <w:szCs w:val="22"/>
        </w:rPr>
        <w:t xml:space="preserve">.  The </w:t>
      </w:r>
      <w:r w:rsidRPr="00AD32FF">
        <w:rPr>
          <w:rFonts w:ascii="Verdana" w:hAnsi="Verdana"/>
          <w:color w:val="000000"/>
          <w:sz w:val="22"/>
          <w:szCs w:val="22"/>
        </w:rPr>
        <w:t xml:space="preserve">UK has some small </w:t>
      </w:r>
      <w:r w:rsidR="00CE1CAC" w:rsidRPr="00AD32FF">
        <w:rPr>
          <w:rFonts w:ascii="Verdana" w:hAnsi="Verdana"/>
          <w:color w:val="000000"/>
          <w:sz w:val="22"/>
          <w:szCs w:val="22"/>
        </w:rPr>
        <w:t xml:space="preserve">not-for-profit </w:t>
      </w:r>
      <w:r w:rsidRPr="00AD32FF">
        <w:rPr>
          <w:rFonts w:ascii="Verdana" w:hAnsi="Verdana"/>
          <w:color w:val="000000"/>
          <w:sz w:val="22"/>
          <w:szCs w:val="22"/>
        </w:rPr>
        <w:t>colleges</w:t>
      </w:r>
      <w:r w:rsidR="00C97C4C" w:rsidRPr="00AD32FF">
        <w:rPr>
          <w:rFonts w:ascii="Verdana" w:hAnsi="Verdana"/>
          <w:color w:val="000000"/>
          <w:sz w:val="22"/>
          <w:szCs w:val="22"/>
        </w:rPr>
        <w:t xml:space="preserve">, there are </w:t>
      </w:r>
      <w:r w:rsidR="002B008A" w:rsidRPr="00AD32FF">
        <w:rPr>
          <w:rFonts w:ascii="Verdana" w:hAnsi="Verdana"/>
          <w:color w:val="000000"/>
          <w:sz w:val="22"/>
          <w:szCs w:val="22"/>
        </w:rPr>
        <w:t xml:space="preserve">some </w:t>
      </w:r>
      <w:r w:rsidRPr="00AD32FF">
        <w:rPr>
          <w:rFonts w:ascii="Verdana" w:hAnsi="Verdana"/>
          <w:color w:val="000000"/>
          <w:sz w:val="22"/>
          <w:szCs w:val="22"/>
        </w:rPr>
        <w:t xml:space="preserve">for-profit </w:t>
      </w:r>
      <w:r w:rsidR="00C97C4C" w:rsidRPr="00AD32FF">
        <w:rPr>
          <w:rFonts w:ascii="Verdana" w:hAnsi="Verdana"/>
          <w:color w:val="000000"/>
          <w:sz w:val="22"/>
          <w:szCs w:val="22"/>
        </w:rPr>
        <w:t xml:space="preserve">providers </w:t>
      </w:r>
      <w:r w:rsidR="009A6D8E" w:rsidRPr="00AD32FF">
        <w:rPr>
          <w:rFonts w:ascii="Verdana" w:hAnsi="Verdana"/>
          <w:color w:val="000000"/>
          <w:sz w:val="22"/>
          <w:szCs w:val="22"/>
        </w:rPr>
        <w:t>and</w:t>
      </w:r>
      <w:r w:rsidR="00734603" w:rsidRPr="00AD32FF">
        <w:rPr>
          <w:rFonts w:ascii="Verdana" w:hAnsi="Verdana"/>
          <w:color w:val="000000"/>
          <w:sz w:val="22"/>
          <w:szCs w:val="22"/>
        </w:rPr>
        <w:t xml:space="preserve"> </w:t>
      </w:r>
      <w:r w:rsidR="00C97C4C" w:rsidRPr="00AD32FF">
        <w:rPr>
          <w:rFonts w:ascii="Verdana" w:hAnsi="Verdana"/>
          <w:color w:val="000000"/>
          <w:sz w:val="22"/>
          <w:szCs w:val="22"/>
        </w:rPr>
        <w:t xml:space="preserve">there are </w:t>
      </w:r>
      <w:r w:rsidRPr="00AD32FF">
        <w:rPr>
          <w:rFonts w:ascii="Verdana" w:hAnsi="Verdana"/>
          <w:color w:val="000000"/>
          <w:sz w:val="22"/>
          <w:szCs w:val="22"/>
        </w:rPr>
        <w:t>representatives of the venture, enterprise and shareholder categories. Since no-one knows the details of the ownership and constitutions of the UK’s small private colleges, we cannot compare them more exactly. As yet, the shareholder</w:t>
      </w:r>
      <w:r w:rsidR="00C97C4C" w:rsidRPr="00AD32FF">
        <w:rPr>
          <w:rFonts w:ascii="Verdana" w:hAnsi="Verdana"/>
          <w:color w:val="000000"/>
          <w:sz w:val="22"/>
          <w:szCs w:val="22"/>
        </w:rPr>
        <w:t>,</w:t>
      </w:r>
      <w:r w:rsidRPr="00AD32FF">
        <w:rPr>
          <w:rFonts w:ascii="Verdana" w:hAnsi="Verdana"/>
          <w:color w:val="000000"/>
          <w:sz w:val="22"/>
          <w:szCs w:val="22"/>
        </w:rPr>
        <w:t xml:space="preserve"> </w:t>
      </w:r>
      <w:r w:rsidRPr="00AD32FF">
        <w:rPr>
          <w:rFonts w:ascii="Verdana" w:hAnsi="Verdana"/>
          <w:color w:val="000000"/>
          <w:sz w:val="22"/>
          <w:szCs w:val="22"/>
        </w:rPr>
        <w:lastRenderedPageBreak/>
        <w:t xml:space="preserve">for-profit part of the sector is only represented by two entities – </w:t>
      </w:r>
      <w:smartTag w:uri="urn:schemas-microsoft-com:office:smarttags" w:element="stockticker">
        <w:r w:rsidRPr="00AD32FF">
          <w:rPr>
            <w:rFonts w:ascii="Verdana" w:hAnsi="Verdana"/>
            <w:color w:val="000000"/>
            <w:sz w:val="22"/>
            <w:szCs w:val="22"/>
          </w:rPr>
          <w:t>BPP</w:t>
        </w:r>
      </w:smartTag>
      <w:r w:rsidRPr="00AD32FF">
        <w:rPr>
          <w:rFonts w:ascii="Verdana" w:hAnsi="Verdana"/>
          <w:color w:val="000000"/>
          <w:sz w:val="22"/>
          <w:szCs w:val="22"/>
        </w:rPr>
        <w:t xml:space="preserve"> University College</w:t>
      </w:r>
      <w:r w:rsidR="00912474" w:rsidRPr="00AD32FF">
        <w:rPr>
          <w:rFonts w:ascii="Verdana" w:hAnsi="Verdana"/>
          <w:color w:val="000000"/>
          <w:sz w:val="22"/>
          <w:szCs w:val="22"/>
        </w:rPr>
        <w:t xml:space="preserve"> Plc</w:t>
      </w:r>
      <w:r w:rsidRPr="00AD32FF">
        <w:rPr>
          <w:rFonts w:ascii="Verdana" w:hAnsi="Verdana"/>
          <w:color w:val="000000"/>
          <w:sz w:val="22"/>
          <w:szCs w:val="22"/>
        </w:rPr>
        <w:t xml:space="preserve"> </w:t>
      </w:r>
      <w:r w:rsidR="00D568E3" w:rsidRPr="00AD32FF">
        <w:rPr>
          <w:rFonts w:ascii="Verdana" w:hAnsi="Verdana"/>
          <w:color w:val="000000"/>
          <w:sz w:val="22"/>
          <w:szCs w:val="22"/>
        </w:rPr>
        <w:t xml:space="preserve">(part of the Apollo group) </w:t>
      </w:r>
      <w:r w:rsidRPr="00AD32FF">
        <w:rPr>
          <w:rFonts w:ascii="Verdana" w:hAnsi="Verdana"/>
          <w:color w:val="000000"/>
          <w:sz w:val="22"/>
          <w:szCs w:val="22"/>
        </w:rPr>
        <w:t>and Holborn College</w:t>
      </w:r>
      <w:r w:rsidR="002B008A" w:rsidRPr="00AD32FF">
        <w:rPr>
          <w:rFonts w:ascii="Verdana" w:hAnsi="Verdana"/>
          <w:color w:val="000000"/>
          <w:sz w:val="22"/>
          <w:szCs w:val="22"/>
        </w:rPr>
        <w:t xml:space="preserve">, </w:t>
      </w:r>
      <w:r w:rsidR="00F6566A" w:rsidRPr="00AD32FF">
        <w:rPr>
          <w:rFonts w:ascii="Verdana" w:hAnsi="Verdana"/>
          <w:color w:val="000000"/>
          <w:sz w:val="22"/>
          <w:szCs w:val="22"/>
        </w:rPr>
        <w:t>(</w:t>
      </w:r>
      <w:r w:rsidR="002B008A" w:rsidRPr="00AD32FF">
        <w:rPr>
          <w:rFonts w:ascii="Verdana" w:hAnsi="Verdana"/>
          <w:color w:val="000000"/>
          <w:sz w:val="22"/>
          <w:szCs w:val="22"/>
        </w:rPr>
        <w:t>part of Kaplan</w:t>
      </w:r>
      <w:r w:rsidR="00F6566A" w:rsidRPr="00AD32FF">
        <w:rPr>
          <w:rFonts w:ascii="Verdana" w:hAnsi="Verdana"/>
          <w:color w:val="000000"/>
          <w:sz w:val="22"/>
          <w:szCs w:val="22"/>
        </w:rPr>
        <w:t>)</w:t>
      </w:r>
      <w:r w:rsidR="00C97C4C" w:rsidRPr="00AD32FF">
        <w:rPr>
          <w:rFonts w:ascii="Verdana" w:hAnsi="Verdana"/>
          <w:color w:val="000000"/>
          <w:sz w:val="22"/>
          <w:szCs w:val="22"/>
        </w:rPr>
        <w:t xml:space="preserve">; </w:t>
      </w:r>
      <w:r w:rsidR="00C27A0D" w:rsidRPr="00AD32FF">
        <w:rPr>
          <w:rFonts w:ascii="Verdana" w:hAnsi="Verdana"/>
          <w:color w:val="000000"/>
          <w:sz w:val="22"/>
          <w:szCs w:val="22"/>
        </w:rPr>
        <w:t>Kaplan</w:t>
      </w:r>
      <w:r w:rsidR="00C97C4C" w:rsidRPr="00AD32FF">
        <w:rPr>
          <w:rFonts w:ascii="Verdana" w:hAnsi="Verdana"/>
          <w:color w:val="000000"/>
          <w:sz w:val="22"/>
          <w:szCs w:val="22"/>
        </w:rPr>
        <w:t xml:space="preserve"> is </w:t>
      </w:r>
      <w:r w:rsidR="002B008A" w:rsidRPr="00AD32FF">
        <w:rPr>
          <w:rFonts w:ascii="Verdana" w:hAnsi="Verdana"/>
          <w:color w:val="000000"/>
          <w:sz w:val="22"/>
          <w:szCs w:val="22"/>
        </w:rPr>
        <w:t>also represented in public-private partnerships with UK universities.</w:t>
      </w:r>
    </w:p>
    <w:p w:rsidR="00393C8B" w:rsidRPr="00AD32FF" w:rsidRDefault="00CE1CAC"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A </w:t>
      </w:r>
      <w:r w:rsidR="00242F43" w:rsidRPr="00AD32FF">
        <w:rPr>
          <w:rFonts w:ascii="Verdana" w:hAnsi="Verdana"/>
          <w:color w:val="000000"/>
          <w:sz w:val="22"/>
          <w:szCs w:val="22"/>
        </w:rPr>
        <w:t xml:space="preserve">key difference </w:t>
      </w:r>
      <w:r w:rsidR="002B008A" w:rsidRPr="00AD32FF">
        <w:rPr>
          <w:rFonts w:ascii="Verdana" w:hAnsi="Verdana"/>
          <w:color w:val="000000"/>
          <w:sz w:val="22"/>
          <w:szCs w:val="22"/>
        </w:rPr>
        <w:t xml:space="preserve">from the US </w:t>
      </w:r>
      <w:r w:rsidR="00242F43" w:rsidRPr="00AD32FF">
        <w:rPr>
          <w:rFonts w:ascii="Verdana" w:hAnsi="Verdana"/>
          <w:color w:val="000000"/>
          <w:sz w:val="22"/>
          <w:szCs w:val="22"/>
        </w:rPr>
        <w:t>is</w:t>
      </w:r>
      <w:r w:rsidRPr="00AD32FF">
        <w:rPr>
          <w:rFonts w:ascii="Verdana" w:hAnsi="Verdana"/>
          <w:color w:val="000000"/>
          <w:sz w:val="22"/>
          <w:szCs w:val="22"/>
        </w:rPr>
        <w:t xml:space="preserve"> that at </w:t>
      </w:r>
      <w:r w:rsidR="009A6D8E" w:rsidRPr="00AD32FF">
        <w:rPr>
          <w:rFonts w:ascii="Verdana" w:hAnsi="Verdana"/>
          <w:color w:val="000000"/>
          <w:sz w:val="22"/>
          <w:szCs w:val="22"/>
        </w:rPr>
        <w:t>present f</w:t>
      </w:r>
      <w:r w:rsidR="00242F43" w:rsidRPr="00AD32FF">
        <w:rPr>
          <w:rFonts w:ascii="Verdana" w:hAnsi="Verdana"/>
          <w:color w:val="000000"/>
          <w:sz w:val="22"/>
          <w:szCs w:val="22"/>
        </w:rPr>
        <w:t xml:space="preserve">ew public funds flow to most of the colleges, although some UK/EU students in the College of Law, BPP and a few private colleges are entitled to apply for student loans and grants. Since the UK state provides little funding, there has been no financial motive to drive the introduction of regulation or monitoring of the private sector. </w:t>
      </w:r>
      <w:r w:rsidR="00C97C4C" w:rsidRPr="00AD32FF">
        <w:rPr>
          <w:rFonts w:ascii="Verdana" w:hAnsi="Verdana"/>
          <w:color w:val="000000"/>
          <w:sz w:val="22"/>
          <w:szCs w:val="22"/>
        </w:rPr>
        <w:t xml:space="preserve">A </w:t>
      </w:r>
      <w:r w:rsidR="00242F43" w:rsidRPr="00AD32FF">
        <w:rPr>
          <w:rFonts w:ascii="Verdana" w:hAnsi="Verdana"/>
          <w:color w:val="000000"/>
          <w:sz w:val="22"/>
          <w:szCs w:val="22"/>
        </w:rPr>
        <w:t xml:space="preserve">lesson from the USA is that the scope and design of the regulatory framework </w:t>
      </w:r>
      <w:r w:rsidR="00C97C4C" w:rsidRPr="00AD32FF">
        <w:rPr>
          <w:rFonts w:ascii="Verdana" w:hAnsi="Verdana"/>
          <w:color w:val="000000"/>
          <w:sz w:val="22"/>
          <w:szCs w:val="22"/>
        </w:rPr>
        <w:t xml:space="preserve">is </w:t>
      </w:r>
      <w:r w:rsidR="00242F43" w:rsidRPr="00AD32FF">
        <w:rPr>
          <w:rFonts w:ascii="Verdana" w:hAnsi="Verdana"/>
          <w:color w:val="000000"/>
          <w:sz w:val="22"/>
          <w:szCs w:val="22"/>
        </w:rPr>
        <w:t>crucial</w:t>
      </w:r>
      <w:r w:rsidR="00C97C4C" w:rsidRPr="00AD32FF">
        <w:rPr>
          <w:rFonts w:ascii="Verdana" w:hAnsi="Verdana"/>
          <w:color w:val="000000"/>
          <w:sz w:val="22"/>
          <w:szCs w:val="22"/>
        </w:rPr>
        <w:t xml:space="preserve"> as the private sector (and privatisation of the publicly-funded sector) increases.</w:t>
      </w:r>
      <w:r w:rsidR="00242F43" w:rsidRPr="00AD32FF">
        <w:rPr>
          <w:rFonts w:ascii="Verdana" w:hAnsi="Verdana"/>
          <w:color w:val="000000"/>
          <w:sz w:val="22"/>
          <w:szCs w:val="22"/>
        </w:rPr>
        <w:t xml:space="preserve"> </w:t>
      </w:r>
    </w:p>
    <w:p w:rsidR="00393C8B" w:rsidRPr="00AD32FF" w:rsidRDefault="00CE1CAC"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Another difference is that the privates in the USA claim that their flexible delivery appeals to a mostly low income female clientele. </w:t>
      </w:r>
      <w:r w:rsidR="00347FCF" w:rsidRPr="00AD32FF">
        <w:rPr>
          <w:rFonts w:ascii="Verdana" w:hAnsi="Verdana"/>
          <w:color w:val="000000"/>
          <w:sz w:val="22"/>
          <w:szCs w:val="22"/>
        </w:rPr>
        <w:t xml:space="preserve">This is not currently </w:t>
      </w:r>
      <w:r w:rsidRPr="00AD32FF">
        <w:rPr>
          <w:rFonts w:ascii="Verdana" w:hAnsi="Verdana"/>
          <w:color w:val="000000"/>
          <w:sz w:val="22"/>
          <w:szCs w:val="22"/>
        </w:rPr>
        <w:t>so</w:t>
      </w:r>
      <w:r w:rsidR="00347FCF" w:rsidRPr="00AD32FF">
        <w:rPr>
          <w:rFonts w:ascii="Verdana" w:hAnsi="Verdana"/>
          <w:color w:val="000000"/>
          <w:sz w:val="22"/>
          <w:szCs w:val="22"/>
        </w:rPr>
        <w:t xml:space="preserve"> </w:t>
      </w:r>
      <w:r w:rsidRPr="00AD32FF">
        <w:rPr>
          <w:rFonts w:ascii="Verdana" w:hAnsi="Verdana"/>
          <w:color w:val="000000"/>
          <w:sz w:val="22"/>
          <w:szCs w:val="22"/>
        </w:rPr>
        <w:t>here</w:t>
      </w:r>
      <w:r w:rsidR="00453D5E" w:rsidRPr="00AD32FF">
        <w:rPr>
          <w:rFonts w:ascii="Verdana" w:hAnsi="Verdana"/>
          <w:color w:val="000000"/>
          <w:sz w:val="22"/>
          <w:szCs w:val="22"/>
        </w:rPr>
        <w:t>, where the market is largely young professionals and international students.</w:t>
      </w:r>
    </w:p>
    <w:p w:rsidR="00393C8B" w:rsidRPr="00AD32FF" w:rsidRDefault="006B5DCA" w:rsidP="00F023B3">
      <w:pPr>
        <w:spacing w:before="120" w:line="300" w:lineRule="atLeast"/>
        <w:ind w:right="332"/>
        <w:rPr>
          <w:rFonts w:ascii="Verdana" w:hAnsi="Verdana"/>
          <w:color w:val="000000"/>
          <w:sz w:val="22"/>
          <w:szCs w:val="22"/>
        </w:rPr>
      </w:pPr>
      <w:r w:rsidRPr="00AD32FF">
        <w:rPr>
          <w:rFonts w:ascii="Verdana" w:hAnsi="Verdana"/>
          <w:i/>
          <w:color w:val="000000"/>
          <w:sz w:val="22"/>
          <w:szCs w:val="22"/>
        </w:rPr>
        <w:t>Academic issues</w:t>
      </w:r>
      <w:r w:rsidR="00242F43" w:rsidRPr="00AD32FF">
        <w:rPr>
          <w:rFonts w:ascii="Verdana" w:hAnsi="Verdana"/>
          <w:color w:val="000000"/>
          <w:sz w:val="22"/>
          <w:szCs w:val="22"/>
        </w:rPr>
        <w:t xml:space="preserve"> </w:t>
      </w:r>
    </w:p>
    <w:p w:rsidR="00242F43" w:rsidRPr="00AD32FF" w:rsidRDefault="00C97C4C"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The </w:t>
      </w:r>
      <w:r w:rsidR="00575763" w:rsidRPr="00AD32FF">
        <w:rPr>
          <w:rFonts w:ascii="Verdana" w:hAnsi="Verdana"/>
          <w:color w:val="000000"/>
          <w:sz w:val="22"/>
          <w:szCs w:val="22"/>
        </w:rPr>
        <w:t xml:space="preserve">curricula </w:t>
      </w:r>
      <w:r w:rsidRPr="00AD32FF">
        <w:rPr>
          <w:rFonts w:ascii="Verdana" w:hAnsi="Verdana"/>
          <w:color w:val="000000"/>
          <w:sz w:val="22"/>
          <w:szCs w:val="22"/>
        </w:rPr>
        <w:t>of p</w:t>
      </w:r>
      <w:r w:rsidR="00242F43" w:rsidRPr="00AD32FF">
        <w:rPr>
          <w:rFonts w:ascii="Verdana" w:hAnsi="Verdana"/>
          <w:color w:val="000000"/>
          <w:sz w:val="22"/>
          <w:szCs w:val="22"/>
        </w:rPr>
        <w:t xml:space="preserve">rivate providers </w:t>
      </w:r>
      <w:r w:rsidR="00CE1CAC" w:rsidRPr="00AD32FF">
        <w:rPr>
          <w:rFonts w:ascii="Verdana" w:hAnsi="Verdana"/>
          <w:color w:val="000000"/>
          <w:sz w:val="22"/>
          <w:szCs w:val="22"/>
        </w:rPr>
        <w:t xml:space="preserve">in the UK </w:t>
      </w:r>
      <w:r w:rsidR="00256ADD" w:rsidRPr="00AD32FF">
        <w:rPr>
          <w:rFonts w:ascii="Verdana" w:hAnsi="Verdana"/>
          <w:color w:val="000000"/>
          <w:sz w:val="22"/>
          <w:szCs w:val="22"/>
        </w:rPr>
        <w:t>tend</w:t>
      </w:r>
      <w:r w:rsidR="00242F43" w:rsidRPr="00AD32FF">
        <w:rPr>
          <w:rFonts w:ascii="Verdana" w:hAnsi="Verdana"/>
          <w:color w:val="000000"/>
          <w:sz w:val="22"/>
          <w:szCs w:val="22"/>
        </w:rPr>
        <w:t xml:space="preserve"> to be narrower and more vocationally focused than at traditional universities.  However, this generalisation needs </w:t>
      </w:r>
      <w:r w:rsidRPr="00AD32FF">
        <w:rPr>
          <w:rFonts w:ascii="Verdana" w:hAnsi="Verdana"/>
          <w:color w:val="000000"/>
          <w:sz w:val="22"/>
          <w:szCs w:val="22"/>
        </w:rPr>
        <w:t xml:space="preserve">some nuancing </w:t>
      </w:r>
      <w:r w:rsidR="00242F43" w:rsidRPr="00AD32FF">
        <w:rPr>
          <w:rFonts w:ascii="Verdana" w:hAnsi="Verdana"/>
          <w:color w:val="000000"/>
          <w:sz w:val="22"/>
          <w:szCs w:val="22"/>
        </w:rPr>
        <w:t xml:space="preserve">given the diversity of </w:t>
      </w:r>
      <w:r w:rsidRPr="00AD32FF">
        <w:rPr>
          <w:rFonts w:ascii="Verdana" w:hAnsi="Verdana"/>
          <w:color w:val="000000"/>
          <w:sz w:val="22"/>
          <w:szCs w:val="22"/>
        </w:rPr>
        <w:t xml:space="preserve">both </w:t>
      </w:r>
      <w:r w:rsidR="00CE1CAC" w:rsidRPr="00AD32FF">
        <w:rPr>
          <w:rFonts w:ascii="Verdana" w:hAnsi="Verdana"/>
          <w:color w:val="000000"/>
          <w:sz w:val="22"/>
          <w:szCs w:val="22"/>
        </w:rPr>
        <w:t>sectors. B</w:t>
      </w:r>
      <w:r w:rsidR="00242F43" w:rsidRPr="00AD32FF">
        <w:rPr>
          <w:rFonts w:ascii="Verdana" w:hAnsi="Verdana"/>
          <w:color w:val="000000"/>
          <w:sz w:val="22"/>
          <w:szCs w:val="22"/>
        </w:rPr>
        <w:t>usiness</w:t>
      </w:r>
      <w:r w:rsidR="009A1284" w:rsidRPr="00AD32FF">
        <w:rPr>
          <w:rFonts w:ascii="Verdana" w:hAnsi="Verdana"/>
          <w:color w:val="000000"/>
          <w:sz w:val="22"/>
          <w:szCs w:val="22"/>
        </w:rPr>
        <w:t>-</w:t>
      </w:r>
      <w:r w:rsidR="00242F43" w:rsidRPr="00AD32FF">
        <w:rPr>
          <w:rFonts w:ascii="Verdana" w:hAnsi="Verdana"/>
          <w:color w:val="000000"/>
          <w:sz w:val="22"/>
          <w:szCs w:val="22"/>
        </w:rPr>
        <w:t xml:space="preserve">related studies are most common; health and social care also feature along with computing and IT.  Tourism, travel and hospitality management are quite widespread and a number of colleges offer digital media and design, creative and film studies.  Social sciences are barely represented (psychology is most common) and humanities subjects are rare.  However, the one (not-for-profit) private university in the UK, the University of Buckingham, does offer a wider subject range.  </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There are no </w:t>
      </w:r>
      <w:r w:rsidR="00C27A0D" w:rsidRPr="00AD32FF">
        <w:rPr>
          <w:rFonts w:ascii="Verdana" w:hAnsi="Verdana"/>
          <w:color w:val="000000"/>
          <w:sz w:val="22"/>
          <w:szCs w:val="22"/>
        </w:rPr>
        <w:t xml:space="preserve">public </w:t>
      </w:r>
      <w:r w:rsidRPr="00AD32FF">
        <w:rPr>
          <w:rFonts w:ascii="Verdana" w:hAnsi="Verdana"/>
          <w:color w:val="000000"/>
          <w:sz w:val="22"/>
          <w:szCs w:val="22"/>
        </w:rPr>
        <w:t xml:space="preserve">data available on </w:t>
      </w:r>
      <w:r w:rsidR="006B5DCA" w:rsidRPr="00AD32FF">
        <w:rPr>
          <w:rFonts w:ascii="Verdana" w:hAnsi="Verdana"/>
          <w:color w:val="000000"/>
          <w:sz w:val="22"/>
          <w:szCs w:val="22"/>
        </w:rPr>
        <w:t xml:space="preserve">student </w:t>
      </w:r>
      <w:r w:rsidRPr="00AD32FF">
        <w:rPr>
          <w:rFonts w:ascii="Verdana" w:hAnsi="Verdana"/>
          <w:color w:val="000000"/>
          <w:sz w:val="22"/>
          <w:szCs w:val="22"/>
        </w:rPr>
        <w:t>enrolment</w:t>
      </w:r>
      <w:r w:rsidR="00C3533E" w:rsidRPr="00AD32FF">
        <w:rPr>
          <w:rFonts w:ascii="Verdana" w:hAnsi="Verdana"/>
          <w:color w:val="000000"/>
          <w:sz w:val="22"/>
          <w:szCs w:val="22"/>
        </w:rPr>
        <w:t>s</w:t>
      </w:r>
      <w:r w:rsidRPr="00AD32FF">
        <w:rPr>
          <w:rFonts w:ascii="Verdana" w:hAnsi="Verdana"/>
          <w:color w:val="000000"/>
          <w:sz w:val="22"/>
          <w:szCs w:val="22"/>
        </w:rPr>
        <w:t xml:space="preserve"> </w:t>
      </w:r>
      <w:r w:rsidR="00CE1CAC" w:rsidRPr="00AD32FF">
        <w:rPr>
          <w:rFonts w:ascii="Verdana" w:hAnsi="Verdana"/>
          <w:color w:val="000000"/>
          <w:sz w:val="22"/>
          <w:szCs w:val="22"/>
        </w:rPr>
        <w:t xml:space="preserve">in </w:t>
      </w:r>
      <w:r w:rsidR="00C3533E" w:rsidRPr="00AD32FF">
        <w:rPr>
          <w:rFonts w:ascii="Verdana" w:hAnsi="Verdana"/>
          <w:color w:val="000000"/>
          <w:sz w:val="22"/>
          <w:szCs w:val="22"/>
        </w:rPr>
        <w:t>private</w:t>
      </w:r>
      <w:r w:rsidRPr="00AD32FF">
        <w:rPr>
          <w:rFonts w:ascii="Verdana" w:hAnsi="Verdana"/>
          <w:color w:val="000000"/>
          <w:sz w:val="22"/>
          <w:szCs w:val="22"/>
        </w:rPr>
        <w:t xml:space="preserve"> institutions.</w:t>
      </w:r>
      <w:r w:rsidR="00CE1CAC" w:rsidRPr="00AD32FF">
        <w:rPr>
          <w:rFonts w:ascii="Verdana" w:hAnsi="Verdana"/>
          <w:color w:val="000000"/>
          <w:sz w:val="22"/>
          <w:szCs w:val="22"/>
        </w:rPr>
        <w:t xml:space="preserve"> Many focus </w:t>
      </w:r>
      <w:r w:rsidRPr="00AD32FF">
        <w:rPr>
          <w:rFonts w:ascii="Verdana" w:hAnsi="Verdana"/>
          <w:color w:val="000000"/>
          <w:sz w:val="22"/>
          <w:szCs w:val="22"/>
        </w:rPr>
        <w:t>on international students.</w:t>
      </w:r>
      <w:r w:rsidR="00DD03DF" w:rsidRPr="00AD32FF">
        <w:rPr>
          <w:rFonts w:ascii="Verdana" w:hAnsi="Verdana"/>
          <w:color w:val="000000"/>
          <w:sz w:val="22"/>
          <w:szCs w:val="22"/>
        </w:rPr>
        <w:t xml:space="preserve"> </w:t>
      </w:r>
      <w:r w:rsidR="00CE1CAC" w:rsidRPr="00AD32FF">
        <w:rPr>
          <w:rFonts w:ascii="Verdana" w:hAnsi="Verdana"/>
          <w:color w:val="000000"/>
          <w:sz w:val="22"/>
          <w:szCs w:val="22"/>
        </w:rPr>
        <w:t xml:space="preserve">Some, </w:t>
      </w:r>
      <w:r w:rsidRPr="00AD32FF">
        <w:rPr>
          <w:rFonts w:ascii="Verdana" w:hAnsi="Verdana"/>
          <w:color w:val="000000"/>
          <w:sz w:val="22"/>
          <w:szCs w:val="22"/>
        </w:rPr>
        <w:t>such as the London School of Business and Finance</w:t>
      </w:r>
      <w:r w:rsidR="006B5DCA" w:rsidRPr="00AD32FF">
        <w:rPr>
          <w:rFonts w:ascii="Verdana" w:hAnsi="Verdana"/>
          <w:color w:val="000000"/>
          <w:sz w:val="22"/>
          <w:szCs w:val="22"/>
        </w:rPr>
        <w:t xml:space="preserve"> (LSBF)</w:t>
      </w:r>
      <w:r w:rsidR="00C97C4C" w:rsidRPr="00AD32FF">
        <w:rPr>
          <w:rFonts w:ascii="Verdana" w:hAnsi="Verdana"/>
          <w:color w:val="000000"/>
          <w:sz w:val="22"/>
          <w:szCs w:val="22"/>
        </w:rPr>
        <w:t>,</w:t>
      </w:r>
      <w:r w:rsidR="00CE1CAC" w:rsidRPr="00AD32FF">
        <w:rPr>
          <w:rFonts w:ascii="Verdana" w:hAnsi="Verdana"/>
          <w:color w:val="000000"/>
          <w:sz w:val="22"/>
          <w:szCs w:val="22"/>
        </w:rPr>
        <w:t xml:space="preserve"> aim </w:t>
      </w:r>
      <w:r w:rsidRPr="00AD32FF">
        <w:rPr>
          <w:rFonts w:ascii="Verdana" w:hAnsi="Verdana"/>
          <w:color w:val="000000"/>
          <w:sz w:val="22"/>
          <w:szCs w:val="22"/>
        </w:rPr>
        <w:t>to develop a network of city campuses in different countries</w:t>
      </w:r>
      <w:r w:rsidR="0057272E" w:rsidRPr="00AD32FF">
        <w:rPr>
          <w:rFonts w:ascii="Verdana" w:hAnsi="Verdana"/>
          <w:color w:val="000000"/>
          <w:sz w:val="22"/>
          <w:szCs w:val="22"/>
        </w:rPr>
        <w:t>.</w:t>
      </w:r>
      <w:r w:rsidR="00934AC4" w:rsidRPr="00AD32FF">
        <w:rPr>
          <w:rFonts w:ascii="Verdana" w:hAnsi="Verdana"/>
          <w:color w:val="000000"/>
          <w:sz w:val="22"/>
          <w:szCs w:val="22"/>
        </w:rPr>
        <w:t xml:space="preserve"> Others, </w:t>
      </w:r>
      <w:r w:rsidRPr="00AD32FF">
        <w:rPr>
          <w:rFonts w:ascii="Verdana" w:hAnsi="Verdana"/>
          <w:color w:val="000000"/>
          <w:sz w:val="22"/>
          <w:szCs w:val="22"/>
        </w:rPr>
        <w:t xml:space="preserve">such as </w:t>
      </w:r>
      <w:smartTag w:uri="urn:schemas-microsoft-com:office:smarttags" w:element="stockticker">
        <w:r w:rsidRPr="00AD32FF">
          <w:rPr>
            <w:rFonts w:ascii="Verdana" w:hAnsi="Verdana"/>
            <w:color w:val="000000"/>
            <w:sz w:val="22"/>
            <w:szCs w:val="22"/>
          </w:rPr>
          <w:t>BPP</w:t>
        </w:r>
      </w:smartTag>
      <w:r w:rsidRPr="00AD32FF">
        <w:rPr>
          <w:rFonts w:ascii="Verdana" w:hAnsi="Verdana"/>
          <w:color w:val="000000"/>
          <w:sz w:val="22"/>
          <w:szCs w:val="22"/>
        </w:rPr>
        <w:t xml:space="preserve"> University College and the College of Law</w:t>
      </w:r>
      <w:r w:rsidR="00934AC4" w:rsidRPr="00AD32FF">
        <w:rPr>
          <w:rFonts w:ascii="Verdana" w:hAnsi="Verdana"/>
          <w:color w:val="000000"/>
          <w:sz w:val="22"/>
          <w:szCs w:val="22"/>
        </w:rPr>
        <w:t>,</w:t>
      </w:r>
      <w:r w:rsidRPr="00AD32FF">
        <w:rPr>
          <w:rFonts w:ascii="Verdana" w:hAnsi="Verdana"/>
          <w:color w:val="000000"/>
          <w:sz w:val="22"/>
          <w:szCs w:val="22"/>
        </w:rPr>
        <w:t xml:space="preserve"> recruit predominantly domestic students and compete directly with publicly-funded and private sector institutions</w:t>
      </w:r>
      <w:r w:rsidR="0057272E" w:rsidRPr="00AD32FF">
        <w:rPr>
          <w:rFonts w:ascii="Verdana" w:hAnsi="Verdana"/>
          <w:color w:val="000000"/>
          <w:sz w:val="22"/>
          <w:szCs w:val="22"/>
        </w:rPr>
        <w:t>.</w:t>
      </w:r>
      <w:r w:rsidRPr="00AD32FF">
        <w:rPr>
          <w:rFonts w:ascii="Verdana" w:hAnsi="Verdana"/>
          <w:color w:val="000000"/>
          <w:sz w:val="22"/>
          <w:szCs w:val="22"/>
        </w:rPr>
        <w:t xml:space="preserve">   </w:t>
      </w:r>
    </w:p>
    <w:p w:rsidR="00393C8B"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Information about students’ experiences </w:t>
      </w:r>
      <w:r w:rsidR="00934AC4" w:rsidRPr="00AD32FF">
        <w:rPr>
          <w:rFonts w:ascii="Verdana" w:hAnsi="Verdana"/>
          <w:color w:val="000000"/>
          <w:sz w:val="22"/>
          <w:szCs w:val="22"/>
        </w:rPr>
        <w:t xml:space="preserve">in private institutions </w:t>
      </w:r>
      <w:r w:rsidRPr="00AD32FF">
        <w:rPr>
          <w:rFonts w:ascii="Verdana" w:hAnsi="Verdana"/>
          <w:color w:val="000000"/>
          <w:sz w:val="22"/>
          <w:szCs w:val="22"/>
        </w:rPr>
        <w:t>is generally absent in both the US and the UK</w:t>
      </w:r>
      <w:r w:rsidR="00C3533E" w:rsidRPr="00AD32FF">
        <w:rPr>
          <w:rFonts w:ascii="Verdana" w:hAnsi="Verdana"/>
          <w:color w:val="000000"/>
          <w:sz w:val="22"/>
          <w:szCs w:val="22"/>
        </w:rPr>
        <w:t>,</w:t>
      </w:r>
      <w:r w:rsidR="00934AC4" w:rsidRPr="00AD32FF">
        <w:rPr>
          <w:rFonts w:ascii="Verdana" w:hAnsi="Verdana"/>
          <w:color w:val="000000"/>
          <w:sz w:val="22"/>
          <w:szCs w:val="22"/>
        </w:rPr>
        <w:t xml:space="preserve"> although similar claims are </w:t>
      </w:r>
      <w:r w:rsidRPr="00AD32FF">
        <w:rPr>
          <w:rFonts w:ascii="Verdana" w:hAnsi="Verdana"/>
          <w:color w:val="000000"/>
          <w:sz w:val="22"/>
          <w:szCs w:val="22"/>
        </w:rPr>
        <w:t>made about the kind of teaching and learning environment: small classes, self-directed and active learning, acquisition of practical knowledge and employment-related skills</w:t>
      </w:r>
      <w:r w:rsidR="00934AC4" w:rsidRPr="00AD32FF">
        <w:rPr>
          <w:rFonts w:ascii="Verdana" w:hAnsi="Verdana"/>
          <w:color w:val="000000"/>
          <w:sz w:val="22"/>
          <w:szCs w:val="22"/>
        </w:rPr>
        <w:t xml:space="preserve">. </w:t>
      </w:r>
      <w:r w:rsidRPr="00AD32FF">
        <w:rPr>
          <w:rFonts w:ascii="Verdana" w:hAnsi="Verdana"/>
          <w:color w:val="000000"/>
          <w:sz w:val="22"/>
          <w:szCs w:val="22"/>
        </w:rPr>
        <w:t>In the UK, private providers make claim</w:t>
      </w:r>
      <w:r w:rsidR="0057272E" w:rsidRPr="00AD32FF">
        <w:rPr>
          <w:rFonts w:ascii="Verdana" w:hAnsi="Verdana"/>
          <w:color w:val="000000"/>
          <w:sz w:val="22"/>
          <w:szCs w:val="22"/>
        </w:rPr>
        <w:t>s</w:t>
      </w:r>
      <w:r w:rsidRPr="00AD32FF">
        <w:rPr>
          <w:rFonts w:ascii="Verdana" w:hAnsi="Verdana"/>
          <w:color w:val="000000"/>
          <w:sz w:val="22"/>
          <w:szCs w:val="22"/>
        </w:rPr>
        <w:t xml:space="preserve"> to successful employment outcomes as well as progression to further study, pointing to closeness to their industry.  </w:t>
      </w:r>
    </w:p>
    <w:p w:rsidR="00242F43" w:rsidRPr="00AD32FF" w:rsidRDefault="00934AC4"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There are significant differences in the policies of private and public providers towards lecturers. In private</w:t>
      </w:r>
      <w:r w:rsidR="0057272E" w:rsidRPr="00AD32FF">
        <w:rPr>
          <w:rFonts w:ascii="Verdana" w:hAnsi="Verdana"/>
          <w:color w:val="000000"/>
          <w:sz w:val="22"/>
          <w:szCs w:val="22"/>
        </w:rPr>
        <w:t xml:space="preserve"> institutions</w:t>
      </w:r>
      <w:r w:rsidRPr="00AD32FF">
        <w:rPr>
          <w:rFonts w:ascii="Verdana" w:hAnsi="Verdana"/>
          <w:color w:val="000000"/>
          <w:sz w:val="22"/>
          <w:szCs w:val="22"/>
        </w:rPr>
        <w:t xml:space="preserve">, the </w:t>
      </w:r>
      <w:r w:rsidR="00242F43" w:rsidRPr="00AD32FF">
        <w:rPr>
          <w:rFonts w:ascii="Verdana" w:hAnsi="Verdana"/>
          <w:color w:val="000000"/>
          <w:sz w:val="22"/>
          <w:szCs w:val="22"/>
        </w:rPr>
        <w:t>role of lecturers is more limited, with teaching, exam preparation and student guidance and support predominating.  Providers vary in their balance of full-time to part-time staff, with</w:t>
      </w:r>
      <w:r w:rsidRPr="00AD32FF">
        <w:rPr>
          <w:rFonts w:ascii="Verdana" w:hAnsi="Verdana"/>
          <w:color w:val="000000"/>
          <w:sz w:val="22"/>
          <w:szCs w:val="22"/>
        </w:rPr>
        <w:t xml:space="preserve"> some </w:t>
      </w:r>
      <w:r w:rsidR="00242F43" w:rsidRPr="00AD32FF">
        <w:rPr>
          <w:rFonts w:ascii="Verdana" w:hAnsi="Verdana"/>
          <w:color w:val="000000"/>
          <w:sz w:val="22"/>
          <w:szCs w:val="22"/>
        </w:rPr>
        <w:t xml:space="preserve">employing a core of full-time staff as programme designers and teachers as well as a number </w:t>
      </w:r>
      <w:r w:rsidR="00242F43" w:rsidRPr="00AD32FF">
        <w:rPr>
          <w:rFonts w:ascii="Verdana" w:hAnsi="Verdana"/>
          <w:color w:val="000000"/>
          <w:sz w:val="22"/>
          <w:szCs w:val="22"/>
        </w:rPr>
        <w:lastRenderedPageBreak/>
        <w:t>of part-time professionals.  Qualifications required include professional qualifications, lecturing, course facilitation or trai</w:t>
      </w:r>
      <w:r w:rsidR="00C3533E" w:rsidRPr="00AD32FF">
        <w:rPr>
          <w:rFonts w:ascii="Verdana" w:hAnsi="Verdana"/>
          <w:color w:val="000000"/>
          <w:sz w:val="22"/>
          <w:szCs w:val="22"/>
        </w:rPr>
        <w:t xml:space="preserve">ning skills and </w:t>
      </w:r>
      <w:r w:rsidR="007B7EE9" w:rsidRPr="00AD32FF">
        <w:rPr>
          <w:rFonts w:ascii="Verdana" w:hAnsi="Verdana"/>
          <w:color w:val="000000"/>
          <w:sz w:val="22"/>
          <w:szCs w:val="22"/>
        </w:rPr>
        <w:t>b</w:t>
      </w:r>
      <w:r w:rsidR="00242F43" w:rsidRPr="00AD32FF">
        <w:rPr>
          <w:rFonts w:ascii="Verdana" w:hAnsi="Verdana"/>
          <w:color w:val="000000"/>
          <w:sz w:val="22"/>
          <w:szCs w:val="22"/>
        </w:rPr>
        <w:t xml:space="preserve">usiness experience.  </w:t>
      </w:r>
      <w:r w:rsidRPr="00AD32FF">
        <w:rPr>
          <w:rFonts w:ascii="Verdana" w:hAnsi="Verdana"/>
          <w:color w:val="000000"/>
          <w:sz w:val="22"/>
          <w:szCs w:val="22"/>
        </w:rPr>
        <w:t>Private</w:t>
      </w:r>
      <w:r w:rsidR="00C27A0D" w:rsidRPr="00AD32FF">
        <w:rPr>
          <w:rFonts w:ascii="Verdana" w:hAnsi="Verdana"/>
          <w:color w:val="000000"/>
          <w:sz w:val="22"/>
          <w:szCs w:val="22"/>
        </w:rPr>
        <w:t xml:space="preserve"> providers</w:t>
      </w:r>
      <w:r w:rsidRPr="00AD32FF">
        <w:rPr>
          <w:rFonts w:ascii="Verdana" w:hAnsi="Verdana"/>
          <w:color w:val="000000"/>
          <w:sz w:val="22"/>
          <w:szCs w:val="22"/>
        </w:rPr>
        <w:t xml:space="preserve"> generally require a heavier teaching load, and </w:t>
      </w:r>
      <w:r w:rsidR="00C27A0D" w:rsidRPr="00AD32FF">
        <w:rPr>
          <w:rFonts w:ascii="Verdana" w:hAnsi="Verdana"/>
          <w:color w:val="000000"/>
          <w:sz w:val="22"/>
          <w:szCs w:val="22"/>
        </w:rPr>
        <w:t xml:space="preserve">typically do not require </w:t>
      </w:r>
      <w:r w:rsidR="00242F43" w:rsidRPr="00AD32FF">
        <w:rPr>
          <w:rFonts w:ascii="Verdana" w:hAnsi="Verdana"/>
          <w:color w:val="000000"/>
          <w:sz w:val="22"/>
          <w:szCs w:val="22"/>
        </w:rPr>
        <w:t>staff to do research</w:t>
      </w:r>
      <w:r w:rsidRPr="00AD32FF">
        <w:rPr>
          <w:rFonts w:ascii="Verdana" w:hAnsi="Verdana"/>
          <w:color w:val="000000"/>
          <w:sz w:val="22"/>
          <w:szCs w:val="22"/>
        </w:rPr>
        <w:t>. However,</w:t>
      </w:r>
      <w:r w:rsidR="00242F43" w:rsidRPr="00AD32FF">
        <w:rPr>
          <w:rFonts w:ascii="Verdana" w:hAnsi="Verdana"/>
          <w:color w:val="000000"/>
          <w:sz w:val="22"/>
          <w:szCs w:val="22"/>
        </w:rPr>
        <w:t xml:space="preserve"> </w:t>
      </w:r>
      <w:r w:rsidR="00C3533E" w:rsidRPr="00AD32FF">
        <w:rPr>
          <w:rFonts w:ascii="Verdana" w:hAnsi="Verdana"/>
          <w:color w:val="000000"/>
          <w:sz w:val="22"/>
          <w:szCs w:val="22"/>
        </w:rPr>
        <w:t xml:space="preserve">some </w:t>
      </w:r>
      <w:r w:rsidR="00242F43" w:rsidRPr="00AD32FF">
        <w:rPr>
          <w:rFonts w:ascii="Verdana" w:hAnsi="Verdana"/>
          <w:color w:val="000000"/>
          <w:sz w:val="22"/>
          <w:szCs w:val="22"/>
        </w:rPr>
        <w:t>with degree-awarding powers or aspiring to this status do</w:t>
      </w:r>
      <w:r w:rsidR="00C27A0D" w:rsidRPr="00AD32FF">
        <w:rPr>
          <w:rFonts w:ascii="Verdana" w:hAnsi="Verdana"/>
          <w:color w:val="000000"/>
          <w:sz w:val="22"/>
          <w:szCs w:val="22"/>
        </w:rPr>
        <w:t xml:space="preserve"> encourage research in </w:t>
      </w:r>
      <w:r w:rsidR="00242F43" w:rsidRPr="00AD32FF">
        <w:rPr>
          <w:rFonts w:ascii="Verdana" w:hAnsi="Verdana"/>
          <w:color w:val="000000"/>
          <w:sz w:val="22"/>
          <w:szCs w:val="22"/>
        </w:rPr>
        <w:t xml:space="preserve">applied and niche areas.  </w:t>
      </w:r>
    </w:p>
    <w:p w:rsidR="00242F43" w:rsidRPr="00AD32FF" w:rsidRDefault="00242F4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Public information about private providers’ quality and standards is difficult to obtain in the UK.  At present, </w:t>
      </w:r>
      <w:r w:rsidR="0006446A" w:rsidRPr="00AD32FF">
        <w:rPr>
          <w:rFonts w:ascii="Verdana" w:hAnsi="Verdana"/>
          <w:color w:val="000000"/>
          <w:sz w:val="22"/>
          <w:szCs w:val="22"/>
        </w:rPr>
        <w:t xml:space="preserve">none </w:t>
      </w:r>
      <w:r w:rsidRPr="00AD32FF">
        <w:rPr>
          <w:rFonts w:ascii="Verdana" w:hAnsi="Verdana"/>
          <w:color w:val="000000"/>
          <w:sz w:val="22"/>
          <w:szCs w:val="22"/>
        </w:rPr>
        <w:t xml:space="preserve">that have </w:t>
      </w:r>
      <w:r w:rsidR="00DD03DF" w:rsidRPr="00AD32FF">
        <w:rPr>
          <w:rFonts w:ascii="Verdana" w:hAnsi="Verdana"/>
          <w:color w:val="000000"/>
          <w:sz w:val="22"/>
          <w:szCs w:val="22"/>
        </w:rPr>
        <w:t>taught degree awarding powers (</w:t>
      </w:r>
      <w:r w:rsidRPr="00AD32FF">
        <w:rPr>
          <w:rFonts w:ascii="Verdana" w:hAnsi="Verdana"/>
          <w:color w:val="000000"/>
          <w:sz w:val="22"/>
          <w:szCs w:val="22"/>
        </w:rPr>
        <w:t>DAPs</w:t>
      </w:r>
      <w:r w:rsidR="00DD03DF" w:rsidRPr="00AD32FF">
        <w:rPr>
          <w:rFonts w:ascii="Verdana" w:hAnsi="Verdana"/>
          <w:color w:val="000000"/>
          <w:sz w:val="22"/>
          <w:szCs w:val="22"/>
        </w:rPr>
        <w:t>)</w:t>
      </w:r>
      <w:r w:rsidRPr="00AD32FF">
        <w:rPr>
          <w:rFonts w:ascii="Verdana" w:hAnsi="Verdana"/>
          <w:color w:val="000000"/>
          <w:sz w:val="22"/>
          <w:szCs w:val="22"/>
        </w:rPr>
        <w:t xml:space="preserve"> have been subject to the six year QAA review and they are not obliged to make their DAPs reports public, al</w:t>
      </w:r>
      <w:r w:rsidR="00C3533E" w:rsidRPr="00AD32FF">
        <w:rPr>
          <w:rFonts w:ascii="Verdana" w:hAnsi="Verdana"/>
          <w:color w:val="000000"/>
          <w:sz w:val="22"/>
          <w:szCs w:val="22"/>
        </w:rPr>
        <w:t>though</w:t>
      </w:r>
      <w:r w:rsidRPr="00AD32FF">
        <w:rPr>
          <w:rFonts w:ascii="Verdana" w:hAnsi="Verdana"/>
          <w:color w:val="000000"/>
          <w:sz w:val="22"/>
          <w:szCs w:val="22"/>
        </w:rPr>
        <w:t xml:space="preserve"> the College of Law</w:t>
      </w:r>
      <w:r w:rsidR="00C3533E" w:rsidRPr="00AD32FF">
        <w:rPr>
          <w:rFonts w:ascii="Verdana" w:hAnsi="Verdana"/>
          <w:color w:val="000000"/>
          <w:sz w:val="22"/>
          <w:szCs w:val="22"/>
        </w:rPr>
        <w:t xml:space="preserve"> has done so</w:t>
      </w:r>
      <w:r w:rsidR="00D01449" w:rsidRPr="00AD32FF">
        <w:rPr>
          <w:rStyle w:val="FootnoteReference"/>
          <w:rFonts w:ascii="Verdana" w:hAnsi="Verdana"/>
          <w:color w:val="000000"/>
          <w:sz w:val="22"/>
          <w:szCs w:val="22"/>
        </w:rPr>
        <w:footnoteReference w:id="2"/>
      </w:r>
      <w:r w:rsidR="00C3533E" w:rsidRPr="00AD32FF">
        <w:rPr>
          <w:rFonts w:ascii="Verdana" w:hAnsi="Verdana"/>
          <w:color w:val="000000"/>
          <w:sz w:val="22"/>
          <w:szCs w:val="22"/>
        </w:rPr>
        <w:t xml:space="preserve">. </w:t>
      </w:r>
      <w:r w:rsidR="007B7EE9" w:rsidRPr="00AD32FF">
        <w:rPr>
          <w:rFonts w:ascii="Verdana" w:hAnsi="Verdana"/>
          <w:color w:val="000000"/>
          <w:sz w:val="22"/>
          <w:szCs w:val="22"/>
        </w:rPr>
        <w:t xml:space="preserve">Beyond those with DAPs, </w:t>
      </w:r>
      <w:r w:rsidR="00C3533E" w:rsidRPr="00AD32FF">
        <w:rPr>
          <w:rFonts w:ascii="Verdana" w:hAnsi="Verdana"/>
          <w:color w:val="000000"/>
          <w:sz w:val="22"/>
          <w:szCs w:val="22"/>
        </w:rPr>
        <w:t>QAA has no formal role but is undertaking</w:t>
      </w:r>
      <w:r w:rsidRPr="00AD32FF">
        <w:rPr>
          <w:rFonts w:ascii="Verdana" w:hAnsi="Verdana"/>
          <w:color w:val="000000"/>
          <w:sz w:val="22"/>
          <w:szCs w:val="22"/>
        </w:rPr>
        <w:t xml:space="preserve"> external reviews for some of the seven private providers who subscribe to the QAA (and for one – St Patrick’s College – that does not)</w:t>
      </w:r>
      <w:r w:rsidR="001761B7" w:rsidRPr="00AD32FF">
        <w:rPr>
          <w:rFonts w:ascii="Verdana" w:hAnsi="Verdana"/>
          <w:color w:val="000000"/>
          <w:sz w:val="22"/>
          <w:szCs w:val="22"/>
        </w:rPr>
        <w:t>.</w:t>
      </w:r>
      <w:r w:rsidR="00934AC4" w:rsidRPr="00AD32FF">
        <w:rPr>
          <w:rFonts w:ascii="Verdana" w:hAnsi="Verdana"/>
          <w:color w:val="000000"/>
          <w:sz w:val="22"/>
          <w:szCs w:val="22"/>
        </w:rPr>
        <w:t xml:space="preserve"> Many have </w:t>
      </w:r>
      <w:r w:rsidR="00C3533E" w:rsidRPr="00AD32FF">
        <w:rPr>
          <w:rFonts w:ascii="Verdana" w:hAnsi="Verdana"/>
          <w:color w:val="000000"/>
          <w:sz w:val="22"/>
          <w:szCs w:val="22"/>
        </w:rPr>
        <w:t>said they would be</w:t>
      </w:r>
      <w:r w:rsidRPr="00AD32FF">
        <w:rPr>
          <w:rFonts w:ascii="Verdana" w:hAnsi="Verdana"/>
          <w:color w:val="000000"/>
          <w:sz w:val="22"/>
          <w:szCs w:val="22"/>
        </w:rPr>
        <w:t xml:space="preserve"> willing to</w:t>
      </w:r>
      <w:r w:rsidR="00934AC4" w:rsidRPr="00AD32FF">
        <w:rPr>
          <w:rFonts w:ascii="Verdana" w:hAnsi="Verdana"/>
          <w:color w:val="000000"/>
          <w:sz w:val="22"/>
          <w:szCs w:val="22"/>
        </w:rPr>
        <w:t xml:space="preserve"> undergo </w:t>
      </w:r>
      <w:r w:rsidRPr="00AD32FF">
        <w:rPr>
          <w:rFonts w:ascii="Verdana" w:hAnsi="Verdana"/>
          <w:color w:val="000000"/>
          <w:sz w:val="22"/>
          <w:szCs w:val="22"/>
        </w:rPr>
        <w:t>QAA scrutiny</w:t>
      </w:r>
      <w:r w:rsidR="00934AC4" w:rsidRPr="00AD32FF">
        <w:rPr>
          <w:rFonts w:ascii="Verdana" w:hAnsi="Verdana"/>
          <w:color w:val="000000"/>
          <w:sz w:val="22"/>
          <w:szCs w:val="22"/>
        </w:rPr>
        <w:t xml:space="preserve"> and to be as open as public institutions about</w:t>
      </w:r>
      <w:r w:rsidRPr="00AD32FF">
        <w:rPr>
          <w:rFonts w:ascii="Verdana" w:hAnsi="Verdana"/>
          <w:color w:val="000000"/>
          <w:sz w:val="22"/>
          <w:szCs w:val="22"/>
        </w:rPr>
        <w:t xml:space="preserve"> </w:t>
      </w:r>
      <w:r w:rsidR="00C3533E" w:rsidRPr="00AD32FF">
        <w:rPr>
          <w:rFonts w:ascii="Verdana" w:hAnsi="Verdana"/>
          <w:color w:val="000000"/>
          <w:sz w:val="22"/>
          <w:szCs w:val="22"/>
        </w:rPr>
        <w:t xml:space="preserve">their </w:t>
      </w:r>
      <w:r w:rsidRPr="00AD32FF">
        <w:rPr>
          <w:rFonts w:ascii="Verdana" w:hAnsi="Verdana"/>
          <w:color w:val="000000"/>
          <w:sz w:val="22"/>
          <w:szCs w:val="22"/>
        </w:rPr>
        <w:t xml:space="preserve">students’ views and graduate outcomes. </w:t>
      </w:r>
      <w:r w:rsidR="00D01449" w:rsidRPr="00AD32FF">
        <w:rPr>
          <w:rStyle w:val="FootnoteReference"/>
          <w:rFonts w:ascii="Verdana" w:hAnsi="Verdana"/>
          <w:color w:val="000000"/>
          <w:sz w:val="22"/>
          <w:szCs w:val="22"/>
        </w:rPr>
        <w:footnoteReference w:id="3"/>
      </w:r>
    </w:p>
    <w:p w:rsidR="00393C8B" w:rsidRPr="00AD32FF" w:rsidRDefault="00D568E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Where private and</w:t>
      </w:r>
      <w:r w:rsidR="00934AC4" w:rsidRPr="00AD32FF">
        <w:rPr>
          <w:rFonts w:ascii="Verdana" w:hAnsi="Verdana"/>
          <w:color w:val="000000"/>
          <w:sz w:val="22"/>
          <w:szCs w:val="22"/>
        </w:rPr>
        <w:t xml:space="preserve"> traditional providers</w:t>
      </w:r>
      <w:r w:rsidRPr="00AD32FF">
        <w:rPr>
          <w:rFonts w:ascii="Verdana" w:hAnsi="Verdana"/>
          <w:color w:val="000000"/>
          <w:sz w:val="22"/>
          <w:szCs w:val="22"/>
        </w:rPr>
        <w:t xml:space="preserve"> are in partnership</w:t>
      </w:r>
      <w:r w:rsidR="00C27A0D" w:rsidRPr="00AD32FF">
        <w:rPr>
          <w:rFonts w:ascii="Verdana" w:hAnsi="Verdana"/>
          <w:color w:val="000000"/>
          <w:sz w:val="22"/>
          <w:szCs w:val="22"/>
        </w:rPr>
        <w:t xml:space="preserve">, private providers will </w:t>
      </w:r>
      <w:r w:rsidR="00242F43" w:rsidRPr="00AD32FF">
        <w:rPr>
          <w:rFonts w:ascii="Verdana" w:hAnsi="Verdana"/>
          <w:color w:val="000000"/>
          <w:sz w:val="22"/>
          <w:szCs w:val="22"/>
        </w:rPr>
        <w:t xml:space="preserve">come under scrutiny as part of collaborative audits.  In </w:t>
      </w:r>
      <w:r w:rsidR="00C27A0D" w:rsidRPr="00AD32FF">
        <w:rPr>
          <w:rFonts w:ascii="Verdana" w:hAnsi="Verdana"/>
          <w:color w:val="000000"/>
          <w:sz w:val="22"/>
          <w:szCs w:val="22"/>
        </w:rPr>
        <w:t xml:space="preserve">their </w:t>
      </w:r>
      <w:r w:rsidR="00242F43" w:rsidRPr="00AD32FF">
        <w:rPr>
          <w:rFonts w:ascii="Verdana" w:hAnsi="Verdana"/>
          <w:color w:val="000000"/>
          <w:sz w:val="22"/>
          <w:szCs w:val="22"/>
        </w:rPr>
        <w:t>internal quality assurance and enhancement arrangements, those providers with DAPs or aspiring to DAPs, typically seek to mirror the arrangements of traditional universities</w:t>
      </w:r>
      <w:r w:rsidR="00884EF2" w:rsidRPr="00AD32FF">
        <w:rPr>
          <w:rFonts w:ascii="Verdana" w:hAnsi="Verdana"/>
          <w:color w:val="000000"/>
          <w:sz w:val="22"/>
          <w:szCs w:val="22"/>
        </w:rPr>
        <w:t xml:space="preserve">. Many that offer </w:t>
      </w:r>
      <w:r w:rsidR="00242F43" w:rsidRPr="00AD32FF">
        <w:rPr>
          <w:rFonts w:ascii="Verdana" w:hAnsi="Verdana"/>
          <w:color w:val="000000"/>
          <w:sz w:val="22"/>
          <w:szCs w:val="22"/>
        </w:rPr>
        <w:t xml:space="preserve">professional qualifications and </w:t>
      </w:r>
      <w:r w:rsidR="00884EF2" w:rsidRPr="00AD32FF">
        <w:rPr>
          <w:rFonts w:ascii="Verdana" w:hAnsi="Verdana"/>
          <w:color w:val="000000"/>
          <w:sz w:val="22"/>
          <w:szCs w:val="22"/>
        </w:rPr>
        <w:t xml:space="preserve">recruit </w:t>
      </w:r>
      <w:r w:rsidR="00242F43" w:rsidRPr="00AD32FF">
        <w:rPr>
          <w:rFonts w:ascii="Verdana" w:hAnsi="Verdana"/>
          <w:color w:val="000000"/>
          <w:sz w:val="22"/>
          <w:szCs w:val="22"/>
        </w:rPr>
        <w:t>international students are subject to multiple accreditation</w:t>
      </w:r>
      <w:r w:rsidR="00C27A0D" w:rsidRPr="00AD32FF">
        <w:rPr>
          <w:rFonts w:ascii="Verdana" w:hAnsi="Verdana"/>
          <w:color w:val="000000"/>
          <w:sz w:val="22"/>
          <w:szCs w:val="22"/>
        </w:rPr>
        <w:t>s</w:t>
      </w:r>
      <w:r w:rsidR="00242F43" w:rsidRPr="00AD32FF">
        <w:rPr>
          <w:rFonts w:ascii="Verdana" w:hAnsi="Verdana"/>
          <w:color w:val="000000"/>
          <w:sz w:val="22"/>
          <w:szCs w:val="22"/>
        </w:rPr>
        <w:t xml:space="preserve"> and review</w:t>
      </w:r>
      <w:r w:rsidR="00C27A0D" w:rsidRPr="00AD32FF">
        <w:rPr>
          <w:rFonts w:ascii="Verdana" w:hAnsi="Verdana"/>
          <w:color w:val="000000"/>
          <w:sz w:val="22"/>
          <w:szCs w:val="22"/>
        </w:rPr>
        <w:t>s</w:t>
      </w:r>
      <w:r w:rsidR="00242F43" w:rsidRPr="00AD32FF">
        <w:rPr>
          <w:rFonts w:ascii="Verdana" w:hAnsi="Verdana"/>
          <w:color w:val="000000"/>
          <w:sz w:val="22"/>
          <w:szCs w:val="22"/>
        </w:rPr>
        <w:t>, from professional bodies, different partner universities, the QAA</w:t>
      </w:r>
      <w:r w:rsidR="007B7EE9" w:rsidRPr="00AD32FF">
        <w:rPr>
          <w:rFonts w:ascii="Verdana" w:hAnsi="Verdana"/>
          <w:color w:val="000000"/>
          <w:sz w:val="22"/>
          <w:szCs w:val="22"/>
        </w:rPr>
        <w:t>,</w:t>
      </w:r>
      <w:r w:rsidR="00242F43" w:rsidRPr="00AD32FF">
        <w:rPr>
          <w:rFonts w:ascii="Verdana" w:hAnsi="Verdana"/>
          <w:color w:val="000000"/>
          <w:sz w:val="22"/>
          <w:szCs w:val="22"/>
        </w:rPr>
        <w:t xml:space="preserve"> as well as accreditation agencies approved by the UK Border Agency. </w:t>
      </w:r>
      <w:r w:rsidR="0006446A" w:rsidRPr="00AD32FF">
        <w:rPr>
          <w:rFonts w:ascii="Verdana" w:hAnsi="Verdana"/>
          <w:color w:val="000000"/>
          <w:sz w:val="22"/>
          <w:szCs w:val="22"/>
        </w:rPr>
        <w:t>O</w:t>
      </w:r>
      <w:r w:rsidR="00242F43" w:rsidRPr="00AD32FF">
        <w:rPr>
          <w:rFonts w:ascii="Verdana" w:hAnsi="Verdana"/>
          <w:color w:val="000000"/>
          <w:sz w:val="22"/>
          <w:szCs w:val="22"/>
        </w:rPr>
        <w:t>ne private provider</w:t>
      </w:r>
      <w:r w:rsidR="0006446A" w:rsidRPr="00AD32FF">
        <w:rPr>
          <w:rFonts w:ascii="Verdana" w:hAnsi="Verdana"/>
          <w:color w:val="000000"/>
          <w:sz w:val="22"/>
          <w:szCs w:val="22"/>
        </w:rPr>
        <w:t xml:space="preserve"> </w:t>
      </w:r>
      <w:r w:rsidR="00F31CFC" w:rsidRPr="00AD32FF">
        <w:rPr>
          <w:rFonts w:ascii="Verdana" w:hAnsi="Verdana"/>
          <w:color w:val="000000"/>
          <w:sz w:val="22"/>
          <w:szCs w:val="22"/>
        </w:rPr>
        <w:t>is</w:t>
      </w:r>
      <w:r w:rsidR="0006446A" w:rsidRPr="00AD32FF">
        <w:rPr>
          <w:rFonts w:ascii="Verdana" w:hAnsi="Verdana"/>
          <w:color w:val="000000"/>
          <w:sz w:val="22"/>
          <w:szCs w:val="22"/>
        </w:rPr>
        <w:t xml:space="preserve"> involved with</w:t>
      </w:r>
      <w:r w:rsidR="00242F43" w:rsidRPr="00AD32FF">
        <w:rPr>
          <w:rFonts w:ascii="Verdana" w:hAnsi="Verdana"/>
          <w:color w:val="000000"/>
          <w:sz w:val="22"/>
          <w:szCs w:val="22"/>
        </w:rPr>
        <w:t xml:space="preserve"> 39 different accrediting bodies</w:t>
      </w:r>
      <w:r w:rsidR="007B7EE9" w:rsidRPr="00AD32FF">
        <w:rPr>
          <w:rFonts w:ascii="Verdana" w:hAnsi="Verdana"/>
          <w:color w:val="000000"/>
          <w:sz w:val="22"/>
          <w:szCs w:val="22"/>
        </w:rPr>
        <w:t>,</w:t>
      </w:r>
      <w:r w:rsidR="00242F43" w:rsidRPr="00AD32FF">
        <w:rPr>
          <w:rFonts w:ascii="Verdana" w:hAnsi="Verdana"/>
          <w:color w:val="000000"/>
          <w:sz w:val="22"/>
          <w:szCs w:val="22"/>
        </w:rPr>
        <w:t xml:space="preserve"> </w:t>
      </w:r>
      <w:r w:rsidR="00884EF2" w:rsidRPr="00AD32FF">
        <w:rPr>
          <w:rFonts w:ascii="Verdana" w:hAnsi="Verdana"/>
          <w:color w:val="000000"/>
          <w:sz w:val="22"/>
          <w:szCs w:val="22"/>
        </w:rPr>
        <w:t xml:space="preserve">with </w:t>
      </w:r>
      <w:r w:rsidR="00242F43" w:rsidRPr="00AD32FF">
        <w:rPr>
          <w:rFonts w:ascii="Verdana" w:hAnsi="Verdana"/>
          <w:color w:val="000000"/>
          <w:sz w:val="22"/>
          <w:szCs w:val="22"/>
        </w:rPr>
        <w:t>accreditation visits every week</w:t>
      </w:r>
      <w:r w:rsidR="0006446A" w:rsidRPr="00AD32FF">
        <w:rPr>
          <w:rFonts w:ascii="Verdana" w:hAnsi="Verdana"/>
          <w:color w:val="000000"/>
          <w:sz w:val="22"/>
          <w:szCs w:val="22"/>
        </w:rPr>
        <w:t>.</w:t>
      </w:r>
      <w:r w:rsidR="00242F43" w:rsidRPr="00AD32FF">
        <w:rPr>
          <w:rFonts w:ascii="Verdana" w:hAnsi="Verdana"/>
          <w:color w:val="000000"/>
          <w:sz w:val="22"/>
          <w:szCs w:val="22"/>
        </w:rPr>
        <w:t xml:space="preserve"> </w:t>
      </w:r>
    </w:p>
    <w:p w:rsidR="00393C8B" w:rsidRPr="00AD32FF" w:rsidRDefault="00632DCD" w:rsidP="00F023B3">
      <w:pPr>
        <w:spacing w:before="120" w:line="300" w:lineRule="atLeast"/>
        <w:ind w:right="332"/>
        <w:rPr>
          <w:rFonts w:ascii="Verdana" w:hAnsi="Verdana"/>
          <w:b/>
          <w:color w:val="000000"/>
          <w:sz w:val="22"/>
          <w:szCs w:val="22"/>
        </w:rPr>
      </w:pPr>
      <w:r w:rsidRPr="00AD32FF">
        <w:rPr>
          <w:rFonts w:ascii="Verdana" w:hAnsi="Verdana"/>
          <w:b/>
          <w:color w:val="000000"/>
          <w:sz w:val="22"/>
          <w:szCs w:val="22"/>
        </w:rPr>
        <w:t xml:space="preserve">Key policy questions </w:t>
      </w:r>
      <w:r w:rsidR="007B7EE9" w:rsidRPr="00AD32FF">
        <w:rPr>
          <w:rFonts w:ascii="Verdana" w:hAnsi="Verdana"/>
          <w:b/>
          <w:color w:val="000000"/>
          <w:sz w:val="22"/>
          <w:szCs w:val="22"/>
        </w:rPr>
        <w:t>for</w:t>
      </w:r>
      <w:r w:rsidRPr="00AD32FF">
        <w:rPr>
          <w:rFonts w:ascii="Verdana" w:hAnsi="Verdana"/>
          <w:b/>
          <w:color w:val="000000"/>
          <w:sz w:val="22"/>
          <w:szCs w:val="22"/>
        </w:rPr>
        <w:t xml:space="preserve"> the UK HE system</w:t>
      </w:r>
    </w:p>
    <w:p w:rsidR="00393C8B" w:rsidRPr="00AD32FF" w:rsidRDefault="00632DCD" w:rsidP="00F023B3">
      <w:pPr>
        <w:spacing w:before="120" w:line="300" w:lineRule="atLeast"/>
        <w:ind w:right="332"/>
        <w:rPr>
          <w:rFonts w:ascii="Verdana" w:hAnsi="Verdana"/>
          <w:i/>
          <w:color w:val="000000"/>
          <w:sz w:val="22"/>
          <w:szCs w:val="22"/>
        </w:rPr>
      </w:pPr>
      <w:r w:rsidRPr="00AD32FF">
        <w:rPr>
          <w:rFonts w:ascii="Verdana" w:hAnsi="Verdana"/>
          <w:i/>
          <w:color w:val="000000"/>
          <w:sz w:val="22"/>
          <w:szCs w:val="22"/>
        </w:rPr>
        <w:t>Is current provision demand absorbing or widening choice?</w:t>
      </w:r>
    </w:p>
    <w:p w:rsidR="00632DCD" w:rsidRPr="00AD32FF" w:rsidRDefault="007B7EE9"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E25556" w:rsidRPr="00AD32FF">
        <w:rPr>
          <w:rFonts w:ascii="Verdana" w:hAnsi="Verdana"/>
          <w:color w:val="000000"/>
          <w:sz w:val="22"/>
          <w:szCs w:val="22"/>
        </w:rPr>
        <w:t>o what extent does</w:t>
      </w:r>
      <w:r w:rsidR="00632DCD" w:rsidRPr="00AD32FF">
        <w:rPr>
          <w:rFonts w:ascii="Verdana" w:hAnsi="Verdana"/>
          <w:color w:val="000000"/>
          <w:sz w:val="22"/>
          <w:szCs w:val="22"/>
        </w:rPr>
        <w:t xml:space="preserve"> the private sector provide additional and alternative access paths to</w:t>
      </w:r>
      <w:r w:rsidR="00884EF2" w:rsidRPr="00AD32FF">
        <w:rPr>
          <w:rFonts w:ascii="Verdana" w:hAnsi="Verdana"/>
          <w:color w:val="000000"/>
          <w:sz w:val="22"/>
          <w:szCs w:val="22"/>
        </w:rPr>
        <w:t xml:space="preserve"> </w:t>
      </w:r>
      <w:proofErr w:type="gramStart"/>
      <w:r w:rsidR="00884EF2" w:rsidRPr="00AD32FF">
        <w:rPr>
          <w:rFonts w:ascii="Verdana" w:hAnsi="Verdana"/>
          <w:color w:val="000000"/>
          <w:sz w:val="22"/>
          <w:szCs w:val="22"/>
        </w:rPr>
        <w:t>HE</w:t>
      </w:r>
      <w:proofErr w:type="gramEnd"/>
      <w:r w:rsidRPr="00AD32FF">
        <w:rPr>
          <w:rFonts w:ascii="Verdana" w:hAnsi="Verdana"/>
          <w:color w:val="000000"/>
          <w:sz w:val="22"/>
          <w:szCs w:val="22"/>
        </w:rPr>
        <w:t>?</w:t>
      </w:r>
      <w:r w:rsidR="00632DCD" w:rsidRPr="00AD32FF">
        <w:rPr>
          <w:rFonts w:ascii="Verdana" w:hAnsi="Verdana"/>
          <w:color w:val="000000"/>
          <w:sz w:val="22"/>
          <w:szCs w:val="22"/>
        </w:rPr>
        <w:t xml:space="preserve">  </w:t>
      </w:r>
      <w:r w:rsidR="00E25556" w:rsidRPr="00AD32FF">
        <w:rPr>
          <w:rFonts w:ascii="Verdana" w:hAnsi="Verdana"/>
          <w:color w:val="000000"/>
          <w:sz w:val="22"/>
          <w:szCs w:val="22"/>
        </w:rPr>
        <w:t>I</w:t>
      </w:r>
      <w:r w:rsidR="00632DCD" w:rsidRPr="00AD32FF">
        <w:rPr>
          <w:rFonts w:ascii="Verdana" w:hAnsi="Verdana"/>
          <w:color w:val="000000"/>
          <w:sz w:val="22"/>
          <w:szCs w:val="22"/>
        </w:rPr>
        <w:t>n most countries</w:t>
      </w:r>
      <w:r w:rsidRPr="00AD32FF">
        <w:rPr>
          <w:rFonts w:ascii="Verdana" w:hAnsi="Verdana"/>
          <w:color w:val="000000"/>
          <w:sz w:val="22"/>
          <w:szCs w:val="22"/>
        </w:rPr>
        <w:t>,</w:t>
      </w:r>
      <w:r w:rsidR="00632DCD" w:rsidRPr="00AD32FF">
        <w:rPr>
          <w:rFonts w:ascii="Verdana" w:hAnsi="Verdana"/>
          <w:color w:val="000000"/>
          <w:sz w:val="22"/>
          <w:szCs w:val="22"/>
        </w:rPr>
        <w:t xml:space="preserve"> the private sector expand</w:t>
      </w:r>
      <w:r w:rsidR="005A58B7" w:rsidRPr="00AD32FF">
        <w:rPr>
          <w:rFonts w:ascii="Verdana" w:hAnsi="Verdana"/>
          <w:color w:val="000000"/>
          <w:sz w:val="22"/>
          <w:szCs w:val="22"/>
        </w:rPr>
        <w:t>s</w:t>
      </w:r>
      <w:r w:rsidR="00632DCD" w:rsidRPr="00AD32FF">
        <w:rPr>
          <w:rFonts w:ascii="Verdana" w:hAnsi="Verdana"/>
          <w:color w:val="000000"/>
          <w:sz w:val="22"/>
          <w:szCs w:val="22"/>
        </w:rPr>
        <w:t xml:space="preserve"> access by creating niche offerings, by entering new geographic locations</w:t>
      </w:r>
      <w:r w:rsidR="00D568E3" w:rsidRPr="00AD32FF">
        <w:rPr>
          <w:rFonts w:ascii="Verdana" w:hAnsi="Verdana"/>
          <w:color w:val="000000"/>
          <w:sz w:val="22"/>
          <w:szCs w:val="22"/>
        </w:rPr>
        <w:t>,</w:t>
      </w:r>
      <w:r w:rsidR="00632DCD" w:rsidRPr="00AD32FF">
        <w:rPr>
          <w:rFonts w:ascii="Verdana" w:hAnsi="Verdana"/>
          <w:color w:val="000000"/>
          <w:sz w:val="22"/>
          <w:szCs w:val="22"/>
        </w:rPr>
        <w:t xml:space="preserve"> by offering alternative delivery models and by serving specific student populations</w:t>
      </w:r>
      <w:r w:rsidR="006508F7" w:rsidRPr="00AD32FF">
        <w:rPr>
          <w:rFonts w:ascii="Verdana" w:hAnsi="Verdana"/>
          <w:color w:val="000000"/>
          <w:sz w:val="22"/>
          <w:szCs w:val="22"/>
        </w:rPr>
        <w:t xml:space="preserve">, </w:t>
      </w:r>
      <w:r w:rsidR="00E25556" w:rsidRPr="00AD32FF">
        <w:rPr>
          <w:rFonts w:ascii="Verdana" w:hAnsi="Verdana"/>
          <w:color w:val="000000"/>
          <w:sz w:val="22"/>
          <w:szCs w:val="22"/>
        </w:rPr>
        <w:t xml:space="preserve">both </w:t>
      </w:r>
      <w:r w:rsidR="00994923" w:rsidRPr="00AD32FF">
        <w:rPr>
          <w:rFonts w:ascii="Verdana" w:hAnsi="Verdana"/>
          <w:color w:val="000000"/>
          <w:sz w:val="22"/>
          <w:szCs w:val="22"/>
        </w:rPr>
        <w:t>where publicly-funded provision is not available and where it is.</w:t>
      </w:r>
    </w:p>
    <w:p w:rsidR="00393C8B"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pattern of private sector provision in the UK differs significantly from that in the US</w:t>
      </w:r>
      <w:r w:rsidR="00884EF2" w:rsidRPr="00AD32FF">
        <w:rPr>
          <w:rFonts w:ascii="Verdana" w:hAnsi="Verdana"/>
          <w:color w:val="000000"/>
          <w:sz w:val="22"/>
          <w:szCs w:val="22"/>
        </w:rPr>
        <w:t xml:space="preserve">, </w:t>
      </w:r>
      <w:r w:rsidR="0057272E" w:rsidRPr="00AD32FF">
        <w:rPr>
          <w:rFonts w:ascii="Verdana" w:hAnsi="Verdana"/>
          <w:color w:val="000000"/>
          <w:sz w:val="22"/>
          <w:szCs w:val="22"/>
        </w:rPr>
        <w:t>since</w:t>
      </w:r>
      <w:r w:rsidRPr="00AD32FF">
        <w:rPr>
          <w:rFonts w:ascii="Verdana" w:hAnsi="Verdana"/>
          <w:color w:val="000000"/>
          <w:sz w:val="22"/>
          <w:szCs w:val="22"/>
        </w:rPr>
        <w:t xml:space="preserve"> a large proportion of the providers </w:t>
      </w:r>
      <w:r w:rsidR="00884EF2" w:rsidRPr="00AD32FF">
        <w:rPr>
          <w:rFonts w:ascii="Verdana" w:hAnsi="Verdana"/>
          <w:color w:val="000000"/>
          <w:sz w:val="22"/>
          <w:szCs w:val="22"/>
        </w:rPr>
        <w:t xml:space="preserve">focus </w:t>
      </w:r>
      <w:r w:rsidR="005A58B7" w:rsidRPr="00AD32FF">
        <w:rPr>
          <w:rFonts w:ascii="Verdana" w:hAnsi="Verdana"/>
          <w:color w:val="000000"/>
          <w:sz w:val="22"/>
          <w:szCs w:val="22"/>
        </w:rPr>
        <w:t>on</w:t>
      </w:r>
      <w:r w:rsidRPr="00AD32FF">
        <w:rPr>
          <w:rFonts w:ascii="Verdana" w:hAnsi="Verdana"/>
          <w:color w:val="000000"/>
          <w:sz w:val="22"/>
          <w:szCs w:val="22"/>
        </w:rPr>
        <w:t xml:space="preserve"> the international rather than the domestic student market and </w:t>
      </w:r>
      <w:r w:rsidR="00884EF2" w:rsidRPr="00AD32FF">
        <w:rPr>
          <w:rFonts w:ascii="Verdana" w:hAnsi="Verdana"/>
          <w:color w:val="000000"/>
          <w:sz w:val="22"/>
          <w:szCs w:val="22"/>
        </w:rPr>
        <w:t>many</w:t>
      </w:r>
      <w:r w:rsidR="0057272E" w:rsidRPr="00AD32FF">
        <w:rPr>
          <w:rFonts w:ascii="Verdana" w:hAnsi="Verdana"/>
          <w:color w:val="000000"/>
          <w:sz w:val="22"/>
          <w:szCs w:val="22"/>
        </w:rPr>
        <w:t xml:space="preserve"> have</w:t>
      </w:r>
      <w:r w:rsidRPr="00AD32FF">
        <w:rPr>
          <w:rFonts w:ascii="Verdana" w:hAnsi="Verdana"/>
          <w:color w:val="000000"/>
          <w:sz w:val="22"/>
          <w:szCs w:val="22"/>
        </w:rPr>
        <w:t xml:space="preserve"> forms of partnership with traditional institutions.  </w:t>
      </w:r>
      <w:r w:rsidR="00E25556" w:rsidRPr="00AD32FF">
        <w:rPr>
          <w:rFonts w:ascii="Verdana" w:hAnsi="Verdana"/>
          <w:color w:val="000000"/>
          <w:sz w:val="22"/>
          <w:szCs w:val="22"/>
        </w:rPr>
        <w:t>However</w:t>
      </w:r>
      <w:r w:rsidRPr="00AD32FF">
        <w:rPr>
          <w:rFonts w:ascii="Verdana" w:hAnsi="Verdana"/>
          <w:color w:val="000000"/>
          <w:sz w:val="22"/>
          <w:szCs w:val="22"/>
        </w:rPr>
        <w:t xml:space="preserve"> this picture may change as a consequence of new policy directions in England and likely constraints on access for domestic students to traditional HE institutions. Some of those private providers that only recruited international students are now actively marketing to </w:t>
      </w:r>
      <w:r w:rsidR="00884EF2" w:rsidRPr="00AD32FF">
        <w:rPr>
          <w:rFonts w:ascii="Verdana" w:hAnsi="Verdana"/>
          <w:color w:val="000000"/>
          <w:sz w:val="22"/>
          <w:szCs w:val="22"/>
        </w:rPr>
        <w:t>UK/EU</w:t>
      </w:r>
      <w:r w:rsidRPr="00AD32FF">
        <w:rPr>
          <w:rFonts w:ascii="Verdana" w:hAnsi="Verdana"/>
          <w:color w:val="000000"/>
          <w:sz w:val="22"/>
          <w:szCs w:val="22"/>
        </w:rPr>
        <w:t xml:space="preserve"> students, </w:t>
      </w:r>
      <w:r w:rsidR="007B7EE9" w:rsidRPr="00AD32FF">
        <w:rPr>
          <w:rFonts w:ascii="Verdana" w:hAnsi="Verdana"/>
          <w:color w:val="000000"/>
          <w:sz w:val="22"/>
          <w:szCs w:val="22"/>
        </w:rPr>
        <w:t xml:space="preserve">not least </w:t>
      </w:r>
      <w:r w:rsidRPr="00AD32FF">
        <w:rPr>
          <w:rFonts w:ascii="Verdana" w:hAnsi="Verdana"/>
          <w:color w:val="000000"/>
          <w:sz w:val="22"/>
          <w:szCs w:val="22"/>
        </w:rPr>
        <w:lastRenderedPageBreak/>
        <w:t xml:space="preserve">because of pressures arising on the international side from </w:t>
      </w:r>
      <w:r w:rsidR="00E25556" w:rsidRPr="00AD32FF">
        <w:rPr>
          <w:rFonts w:ascii="Verdana" w:hAnsi="Verdana"/>
          <w:color w:val="000000"/>
          <w:sz w:val="22"/>
          <w:szCs w:val="22"/>
        </w:rPr>
        <w:t xml:space="preserve">UKBA </w:t>
      </w:r>
      <w:r w:rsidRPr="00AD32FF">
        <w:rPr>
          <w:rFonts w:ascii="Verdana" w:hAnsi="Verdana"/>
          <w:color w:val="000000"/>
          <w:sz w:val="22"/>
          <w:szCs w:val="22"/>
        </w:rPr>
        <w:t>restrictions</w:t>
      </w:r>
      <w:r w:rsidR="00E25556" w:rsidRPr="00AD32FF">
        <w:rPr>
          <w:rFonts w:ascii="Verdana" w:hAnsi="Verdana"/>
          <w:color w:val="000000"/>
          <w:sz w:val="22"/>
          <w:szCs w:val="22"/>
        </w:rPr>
        <w:t xml:space="preserve">. </w:t>
      </w:r>
      <w:r w:rsidR="007B7EE9" w:rsidRPr="00AD32FF">
        <w:rPr>
          <w:rFonts w:ascii="Verdana" w:hAnsi="Verdana"/>
          <w:color w:val="000000"/>
          <w:sz w:val="22"/>
          <w:szCs w:val="22"/>
        </w:rPr>
        <w:t xml:space="preserve">In the absence of </w:t>
      </w:r>
      <w:r w:rsidRPr="00AD32FF">
        <w:rPr>
          <w:rFonts w:ascii="Verdana" w:hAnsi="Verdana"/>
          <w:color w:val="000000"/>
          <w:sz w:val="22"/>
          <w:szCs w:val="22"/>
        </w:rPr>
        <w:t>demographic data on students attending private providers</w:t>
      </w:r>
      <w:r w:rsidR="007B7EE9" w:rsidRPr="00AD32FF">
        <w:rPr>
          <w:rFonts w:ascii="Verdana" w:hAnsi="Verdana"/>
          <w:color w:val="000000"/>
          <w:sz w:val="22"/>
          <w:szCs w:val="22"/>
        </w:rPr>
        <w:t xml:space="preserve">, we </w:t>
      </w:r>
      <w:r w:rsidRPr="00AD32FF">
        <w:rPr>
          <w:rFonts w:ascii="Verdana" w:hAnsi="Verdana"/>
          <w:color w:val="000000"/>
          <w:sz w:val="22"/>
          <w:szCs w:val="22"/>
        </w:rPr>
        <w:t xml:space="preserve">cannot assess their ability to widen rather than increase access.  </w:t>
      </w:r>
    </w:p>
    <w:p w:rsidR="00393C8B" w:rsidRPr="00AD32FF" w:rsidRDefault="00D568E3"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So b</w:t>
      </w:r>
      <w:r w:rsidR="005A58B7" w:rsidRPr="00AD32FF">
        <w:rPr>
          <w:rFonts w:ascii="Verdana" w:hAnsi="Verdana"/>
          <w:color w:val="000000"/>
          <w:sz w:val="22"/>
          <w:szCs w:val="22"/>
        </w:rPr>
        <w:t>ecause of</w:t>
      </w:r>
      <w:r w:rsidR="007B7EE9" w:rsidRPr="00AD32FF">
        <w:rPr>
          <w:rFonts w:ascii="Verdana" w:hAnsi="Verdana"/>
          <w:color w:val="000000"/>
          <w:sz w:val="22"/>
          <w:szCs w:val="22"/>
        </w:rPr>
        <w:t xml:space="preserve"> likely policy changes in England, </w:t>
      </w:r>
      <w:r w:rsidR="00632DCD" w:rsidRPr="00AD32FF">
        <w:rPr>
          <w:rFonts w:ascii="Verdana" w:hAnsi="Verdana"/>
          <w:color w:val="000000"/>
          <w:sz w:val="22"/>
          <w:szCs w:val="22"/>
        </w:rPr>
        <w:t xml:space="preserve">private and for-profit providers in the UK </w:t>
      </w:r>
      <w:r w:rsidR="005A58B7" w:rsidRPr="00AD32FF">
        <w:rPr>
          <w:rFonts w:ascii="Verdana" w:hAnsi="Verdana"/>
          <w:color w:val="000000"/>
          <w:sz w:val="22"/>
          <w:szCs w:val="22"/>
        </w:rPr>
        <w:t>may</w:t>
      </w:r>
      <w:r w:rsidR="007B7EE9" w:rsidRPr="00AD32FF">
        <w:rPr>
          <w:rFonts w:ascii="Verdana" w:hAnsi="Verdana"/>
          <w:color w:val="000000"/>
          <w:sz w:val="22"/>
          <w:szCs w:val="22"/>
        </w:rPr>
        <w:t xml:space="preserve"> become ‘</w:t>
      </w:r>
      <w:r w:rsidR="00632DCD" w:rsidRPr="00AD32FF">
        <w:rPr>
          <w:rFonts w:ascii="Verdana" w:hAnsi="Verdana"/>
          <w:color w:val="000000"/>
          <w:sz w:val="22"/>
          <w:szCs w:val="22"/>
        </w:rPr>
        <w:t>demand absorbing</w:t>
      </w:r>
      <w:r w:rsidR="007B7EE9" w:rsidRPr="00AD32FF">
        <w:rPr>
          <w:rFonts w:ascii="Verdana" w:hAnsi="Verdana"/>
          <w:color w:val="000000"/>
          <w:sz w:val="22"/>
          <w:szCs w:val="22"/>
        </w:rPr>
        <w:t xml:space="preserve">’ </w:t>
      </w:r>
      <w:r w:rsidR="00632DCD" w:rsidRPr="00AD32FF">
        <w:rPr>
          <w:rFonts w:ascii="Verdana" w:hAnsi="Verdana"/>
          <w:color w:val="000000"/>
          <w:sz w:val="22"/>
          <w:szCs w:val="22"/>
        </w:rPr>
        <w:t>over the next five years</w:t>
      </w:r>
      <w:r w:rsidR="007B7EE9" w:rsidRPr="00AD32FF">
        <w:rPr>
          <w:rFonts w:ascii="Verdana" w:hAnsi="Verdana"/>
          <w:color w:val="000000"/>
          <w:sz w:val="22"/>
          <w:szCs w:val="22"/>
        </w:rPr>
        <w:t>.</w:t>
      </w:r>
      <w:r w:rsidR="00632DCD" w:rsidRPr="00AD32FF">
        <w:rPr>
          <w:rFonts w:ascii="Verdana" w:hAnsi="Verdana"/>
          <w:color w:val="000000"/>
          <w:sz w:val="22"/>
          <w:szCs w:val="22"/>
        </w:rPr>
        <w:t xml:space="preserve">  </w:t>
      </w:r>
      <w:r w:rsidR="00884EF2" w:rsidRPr="00AD32FF">
        <w:rPr>
          <w:rFonts w:ascii="Verdana" w:hAnsi="Verdana"/>
          <w:color w:val="000000"/>
          <w:sz w:val="22"/>
          <w:szCs w:val="22"/>
        </w:rPr>
        <w:t xml:space="preserve">This alone is unlikely significantly to widen choice because </w:t>
      </w:r>
      <w:r w:rsidR="00630381" w:rsidRPr="00AD32FF">
        <w:rPr>
          <w:rFonts w:ascii="Verdana" w:hAnsi="Verdana"/>
          <w:color w:val="000000"/>
          <w:sz w:val="22"/>
          <w:szCs w:val="22"/>
        </w:rPr>
        <w:t xml:space="preserve">wide </w:t>
      </w:r>
      <w:r w:rsidR="00884EF2" w:rsidRPr="00AD32FF">
        <w:rPr>
          <w:rFonts w:ascii="Verdana" w:hAnsi="Verdana"/>
          <w:color w:val="000000"/>
          <w:sz w:val="22"/>
          <w:szCs w:val="22"/>
        </w:rPr>
        <w:t>choice already exists</w:t>
      </w:r>
      <w:r w:rsidR="00632DCD" w:rsidRPr="00AD32FF">
        <w:rPr>
          <w:rFonts w:ascii="Verdana" w:hAnsi="Verdana"/>
          <w:color w:val="000000"/>
          <w:sz w:val="22"/>
          <w:szCs w:val="22"/>
        </w:rPr>
        <w:t xml:space="preserve"> in access routes, accessibility of provision and </w:t>
      </w:r>
      <w:r w:rsidR="008227EF" w:rsidRPr="00AD32FF">
        <w:rPr>
          <w:rFonts w:ascii="Verdana" w:hAnsi="Verdana"/>
          <w:color w:val="000000"/>
          <w:sz w:val="22"/>
          <w:szCs w:val="22"/>
        </w:rPr>
        <w:t xml:space="preserve">range </w:t>
      </w:r>
      <w:r w:rsidR="00632DCD" w:rsidRPr="00AD32FF">
        <w:rPr>
          <w:rFonts w:ascii="Verdana" w:hAnsi="Verdana"/>
          <w:color w:val="000000"/>
          <w:sz w:val="22"/>
          <w:szCs w:val="22"/>
        </w:rPr>
        <w:t xml:space="preserve">of programmes.  </w:t>
      </w:r>
      <w:r w:rsidR="00E25556" w:rsidRPr="00AD32FF">
        <w:rPr>
          <w:rFonts w:ascii="Verdana" w:hAnsi="Verdana"/>
          <w:color w:val="000000"/>
          <w:sz w:val="22"/>
          <w:szCs w:val="22"/>
        </w:rPr>
        <w:t xml:space="preserve">The </w:t>
      </w:r>
      <w:r w:rsidR="00630381" w:rsidRPr="00AD32FF">
        <w:rPr>
          <w:rFonts w:ascii="Verdana" w:hAnsi="Verdana"/>
          <w:color w:val="000000"/>
          <w:sz w:val="22"/>
          <w:szCs w:val="22"/>
        </w:rPr>
        <w:t xml:space="preserve">likely </w:t>
      </w:r>
      <w:r w:rsidR="00E25556" w:rsidRPr="00AD32FF">
        <w:rPr>
          <w:rFonts w:ascii="Verdana" w:hAnsi="Verdana"/>
          <w:color w:val="000000"/>
          <w:sz w:val="22"/>
          <w:szCs w:val="22"/>
        </w:rPr>
        <w:t xml:space="preserve">area </w:t>
      </w:r>
      <w:r w:rsidR="00630381" w:rsidRPr="00AD32FF">
        <w:rPr>
          <w:rFonts w:ascii="Verdana" w:hAnsi="Verdana"/>
          <w:color w:val="000000"/>
          <w:sz w:val="22"/>
          <w:szCs w:val="22"/>
        </w:rPr>
        <w:t xml:space="preserve">for widening choice </w:t>
      </w:r>
      <w:r w:rsidR="00632DCD" w:rsidRPr="00AD32FF">
        <w:rPr>
          <w:rFonts w:ascii="Verdana" w:hAnsi="Verdana"/>
          <w:color w:val="000000"/>
          <w:sz w:val="22"/>
          <w:szCs w:val="22"/>
        </w:rPr>
        <w:t>is in flexibility of study times and approaches.  Private providers typically offer multiple entry points in a year, quicker routes to qualification and choices of study mode; they may also offer smaller class</w:t>
      </w:r>
      <w:r w:rsidR="0006446A" w:rsidRPr="00AD32FF">
        <w:rPr>
          <w:rFonts w:ascii="Verdana" w:hAnsi="Verdana"/>
          <w:color w:val="000000"/>
          <w:sz w:val="22"/>
          <w:szCs w:val="22"/>
        </w:rPr>
        <w:t xml:space="preserve"> </w:t>
      </w:r>
      <w:r w:rsidR="00632DCD" w:rsidRPr="00AD32FF">
        <w:rPr>
          <w:rFonts w:ascii="Verdana" w:hAnsi="Verdana"/>
          <w:color w:val="000000"/>
          <w:sz w:val="22"/>
          <w:szCs w:val="22"/>
        </w:rPr>
        <w:t>sizes and focused attention on student needs and</w:t>
      </w:r>
      <w:r w:rsidR="00630381" w:rsidRPr="00AD32FF">
        <w:rPr>
          <w:rFonts w:ascii="Verdana" w:hAnsi="Verdana"/>
          <w:color w:val="000000"/>
          <w:sz w:val="22"/>
          <w:szCs w:val="22"/>
        </w:rPr>
        <w:t xml:space="preserve"> employability.  S</w:t>
      </w:r>
      <w:r w:rsidR="00632DCD" w:rsidRPr="00AD32FF">
        <w:rPr>
          <w:rFonts w:ascii="Verdana" w:hAnsi="Verdana"/>
          <w:color w:val="000000"/>
          <w:sz w:val="22"/>
          <w:szCs w:val="22"/>
        </w:rPr>
        <w:t xml:space="preserve">tudents will </w:t>
      </w:r>
      <w:r w:rsidR="00630381" w:rsidRPr="00AD32FF">
        <w:rPr>
          <w:rFonts w:ascii="Verdana" w:hAnsi="Verdana"/>
          <w:color w:val="000000"/>
          <w:sz w:val="22"/>
          <w:szCs w:val="22"/>
        </w:rPr>
        <w:t xml:space="preserve">therefore </w:t>
      </w:r>
      <w:r w:rsidR="00632DCD" w:rsidRPr="00AD32FF">
        <w:rPr>
          <w:rFonts w:ascii="Verdana" w:hAnsi="Verdana"/>
          <w:color w:val="000000"/>
          <w:sz w:val="22"/>
          <w:szCs w:val="22"/>
        </w:rPr>
        <w:t xml:space="preserve">have </w:t>
      </w:r>
      <w:r w:rsidR="00630381" w:rsidRPr="00AD32FF">
        <w:rPr>
          <w:rFonts w:ascii="Verdana" w:hAnsi="Verdana"/>
          <w:color w:val="000000"/>
          <w:sz w:val="22"/>
          <w:szCs w:val="22"/>
        </w:rPr>
        <w:t xml:space="preserve">choices </w:t>
      </w:r>
      <w:r w:rsidR="00632DCD" w:rsidRPr="00AD32FF">
        <w:rPr>
          <w:rFonts w:ascii="Verdana" w:hAnsi="Verdana"/>
          <w:color w:val="000000"/>
          <w:sz w:val="22"/>
          <w:szCs w:val="22"/>
        </w:rPr>
        <w:t>to fit their motivations and personal circumstances.  Further regulatory changes may enhance this picture</w:t>
      </w:r>
      <w:r w:rsidR="00884EF2" w:rsidRPr="00AD32FF">
        <w:rPr>
          <w:rFonts w:ascii="Verdana" w:hAnsi="Verdana"/>
          <w:color w:val="000000"/>
          <w:sz w:val="22"/>
          <w:szCs w:val="22"/>
        </w:rPr>
        <w:t xml:space="preserve"> with the implication </w:t>
      </w:r>
      <w:r w:rsidR="00632DCD" w:rsidRPr="00AD32FF">
        <w:rPr>
          <w:rFonts w:ascii="Verdana" w:hAnsi="Verdana"/>
          <w:color w:val="000000"/>
          <w:sz w:val="22"/>
          <w:szCs w:val="22"/>
        </w:rPr>
        <w:t xml:space="preserve">that some UK/EU </w:t>
      </w:r>
      <w:r w:rsidRPr="00AD32FF">
        <w:rPr>
          <w:rFonts w:ascii="Verdana" w:hAnsi="Verdana"/>
          <w:color w:val="000000"/>
          <w:sz w:val="22"/>
          <w:szCs w:val="22"/>
        </w:rPr>
        <w:t xml:space="preserve">undergraduate </w:t>
      </w:r>
      <w:r w:rsidR="00632DCD" w:rsidRPr="00AD32FF">
        <w:rPr>
          <w:rFonts w:ascii="Verdana" w:hAnsi="Verdana"/>
          <w:color w:val="000000"/>
          <w:sz w:val="22"/>
          <w:szCs w:val="22"/>
        </w:rPr>
        <w:t xml:space="preserve">students who would otherwise </w:t>
      </w:r>
      <w:r w:rsidR="00630381" w:rsidRPr="00AD32FF">
        <w:rPr>
          <w:rFonts w:ascii="Verdana" w:hAnsi="Verdana"/>
          <w:color w:val="000000"/>
          <w:sz w:val="22"/>
          <w:szCs w:val="22"/>
        </w:rPr>
        <w:t xml:space="preserve">choose </w:t>
      </w:r>
      <w:r w:rsidR="00632DCD" w:rsidRPr="00AD32FF">
        <w:rPr>
          <w:rFonts w:ascii="Verdana" w:hAnsi="Verdana"/>
          <w:color w:val="000000"/>
          <w:sz w:val="22"/>
          <w:szCs w:val="22"/>
        </w:rPr>
        <w:t>publicly funded institutions will now go to private ones. The impact</w:t>
      </w:r>
      <w:r w:rsidR="00630381" w:rsidRPr="00AD32FF">
        <w:rPr>
          <w:rFonts w:ascii="Verdana" w:hAnsi="Verdana"/>
          <w:color w:val="000000"/>
          <w:sz w:val="22"/>
          <w:szCs w:val="22"/>
        </w:rPr>
        <w:t xml:space="preserve">, however, </w:t>
      </w:r>
      <w:r w:rsidR="00632DCD" w:rsidRPr="00AD32FF">
        <w:rPr>
          <w:rFonts w:ascii="Verdana" w:hAnsi="Verdana"/>
          <w:color w:val="000000"/>
          <w:sz w:val="22"/>
          <w:szCs w:val="22"/>
        </w:rPr>
        <w:t xml:space="preserve">is unlikely to be as </w:t>
      </w:r>
      <w:r w:rsidRPr="00AD32FF">
        <w:rPr>
          <w:rFonts w:ascii="Verdana" w:hAnsi="Verdana"/>
          <w:color w:val="000000"/>
          <w:sz w:val="22"/>
          <w:szCs w:val="22"/>
        </w:rPr>
        <w:t xml:space="preserve">great </w:t>
      </w:r>
      <w:r w:rsidR="00632DCD" w:rsidRPr="00AD32FF">
        <w:rPr>
          <w:rFonts w:ascii="Verdana" w:hAnsi="Verdana"/>
          <w:color w:val="000000"/>
          <w:sz w:val="22"/>
          <w:szCs w:val="22"/>
        </w:rPr>
        <w:t>as in postgraduate legal education where the two private providers (</w:t>
      </w:r>
      <w:smartTag w:uri="urn:schemas-microsoft-com:office:smarttags" w:element="stockticker">
        <w:r w:rsidR="00632DCD" w:rsidRPr="00AD32FF">
          <w:rPr>
            <w:rFonts w:ascii="Verdana" w:hAnsi="Verdana"/>
            <w:color w:val="000000"/>
            <w:sz w:val="22"/>
            <w:szCs w:val="22"/>
          </w:rPr>
          <w:t>BPP</w:t>
        </w:r>
      </w:smartTag>
      <w:r w:rsidR="00632DCD" w:rsidRPr="00AD32FF">
        <w:rPr>
          <w:rFonts w:ascii="Verdana" w:hAnsi="Verdana"/>
          <w:color w:val="000000"/>
          <w:sz w:val="22"/>
          <w:szCs w:val="22"/>
        </w:rPr>
        <w:t xml:space="preserve"> and the College of Law) have made major inroads into the student numbers of publicly funded institutions.</w:t>
      </w:r>
    </w:p>
    <w:p w:rsidR="00393C8B" w:rsidRPr="00AD32FF" w:rsidRDefault="00DD03DF" w:rsidP="009F5E90">
      <w:pPr>
        <w:spacing w:before="120" w:line="300" w:lineRule="atLeast"/>
        <w:ind w:right="332"/>
        <w:rPr>
          <w:rFonts w:ascii="Verdana" w:hAnsi="Verdana"/>
          <w:color w:val="000000"/>
          <w:sz w:val="22"/>
          <w:szCs w:val="22"/>
        </w:rPr>
      </w:pPr>
      <w:r w:rsidRPr="00AD32FF">
        <w:rPr>
          <w:rFonts w:ascii="Verdana" w:hAnsi="Verdana"/>
          <w:i/>
          <w:color w:val="000000"/>
          <w:sz w:val="22"/>
          <w:szCs w:val="22"/>
        </w:rPr>
        <w:t>I</w:t>
      </w:r>
      <w:r w:rsidR="00632DCD" w:rsidRPr="00AD32FF">
        <w:rPr>
          <w:rFonts w:ascii="Verdana" w:hAnsi="Verdana"/>
          <w:i/>
          <w:color w:val="000000"/>
          <w:sz w:val="22"/>
          <w:szCs w:val="22"/>
        </w:rPr>
        <w:t>s the playing field leve</w:t>
      </w:r>
      <w:r w:rsidRPr="00AD32FF">
        <w:rPr>
          <w:rFonts w:ascii="Verdana" w:hAnsi="Verdana"/>
          <w:i/>
          <w:color w:val="000000"/>
          <w:sz w:val="22"/>
          <w:szCs w:val="22"/>
        </w:rPr>
        <w:t>l with regard to the State’s relationship with private and publicly funded providers</w:t>
      </w:r>
      <w:r w:rsidR="00632DCD" w:rsidRPr="00AD32FF">
        <w:rPr>
          <w:rFonts w:ascii="Verdana" w:hAnsi="Verdana"/>
          <w:i/>
          <w:color w:val="000000"/>
          <w:sz w:val="22"/>
          <w:szCs w:val="22"/>
        </w:rPr>
        <w:t>?</w:t>
      </w:r>
    </w:p>
    <w:p w:rsidR="00632DCD" w:rsidRPr="00AD32FF" w:rsidRDefault="00632DCD" w:rsidP="0022245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In the UK, many private sector partners of traditional universities are able to access public resources such as </w:t>
      </w:r>
      <w:r w:rsidR="009F5E90" w:rsidRPr="00AD32FF">
        <w:rPr>
          <w:rFonts w:ascii="Verdana" w:hAnsi="Verdana"/>
          <w:color w:val="000000"/>
          <w:sz w:val="22"/>
          <w:szCs w:val="22"/>
        </w:rPr>
        <w:t>the national IT and library infrastructure</w:t>
      </w:r>
      <w:r w:rsidRPr="00AD32FF">
        <w:rPr>
          <w:rFonts w:ascii="Verdana" w:hAnsi="Verdana"/>
          <w:color w:val="000000"/>
          <w:sz w:val="22"/>
          <w:szCs w:val="22"/>
        </w:rPr>
        <w:t>.  However, some university partners block such access</w:t>
      </w:r>
      <w:r w:rsidR="009F5E90" w:rsidRPr="00AD32FF">
        <w:rPr>
          <w:rFonts w:ascii="Verdana" w:hAnsi="Verdana"/>
          <w:color w:val="000000"/>
          <w:sz w:val="22"/>
          <w:szCs w:val="22"/>
        </w:rPr>
        <w:t xml:space="preserve">, complaining </w:t>
      </w:r>
      <w:r w:rsidRPr="00AD32FF">
        <w:rPr>
          <w:rFonts w:ascii="Verdana" w:hAnsi="Verdana"/>
          <w:color w:val="000000"/>
          <w:sz w:val="22"/>
          <w:szCs w:val="22"/>
        </w:rPr>
        <w:t xml:space="preserve">about their </w:t>
      </w:r>
      <w:r w:rsidR="004B01E0" w:rsidRPr="00AD32FF">
        <w:rPr>
          <w:rFonts w:ascii="Verdana" w:hAnsi="Verdana"/>
          <w:color w:val="000000"/>
          <w:sz w:val="22"/>
          <w:szCs w:val="22"/>
        </w:rPr>
        <w:t xml:space="preserve">partner’s </w:t>
      </w:r>
      <w:r w:rsidRPr="00AD32FF">
        <w:rPr>
          <w:rFonts w:ascii="Verdana" w:hAnsi="Verdana"/>
          <w:color w:val="000000"/>
          <w:sz w:val="22"/>
          <w:szCs w:val="22"/>
        </w:rPr>
        <w:t>reliance on the</w:t>
      </w:r>
      <w:r w:rsidR="004B01E0" w:rsidRPr="00AD32FF">
        <w:rPr>
          <w:rFonts w:ascii="Verdana" w:hAnsi="Verdana"/>
          <w:color w:val="000000"/>
          <w:sz w:val="22"/>
          <w:szCs w:val="22"/>
        </w:rPr>
        <w:t xml:space="preserve"> university’s</w:t>
      </w:r>
      <w:r w:rsidRPr="00AD32FF">
        <w:rPr>
          <w:rFonts w:ascii="Verdana" w:hAnsi="Verdana"/>
          <w:color w:val="000000"/>
          <w:sz w:val="22"/>
          <w:szCs w:val="22"/>
        </w:rPr>
        <w:t xml:space="preserve"> facilities and resources, arguing that they have paid nothing towards these services</w:t>
      </w:r>
      <w:r w:rsidR="009F5E90" w:rsidRPr="00AD32FF">
        <w:rPr>
          <w:rFonts w:ascii="Verdana" w:hAnsi="Verdana"/>
          <w:color w:val="000000"/>
          <w:sz w:val="22"/>
          <w:szCs w:val="22"/>
        </w:rPr>
        <w:t xml:space="preserve"> and are ‘free-wheeling’</w:t>
      </w:r>
      <w:r w:rsidR="008227EF" w:rsidRPr="00AD32FF">
        <w:rPr>
          <w:rFonts w:ascii="Verdana" w:hAnsi="Verdana"/>
          <w:color w:val="000000"/>
          <w:sz w:val="22"/>
          <w:szCs w:val="22"/>
        </w:rPr>
        <w:t>.</w:t>
      </w:r>
      <w:r w:rsidR="009F5E90" w:rsidRPr="00AD32FF">
        <w:rPr>
          <w:rFonts w:ascii="Verdana" w:hAnsi="Verdana"/>
          <w:color w:val="000000"/>
          <w:sz w:val="22"/>
          <w:szCs w:val="22"/>
        </w:rPr>
        <w:t xml:space="preserve"> In contrast, private </w:t>
      </w:r>
      <w:r w:rsidRPr="00AD32FF">
        <w:rPr>
          <w:rFonts w:ascii="Verdana" w:hAnsi="Verdana"/>
          <w:color w:val="000000"/>
          <w:sz w:val="22"/>
          <w:szCs w:val="22"/>
        </w:rPr>
        <w:t xml:space="preserve">providers argue for access to shared services and student loans on the same basis as </w:t>
      </w:r>
      <w:r w:rsidR="00222453" w:rsidRPr="00AD32FF">
        <w:rPr>
          <w:rFonts w:ascii="Verdana" w:hAnsi="Verdana"/>
          <w:color w:val="000000"/>
          <w:sz w:val="22"/>
          <w:szCs w:val="22"/>
        </w:rPr>
        <w:t>others</w:t>
      </w:r>
      <w:r w:rsidR="00D568E3" w:rsidRPr="00AD32FF">
        <w:rPr>
          <w:rFonts w:ascii="Verdana" w:hAnsi="Verdana"/>
          <w:color w:val="000000"/>
          <w:sz w:val="22"/>
          <w:szCs w:val="22"/>
        </w:rPr>
        <w:t>, arguing that the interests of students should be</w:t>
      </w:r>
      <w:r w:rsidR="00222453" w:rsidRPr="00AD32FF">
        <w:rPr>
          <w:rFonts w:ascii="Verdana" w:hAnsi="Verdana"/>
          <w:color w:val="000000"/>
          <w:sz w:val="22"/>
          <w:szCs w:val="22"/>
        </w:rPr>
        <w:t xml:space="preserve"> paramount</w:t>
      </w:r>
      <w:r w:rsidRPr="00AD32FF">
        <w:rPr>
          <w:rFonts w:ascii="Verdana" w:hAnsi="Verdana"/>
          <w:color w:val="000000"/>
          <w:sz w:val="22"/>
          <w:szCs w:val="22"/>
        </w:rPr>
        <w:t>.</w:t>
      </w:r>
    </w:p>
    <w:p w:rsidR="009F5E90" w:rsidRPr="00AD32FF" w:rsidRDefault="00D568E3" w:rsidP="009F5E90">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On the other hand</w:t>
      </w:r>
      <w:proofErr w:type="gramStart"/>
      <w:r w:rsidRPr="00AD32FF">
        <w:rPr>
          <w:rFonts w:ascii="Verdana" w:hAnsi="Verdana"/>
          <w:color w:val="000000"/>
          <w:sz w:val="22"/>
          <w:szCs w:val="22"/>
        </w:rPr>
        <w:t>,</w:t>
      </w:r>
      <w:r w:rsidR="00630381" w:rsidRPr="00AD32FF">
        <w:rPr>
          <w:rFonts w:ascii="Verdana" w:hAnsi="Verdana"/>
          <w:color w:val="000000"/>
          <w:sz w:val="22"/>
          <w:szCs w:val="22"/>
        </w:rPr>
        <w:t>,</w:t>
      </w:r>
      <w:proofErr w:type="gramEnd"/>
      <w:r w:rsidR="009F5E90" w:rsidRPr="00AD32FF">
        <w:rPr>
          <w:rFonts w:ascii="Verdana" w:hAnsi="Verdana"/>
          <w:color w:val="000000"/>
          <w:sz w:val="22"/>
          <w:szCs w:val="22"/>
        </w:rPr>
        <w:t xml:space="preserve"> in many </w:t>
      </w:r>
      <w:r w:rsidR="00630381" w:rsidRPr="00AD32FF">
        <w:rPr>
          <w:rFonts w:ascii="Verdana" w:hAnsi="Verdana"/>
          <w:color w:val="000000"/>
          <w:sz w:val="22"/>
          <w:szCs w:val="22"/>
        </w:rPr>
        <w:t xml:space="preserve">areas, </w:t>
      </w:r>
      <w:r w:rsidR="009F5E90" w:rsidRPr="00AD32FF">
        <w:rPr>
          <w:rFonts w:ascii="Verdana" w:hAnsi="Verdana"/>
          <w:color w:val="000000"/>
          <w:sz w:val="22"/>
          <w:szCs w:val="22"/>
        </w:rPr>
        <w:t xml:space="preserve">the playing field is </w:t>
      </w:r>
      <w:r w:rsidR="00632DCD" w:rsidRPr="00AD32FF">
        <w:rPr>
          <w:rFonts w:ascii="Verdana" w:hAnsi="Verdana"/>
          <w:color w:val="000000"/>
          <w:sz w:val="22"/>
          <w:szCs w:val="22"/>
        </w:rPr>
        <w:t>not level at present, with different restrictions and opportunities applying</w:t>
      </w:r>
      <w:r w:rsidR="008227EF" w:rsidRPr="00AD32FF">
        <w:rPr>
          <w:rFonts w:ascii="Verdana" w:hAnsi="Verdana"/>
          <w:color w:val="000000"/>
          <w:sz w:val="22"/>
          <w:szCs w:val="22"/>
        </w:rPr>
        <w:t>.</w:t>
      </w:r>
      <w:r w:rsidR="00632DCD" w:rsidRPr="00AD32FF">
        <w:rPr>
          <w:rFonts w:ascii="Verdana" w:hAnsi="Verdana"/>
          <w:color w:val="000000"/>
          <w:sz w:val="22"/>
          <w:szCs w:val="22"/>
        </w:rPr>
        <w:t xml:space="preserve">  Private providers do not have access to Funding Council grants</w:t>
      </w:r>
      <w:r w:rsidR="009F5E90" w:rsidRPr="00AD32FF">
        <w:rPr>
          <w:rFonts w:ascii="Verdana" w:hAnsi="Verdana"/>
          <w:color w:val="000000"/>
          <w:sz w:val="22"/>
          <w:szCs w:val="22"/>
        </w:rPr>
        <w:t xml:space="preserve"> and their students do not generally have access to public loans and grants.  This contrasts with some other countries where students in recognis</w:t>
      </w:r>
      <w:r w:rsidR="00630381" w:rsidRPr="00AD32FF">
        <w:rPr>
          <w:rFonts w:ascii="Verdana" w:hAnsi="Verdana"/>
          <w:color w:val="000000"/>
          <w:sz w:val="22"/>
          <w:szCs w:val="22"/>
        </w:rPr>
        <w:t xml:space="preserve">ed and accredited institutions </w:t>
      </w:r>
      <w:r w:rsidR="009F5E90" w:rsidRPr="00AD32FF">
        <w:rPr>
          <w:rFonts w:ascii="Verdana" w:hAnsi="Verdana"/>
          <w:color w:val="000000"/>
          <w:sz w:val="22"/>
          <w:szCs w:val="22"/>
        </w:rPr>
        <w:t xml:space="preserve">receive state support. </w:t>
      </w:r>
      <w:r w:rsidR="00630381" w:rsidRPr="00AD32FF">
        <w:rPr>
          <w:rFonts w:ascii="Verdana" w:hAnsi="Verdana"/>
          <w:color w:val="000000"/>
          <w:sz w:val="22"/>
          <w:szCs w:val="22"/>
        </w:rPr>
        <w:t xml:space="preserve">Private providers </w:t>
      </w:r>
      <w:r w:rsidR="009F5E90" w:rsidRPr="00AD32FF">
        <w:rPr>
          <w:rFonts w:ascii="Verdana" w:hAnsi="Verdana"/>
          <w:color w:val="000000"/>
          <w:sz w:val="22"/>
          <w:szCs w:val="22"/>
        </w:rPr>
        <w:t xml:space="preserve">are </w:t>
      </w:r>
      <w:r w:rsidR="00630381" w:rsidRPr="00AD32FF">
        <w:rPr>
          <w:rFonts w:ascii="Verdana" w:hAnsi="Verdana"/>
          <w:color w:val="000000"/>
          <w:sz w:val="22"/>
          <w:szCs w:val="22"/>
        </w:rPr>
        <w:t xml:space="preserve">not </w:t>
      </w:r>
      <w:r w:rsidR="00632DCD" w:rsidRPr="00AD32FF">
        <w:rPr>
          <w:rFonts w:ascii="Verdana" w:hAnsi="Verdana"/>
          <w:color w:val="000000"/>
          <w:sz w:val="22"/>
          <w:szCs w:val="22"/>
        </w:rPr>
        <w:t xml:space="preserve">subject to </w:t>
      </w:r>
      <w:r w:rsidR="001E02AC" w:rsidRPr="00AD32FF">
        <w:rPr>
          <w:rFonts w:ascii="Verdana" w:hAnsi="Verdana"/>
          <w:color w:val="000000"/>
          <w:sz w:val="22"/>
          <w:szCs w:val="22"/>
        </w:rPr>
        <w:t xml:space="preserve">the </w:t>
      </w:r>
      <w:r w:rsidR="00632DCD" w:rsidRPr="00AD32FF">
        <w:rPr>
          <w:rFonts w:ascii="Verdana" w:hAnsi="Verdana"/>
          <w:color w:val="000000"/>
          <w:sz w:val="22"/>
          <w:szCs w:val="22"/>
        </w:rPr>
        <w:t xml:space="preserve">oversight and accountability requirements associated with receipt of </w:t>
      </w:r>
      <w:r w:rsidR="009F5E90" w:rsidRPr="00AD32FF">
        <w:rPr>
          <w:rFonts w:ascii="Verdana" w:hAnsi="Verdana"/>
          <w:color w:val="000000"/>
          <w:sz w:val="22"/>
          <w:szCs w:val="22"/>
        </w:rPr>
        <w:t xml:space="preserve">public </w:t>
      </w:r>
      <w:r w:rsidR="00632DCD" w:rsidRPr="00AD32FF">
        <w:rPr>
          <w:rFonts w:ascii="Verdana" w:hAnsi="Verdana"/>
          <w:color w:val="000000"/>
          <w:sz w:val="22"/>
          <w:szCs w:val="22"/>
        </w:rPr>
        <w:t xml:space="preserve">funds, </w:t>
      </w:r>
      <w:r w:rsidR="008227EF" w:rsidRPr="00AD32FF">
        <w:rPr>
          <w:rFonts w:ascii="Verdana" w:hAnsi="Verdana"/>
          <w:color w:val="000000"/>
          <w:sz w:val="22"/>
          <w:szCs w:val="22"/>
        </w:rPr>
        <w:t xml:space="preserve">including providing </w:t>
      </w:r>
      <w:r w:rsidR="00630381" w:rsidRPr="00AD32FF">
        <w:rPr>
          <w:rFonts w:ascii="Verdana" w:hAnsi="Verdana"/>
          <w:color w:val="000000"/>
          <w:sz w:val="22"/>
          <w:szCs w:val="22"/>
        </w:rPr>
        <w:t xml:space="preserve">public </w:t>
      </w:r>
      <w:r w:rsidR="008227EF" w:rsidRPr="00AD32FF">
        <w:rPr>
          <w:rFonts w:ascii="Verdana" w:hAnsi="Verdana"/>
          <w:color w:val="000000"/>
          <w:sz w:val="22"/>
          <w:szCs w:val="22"/>
        </w:rPr>
        <w:t>data and information including performance data.</w:t>
      </w:r>
      <w:r w:rsidR="00632DCD" w:rsidRPr="00AD32FF">
        <w:rPr>
          <w:rFonts w:ascii="Verdana" w:hAnsi="Verdana"/>
          <w:color w:val="000000"/>
          <w:sz w:val="22"/>
          <w:szCs w:val="22"/>
        </w:rPr>
        <w:t xml:space="preserve">  Traditional institutions </w:t>
      </w:r>
      <w:r w:rsidR="00630381" w:rsidRPr="00AD32FF">
        <w:rPr>
          <w:rFonts w:ascii="Verdana" w:hAnsi="Verdana"/>
          <w:color w:val="000000"/>
          <w:sz w:val="22"/>
          <w:szCs w:val="22"/>
        </w:rPr>
        <w:t xml:space="preserve">receiving </w:t>
      </w:r>
      <w:r w:rsidR="00632DCD" w:rsidRPr="00AD32FF">
        <w:rPr>
          <w:rFonts w:ascii="Verdana" w:hAnsi="Verdana"/>
          <w:color w:val="000000"/>
          <w:sz w:val="22"/>
          <w:szCs w:val="22"/>
        </w:rPr>
        <w:t>public funds have been able to build wide-ranging provision and opportunities for students, but they are also subject to policy direction on, for example, widening access and participation as p</w:t>
      </w:r>
      <w:r w:rsidR="00EA5FCE" w:rsidRPr="00AD32FF">
        <w:rPr>
          <w:rFonts w:ascii="Verdana" w:hAnsi="Verdana"/>
          <w:color w:val="000000"/>
          <w:sz w:val="22"/>
          <w:szCs w:val="22"/>
        </w:rPr>
        <w:t>art of their contract with the S</w:t>
      </w:r>
      <w:r w:rsidR="00632DCD" w:rsidRPr="00AD32FF">
        <w:rPr>
          <w:rFonts w:ascii="Verdana" w:hAnsi="Verdana"/>
          <w:color w:val="000000"/>
          <w:sz w:val="22"/>
          <w:szCs w:val="22"/>
        </w:rPr>
        <w:t xml:space="preserve">tate.  </w:t>
      </w:r>
    </w:p>
    <w:p w:rsidR="00632DCD"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 xml:space="preserve">A more relevant question for future policy is whether the playing field should be made level – or more level – and in what ways?  </w:t>
      </w:r>
      <w:r w:rsidR="009F5E90" w:rsidRPr="00AD32FF">
        <w:rPr>
          <w:rFonts w:ascii="Verdana" w:hAnsi="Verdana"/>
          <w:color w:val="000000"/>
          <w:sz w:val="22"/>
          <w:szCs w:val="22"/>
        </w:rPr>
        <w:t>Given the significant differences, there is no reason for the two sectors to be treated the same – and neither side argues this. But equally, it seems self</w:t>
      </w:r>
      <w:r w:rsidR="00630381" w:rsidRPr="00AD32FF">
        <w:rPr>
          <w:rFonts w:ascii="Verdana" w:hAnsi="Verdana"/>
          <w:color w:val="000000"/>
          <w:sz w:val="22"/>
          <w:szCs w:val="22"/>
        </w:rPr>
        <w:t>-</w:t>
      </w:r>
      <w:r w:rsidR="009F5E90" w:rsidRPr="00AD32FF">
        <w:rPr>
          <w:rFonts w:ascii="Verdana" w:hAnsi="Verdana"/>
          <w:color w:val="000000"/>
          <w:sz w:val="22"/>
          <w:szCs w:val="22"/>
        </w:rPr>
        <w:t xml:space="preserve">evident that their treatment </w:t>
      </w:r>
      <w:r w:rsidR="009F5E90" w:rsidRPr="00AD32FF">
        <w:rPr>
          <w:rFonts w:ascii="Verdana" w:hAnsi="Verdana"/>
          <w:color w:val="000000"/>
          <w:sz w:val="22"/>
          <w:szCs w:val="22"/>
        </w:rPr>
        <w:lastRenderedPageBreak/>
        <w:t xml:space="preserve">should not be inequitable </w:t>
      </w:r>
      <w:r w:rsidR="00F6566A" w:rsidRPr="00AD32FF">
        <w:rPr>
          <w:rFonts w:ascii="Verdana" w:hAnsi="Verdana"/>
          <w:color w:val="000000"/>
          <w:sz w:val="22"/>
          <w:szCs w:val="22"/>
        </w:rPr>
        <w:t>and</w:t>
      </w:r>
      <w:r w:rsidR="009F5E90" w:rsidRPr="00AD32FF">
        <w:rPr>
          <w:rFonts w:ascii="Verdana" w:hAnsi="Verdana"/>
          <w:color w:val="000000"/>
          <w:sz w:val="22"/>
          <w:szCs w:val="22"/>
        </w:rPr>
        <w:t xml:space="preserve"> unfair</w:t>
      </w:r>
      <w:r w:rsidR="00D568E3" w:rsidRPr="00AD32FF">
        <w:rPr>
          <w:rFonts w:ascii="Verdana" w:hAnsi="Verdana"/>
          <w:color w:val="000000"/>
          <w:sz w:val="22"/>
          <w:szCs w:val="22"/>
        </w:rPr>
        <w:t>, or th</w:t>
      </w:r>
      <w:r w:rsidR="00F6566A" w:rsidRPr="00AD32FF">
        <w:rPr>
          <w:rFonts w:ascii="Verdana" w:hAnsi="Verdana"/>
          <w:color w:val="000000"/>
          <w:sz w:val="22"/>
          <w:szCs w:val="22"/>
        </w:rPr>
        <w:t>at</w:t>
      </w:r>
      <w:r w:rsidR="00222453" w:rsidRPr="00AD32FF">
        <w:rPr>
          <w:rFonts w:ascii="Verdana" w:hAnsi="Verdana"/>
          <w:color w:val="000000"/>
          <w:sz w:val="22"/>
          <w:szCs w:val="22"/>
        </w:rPr>
        <w:t xml:space="preserve"> d</w:t>
      </w:r>
      <w:r w:rsidR="00D568E3" w:rsidRPr="00AD32FF">
        <w:rPr>
          <w:rFonts w:ascii="Verdana" w:hAnsi="Verdana"/>
          <w:color w:val="000000"/>
          <w:sz w:val="22"/>
          <w:szCs w:val="22"/>
        </w:rPr>
        <w:t>ifferences in their treatment should exist, for no reason</w:t>
      </w:r>
      <w:r w:rsidR="009F5E90" w:rsidRPr="00AD32FF">
        <w:rPr>
          <w:rFonts w:ascii="Verdana" w:hAnsi="Verdana"/>
          <w:color w:val="000000"/>
          <w:sz w:val="22"/>
          <w:szCs w:val="22"/>
        </w:rPr>
        <w:t xml:space="preserve">. </w:t>
      </w:r>
    </w:p>
    <w:p w:rsidR="00393C8B" w:rsidRPr="00AD32FF" w:rsidRDefault="00F31CFC"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632DCD" w:rsidRPr="00AD32FF">
        <w:rPr>
          <w:rFonts w:ascii="Verdana" w:hAnsi="Verdana"/>
          <w:color w:val="000000"/>
          <w:sz w:val="22"/>
          <w:szCs w:val="22"/>
        </w:rPr>
        <w:t xml:space="preserve">he playing field </w:t>
      </w:r>
      <w:r w:rsidRPr="00AD32FF">
        <w:rPr>
          <w:rFonts w:ascii="Verdana" w:hAnsi="Verdana"/>
          <w:color w:val="000000"/>
          <w:sz w:val="22"/>
          <w:szCs w:val="22"/>
        </w:rPr>
        <w:t>is</w:t>
      </w:r>
      <w:r w:rsidR="00632DCD" w:rsidRPr="00AD32FF">
        <w:rPr>
          <w:rFonts w:ascii="Verdana" w:hAnsi="Verdana"/>
          <w:color w:val="000000"/>
          <w:sz w:val="22"/>
          <w:szCs w:val="22"/>
        </w:rPr>
        <w:t xml:space="preserve"> considered </w:t>
      </w:r>
      <w:r w:rsidR="00151FFE" w:rsidRPr="00AD32FF">
        <w:rPr>
          <w:rFonts w:ascii="Verdana" w:hAnsi="Verdana"/>
          <w:color w:val="000000"/>
          <w:sz w:val="22"/>
          <w:szCs w:val="22"/>
        </w:rPr>
        <w:t xml:space="preserve">not to be </w:t>
      </w:r>
      <w:r w:rsidR="00632DCD" w:rsidRPr="00AD32FF">
        <w:rPr>
          <w:rFonts w:ascii="Verdana" w:hAnsi="Verdana"/>
          <w:color w:val="000000"/>
          <w:sz w:val="22"/>
          <w:szCs w:val="22"/>
        </w:rPr>
        <w:t>level in the UK</w:t>
      </w:r>
      <w:r w:rsidRPr="00AD32FF">
        <w:rPr>
          <w:rFonts w:ascii="Verdana" w:hAnsi="Verdana"/>
          <w:color w:val="000000"/>
          <w:sz w:val="22"/>
          <w:szCs w:val="22"/>
        </w:rPr>
        <w:t xml:space="preserve"> regarding</w:t>
      </w:r>
      <w:r w:rsidR="00632DCD" w:rsidRPr="00AD32FF">
        <w:rPr>
          <w:rFonts w:ascii="Verdana" w:hAnsi="Verdana"/>
          <w:color w:val="000000"/>
          <w:sz w:val="22"/>
          <w:szCs w:val="22"/>
        </w:rPr>
        <w:t>:</w:t>
      </w:r>
    </w:p>
    <w:p w:rsidR="00632DCD" w:rsidRPr="00AD32FF" w:rsidRDefault="00632DC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Access to public funding and resources</w:t>
      </w:r>
      <w:r w:rsidR="001E02AC" w:rsidRPr="00AD32FF">
        <w:rPr>
          <w:rFonts w:ascii="Verdana" w:hAnsi="Verdana"/>
          <w:color w:val="000000"/>
          <w:sz w:val="22"/>
          <w:szCs w:val="22"/>
        </w:rPr>
        <w:t>.</w:t>
      </w:r>
    </w:p>
    <w:p w:rsidR="00632DCD" w:rsidRPr="00AD32FF" w:rsidRDefault="001E02AC"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Different t</w:t>
      </w:r>
      <w:r w:rsidR="00632DCD" w:rsidRPr="00AD32FF">
        <w:rPr>
          <w:rFonts w:ascii="Verdana" w:hAnsi="Verdana"/>
          <w:color w:val="000000"/>
          <w:sz w:val="22"/>
          <w:szCs w:val="22"/>
        </w:rPr>
        <w:t>reatment with regard to Degree Awarding Powers.</w:t>
      </w:r>
    </w:p>
    <w:p w:rsidR="00632DCD" w:rsidRPr="00AD32FF" w:rsidRDefault="002B24E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Some d</w:t>
      </w:r>
      <w:r w:rsidR="00151FFE" w:rsidRPr="00AD32FF">
        <w:rPr>
          <w:rFonts w:ascii="Verdana" w:hAnsi="Verdana"/>
          <w:color w:val="000000"/>
          <w:sz w:val="22"/>
          <w:szCs w:val="22"/>
        </w:rPr>
        <w:t>ifferences</w:t>
      </w:r>
      <w:r w:rsidR="00632DCD" w:rsidRPr="00AD32FF">
        <w:rPr>
          <w:rFonts w:ascii="Verdana" w:hAnsi="Verdana"/>
          <w:color w:val="000000"/>
          <w:sz w:val="22"/>
          <w:szCs w:val="22"/>
        </w:rPr>
        <w:t xml:space="preserve"> in the </w:t>
      </w:r>
      <w:r w:rsidRPr="00AD32FF">
        <w:rPr>
          <w:rFonts w:ascii="Verdana" w:hAnsi="Verdana"/>
          <w:color w:val="000000"/>
          <w:sz w:val="22"/>
          <w:szCs w:val="22"/>
        </w:rPr>
        <w:t>processes</w:t>
      </w:r>
      <w:r w:rsidR="00632DCD" w:rsidRPr="00AD32FF">
        <w:rPr>
          <w:rFonts w:ascii="Verdana" w:hAnsi="Verdana"/>
          <w:color w:val="000000"/>
          <w:sz w:val="22"/>
          <w:szCs w:val="22"/>
        </w:rPr>
        <w:t xml:space="preserve"> used</w:t>
      </w:r>
      <w:r w:rsidR="00FB0B46" w:rsidRPr="00AD32FF">
        <w:rPr>
          <w:rFonts w:ascii="Verdana" w:hAnsi="Verdana"/>
          <w:color w:val="000000"/>
          <w:sz w:val="22"/>
          <w:szCs w:val="22"/>
        </w:rPr>
        <w:t xml:space="preserve"> </w:t>
      </w:r>
      <w:r w:rsidR="00632DCD" w:rsidRPr="00AD32FF">
        <w:rPr>
          <w:rFonts w:ascii="Verdana" w:hAnsi="Verdana"/>
          <w:color w:val="000000"/>
          <w:sz w:val="22"/>
          <w:szCs w:val="22"/>
        </w:rPr>
        <w:t>to approve private providers from those used for public applications.</w:t>
      </w:r>
      <w:r w:rsidRPr="00AD32FF">
        <w:rPr>
          <w:rStyle w:val="FootnoteReference"/>
          <w:rFonts w:ascii="Verdana" w:hAnsi="Verdana"/>
          <w:color w:val="000000"/>
          <w:sz w:val="22"/>
          <w:szCs w:val="22"/>
        </w:rPr>
        <w:footnoteReference w:id="4"/>
      </w:r>
    </w:p>
    <w:p w:rsidR="00632DCD" w:rsidRPr="00AD32FF" w:rsidRDefault="00632DC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Treatment with regard to University title</w:t>
      </w:r>
      <w:r w:rsidR="00EA5FCE" w:rsidRPr="00AD32FF">
        <w:rPr>
          <w:rFonts w:ascii="Verdana" w:hAnsi="Verdana"/>
          <w:color w:val="000000"/>
          <w:sz w:val="22"/>
          <w:szCs w:val="22"/>
        </w:rPr>
        <w:t>.</w:t>
      </w:r>
    </w:p>
    <w:p w:rsidR="00632DCD" w:rsidRPr="00AD32FF" w:rsidRDefault="00632DC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Requirements associated with widening participation</w:t>
      </w:r>
      <w:r w:rsidR="00EA5FCE" w:rsidRPr="00AD32FF">
        <w:rPr>
          <w:rFonts w:ascii="Verdana" w:hAnsi="Verdana"/>
          <w:color w:val="000000"/>
          <w:sz w:val="22"/>
          <w:szCs w:val="22"/>
        </w:rPr>
        <w:t>.</w:t>
      </w:r>
    </w:p>
    <w:p w:rsidR="00632DCD" w:rsidRPr="00AD32FF" w:rsidRDefault="00632DC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Requirements concerning data collection, public information and public reporting (finance and quality)</w:t>
      </w:r>
      <w:r w:rsidR="00EA5FCE" w:rsidRPr="00AD32FF">
        <w:rPr>
          <w:rFonts w:ascii="Verdana" w:hAnsi="Verdana"/>
          <w:color w:val="000000"/>
          <w:sz w:val="22"/>
          <w:szCs w:val="22"/>
        </w:rPr>
        <w:t>.</w:t>
      </w:r>
    </w:p>
    <w:p w:rsidR="00632DCD" w:rsidRPr="00AD32FF" w:rsidRDefault="00632DCD" w:rsidP="00F023B3">
      <w:pPr>
        <w:numPr>
          <w:ilvl w:val="0"/>
          <w:numId w:val="24"/>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UKBA </w:t>
      </w:r>
      <w:r w:rsidR="00EA5FCE" w:rsidRPr="00AD32FF">
        <w:rPr>
          <w:rFonts w:ascii="Verdana" w:hAnsi="Verdana"/>
          <w:color w:val="000000"/>
          <w:sz w:val="22"/>
          <w:szCs w:val="22"/>
        </w:rPr>
        <w:t>‘</w:t>
      </w:r>
      <w:r w:rsidRPr="00AD32FF">
        <w:rPr>
          <w:rFonts w:ascii="Verdana" w:hAnsi="Verdana"/>
          <w:color w:val="000000"/>
          <w:sz w:val="22"/>
          <w:szCs w:val="22"/>
        </w:rPr>
        <w:t>mindset</w:t>
      </w:r>
      <w:r w:rsidR="00EA5FCE" w:rsidRPr="00AD32FF">
        <w:rPr>
          <w:rFonts w:ascii="Verdana" w:hAnsi="Verdana"/>
          <w:color w:val="000000"/>
          <w:sz w:val="22"/>
          <w:szCs w:val="22"/>
        </w:rPr>
        <w:t>’</w:t>
      </w:r>
      <w:r w:rsidRPr="00AD32FF">
        <w:rPr>
          <w:rFonts w:ascii="Verdana" w:hAnsi="Verdana"/>
          <w:color w:val="000000"/>
          <w:sz w:val="22"/>
          <w:szCs w:val="22"/>
        </w:rPr>
        <w:t xml:space="preserve"> regarding automatic a</w:t>
      </w:r>
      <w:r w:rsidR="00EA5FCE" w:rsidRPr="00AD32FF">
        <w:rPr>
          <w:rFonts w:ascii="Verdana" w:hAnsi="Verdana"/>
          <w:color w:val="000000"/>
          <w:sz w:val="22"/>
          <w:szCs w:val="22"/>
        </w:rPr>
        <w:t>ward of Highly Trusted Sponsor S</w:t>
      </w:r>
      <w:r w:rsidRPr="00AD32FF">
        <w:rPr>
          <w:rFonts w:ascii="Verdana" w:hAnsi="Verdana"/>
          <w:color w:val="000000"/>
          <w:sz w:val="22"/>
          <w:szCs w:val="22"/>
        </w:rPr>
        <w:t>tatus to publicly funded institutions, while private providers have to follow a lengthy application process.</w:t>
      </w:r>
    </w:p>
    <w:p w:rsidR="00E90569" w:rsidRPr="00AD32FF" w:rsidRDefault="009F5E90"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Although there is a strong</w:t>
      </w:r>
      <w:r w:rsidR="00DD03DF" w:rsidRPr="00AD32FF">
        <w:rPr>
          <w:rFonts w:ascii="Verdana" w:hAnsi="Verdana"/>
          <w:color w:val="000000"/>
          <w:sz w:val="22"/>
          <w:szCs w:val="22"/>
        </w:rPr>
        <w:t xml:space="preserve"> argument for levelling</w:t>
      </w:r>
      <w:r w:rsidR="00151FFE" w:rsidRPr="00AD32FF">
        <w:rPr>
          <w:rFonts w:ascii="Verdana" w:hAnsi="Verdana"/>
          <w:color w:val="000000"/>
          <w:sz w:val="22"/>
          <w:szCs w:val="22"/>
        </w:rPr>
        <w:t xml:space="preserve"> the playing field </w:t>
      </w:r>
      <w:r w:rsidR="00DD03DF" w:rsidRPr="00AD32FF">
        <w:rPr>
          <w:rFonts w:ascii="Verdana" w:hAnsi="Verdana"/>
          <w:color w:val="000000"/>
          <w:sz w:val="22"/>
          <w:szCs w:val="22"/>
        </w:rPr>
        <w:t>with</w:t>
      </w:r>
      <w:r w:rsidR="00151FFE" w:rsidRPr="00AD32FF">
        <w:rPr>
          <w:rFonts w:ascii="Verdana" w:hAnsi="Verdana"/>
          <w:color w:val="000000"/>
          <w:sz w:val="22"/>
          <w:szCs w:val="22"/>
        </w:rPr>
        <w:t xml:space="preserve"> </w:t>
      </w:r>
      <w:r w:rsidR="00151FFE" w:rsidRPr="00AD32FF">
        <w:rPr>
          <w:rFonts w:ascii="Verdana" w:hAnsi="Verdana"/>
          <w:i/>
          <w:color w:val="000000"/>
          <w:sz w:val="22"/>
          <w:szCs w:val="22"/>
        </w:rPr>
        <w:t>equitable</w:t>
      </w:r>
      <w:r w:rsidR="00007767" w:rsidRPr="00AD32FF">
        <w:rPr>
          <w:rFonts w:ascii="Verdana" w:hAnsi="Verdana"/>
          <w:color w:val="000000"/>
          <w:sz w:val="22"/>
          <w:szCs w:val="22"/>
        </w:rPr>
        <w:t xml:space="preserve"> treatment, </w:t>
      </w:r>
      <w:r w:rsidR="00DD03DF" w:rsidRPr="00AD32FF">
        <w:rPr>
          <w:rFonts w:ascii="Verdana" w:hAnsi="Verdana"/>
          <w:color w:val="000000"/>
          <w:sz w:val="22"/>
          <w:szCs w:val="22"/>
        </w:rPr>
        <w:t>t</w:t>
      </w:r>
      <w:r w:rsidR="00632DCD" w:rsidRPr="00AD32FF">
        <w:rPr>
          <w:rFonts w:ascii="Verdana" w:hAnsi="Verdana"/>
          <w:color w:val="000000"/>
          <w:sz w:val="22"/>
          <w:szCs w:val="22"/>
        </w:rPr>
        <w:t>he private sector, as we have shown, is very diverse and there is every reason for a cautious approach</w:t>
      </w:r>
      <w:r w:rsidR="00DD03DF" w:rsidRPr="00AD32FF">
        <w:rPr>
          <w:rFonts w:ascii="Verdana" w:hAnsi="Verdana"/>
          <w:color w:val="000000"/>
          <w:sz w:val="22"/>
          <w:szCs w:val="22"/>
        </w:rPr>
        <w:t>.</w:t>
      </w:r>
      <w:r w:rsidR="00632DCD" w:rsidRPr="00AD32FF">
        <w:rPr>
          <w:rFonts w:ascii="Verdana" w:hAnsi="Verdana"/>
          <w:color w:val="000000"/>
          <w:sz w:val="22"/>
          <w:szCs w:val="22"/>
        </w:rPr>
        <w:t xml:space="preserve"> </w:t>
      </w:r>
      <w:r w:rsidR="00EA5FCE" w:rsidRPr="00AD32FF">
        <w:rPr>
          <w:rFonts w:ascii="Verdana" w:hAnsi="Verdana"/>
          <w:color w:val="000000"/>
          <w:sz w:val="22"/>
          <w:szCs w:val="22"/>
        </w:rPr>
        <w:t xml:space="preserve">A key concern, </w:t>
      </w:r>
      <w:r w:rsidR="00632DCD" w:rsidRPr="00AD32FF">
        <w:rPr>
          <w:rFonts w:ascii="Verdana" w:hAnsi="Verdana"/>
          <w:color w:val="000000"/>
          <w:sz w:val="22"/>
          <w:szCs w:val="22"/>
        </w:rPr>
        <w:t xml:space="preserve">as in the USA, is the existence of </w:t>
      </w:r>
      <w:r w:rsidR="00082E55" w:rsidRPr="00AD32FF">
        <w:rPr>
          <w:rFonts w:ascii="Verdana" w:hAnsi="Verdana"/>
          <w:color w:val="000000"/>
          <w:sz w:val="22"/>
          <w:szCs w:val="22"/>
        </w:rPr>
        <w:t>some</w:t>
      </w:r>
      <w:r w:rsidR="00632DCD" w:rsidRPr="00AD32FF">
        <w:rPr>
          <w:rFonts w:ascii="Verdana" w:hAnsi="Verdana"/>
          <w:color w:val="000000"/>
          <w:sz w:val="22"/>
          <w:szCs w:val="22"/>
        </w:rPr>
        <w:t xml:space="preserve"> private institutions of </w:t>
      </w:r>
      <w:r w:rsidR="00EA5FCE" w:rsidRPr="00AD32FF">
        <w:rPr>
          <w:rFonts w:ascii="Verdana" w:hAnsi="Verdana"/>
          <w:color w:val="000000"/>
          <w:sz w:val="22"/>
          <w:szCs w:val="22"/>
        </w:rPr>
        <w:t xml:space="preserve">questionable legitimacy or </w:t>
      </w:r>
      <w:r w:rsidR="00632DCD" w:rsidRPr="00AD32FF">
        <w:rPr>
          <w:rFonts w:ascii="Verdana" w:hAnsi="Verdana"/>
          <w:color w:val="000000"/>
          <w:sz w:val="22"/>
          <w:szCs w:val="22"/>
        </w:rPr>
        <w:t xml:space="preserve">very poor quality. While the purges that the UKBA and others have carried out in </w:t>
      </w:r>
      <w:r w:rsidR="00151FFE" w:rsidRPr="00AD32FF">
        <w:rPr>
          <w:rFonts w:ascii="Verdana" w:hAnsi="Verdana"/>
          <w:color w:val="000000"/>
          <w:sz w:val="22"/>
          <w:szCs w:val="22"/>
        </w:rPr>
        <w:t xml:space="preserve">2009 and </w:t>
      </w:r>
      <w:r w:rsidR="00632DCD" w:rsidRPr="00AD32FF">
        <w:rPr>
          <w:rFonts w:ascii="Verdana" w:hAnsi="Verdana"/>
          <w:color w:val="000000"/>
          <w:sz w:val="22"/>
          <w:szCs w:val="22"/>
        </w:rPr>
        <w:t xml:space="preserve">2010 have helped to protect the UK’s reputation with foreign students, they have not necessarily done anything to help UK/EU students, since they were focussed on processes for handling immigrants and ensuring their attendance. Thus, an essential preliminary to a levelling of the playing field is a clear definition of a reputable private provider and an agreed designation of acceptability. Only those institutions with this recognition </w:t>
      </w:r>
      <w:r w:rsidRPr="00AD32FF">
        <w:rPr>
          <w:rFonts w:ascii="Verdana" w:hAnsi="Verdana"/>
          <w:color w:val="000000"/>
          <w:sz w:val="22"/>
          <w:szCs w:val="22"/>
        </w:rPr>
        <w:t xml:space="preserve">should </w:t>
      </w:r>
      <w:r w:rsidR="00632DCD" w:rsidRPr="00AD32FF">
        <w:rPr>
          <w:rFonts w:ascii="Verdana" w:hAnsi="Verdana"/>
          <w:color w:val="000000"/>
          <w:sz w:val="22"/>
          <w:szCs w:val="22"/>
        </w:rPr>
        <w:t>be entitled to benefit</w:t>
      </w:r>
      <w:r w:rsidR="00151FFE" w:rsidRPr="00AD32FF">
        <w:rPr>
          <w:rFonts w:ascii="Verdana" w:hAnsi="Verdana"/>
          <w:color w:val="000000"/>
          <w:sz w:val="22"/>
          <w:szCs w:val="22"/>
        </w:rPr>
        <w:t>.</w:t>
      </w:r>
      <w:r w:rsidR="00632DCD" w:rsidRPr="00AD32FF">
        <w:rPr>
          <w:rFonts w:ascii="Verdana" w:hAnsi="Verdana"/>
          <w:color w:val="000000"/>
          <w:sz w:val="22"/>
          <w:szCs w:val="22"/>
        </w:rPr>
        <w:t xml:space="preserve"> Even then</w:t>
      </w:r>
      <w:r w:rsidR="00007767" w:rsidRPr="00AD32FF">
        <w:rPr>
          <w:rFonts w:ascii="Verdana" w:hAnsi="Verdana"/>
          <w:color w:val="000000"/>
          <w:sz w:val="22"/>
          <w:szCs w:val="22"/>
        </w:rPr>
        <w:t>,</w:t>
      </w:r>
      <w:r w:rsidR="00632DCD" w:rsidRPr="00AD32FF">
        <w:rPr>
          <w:rFonts w:ascii="Verdana" w:hAnsi="Verdana"/>
          <w:color w:val="000000"/>
          <w:sz w:val="22"/>
          <w:szCs w:val="22"/>
        </w:rPr>
        <w:t xml:space="preserve"> there </w:t>
      </w:r>
      <w:r w:rsidR="00007767" w:rsidRPr="00AD32FF">
        <w:rPr>
          <w:rFonts w:ascii="Verdana" w:hAnsi="Verdana"/>
          <w:color w:val="000000"/>
          <w:sz w:val="22"/>
          <w:szCs w:val="22"/>
        </w:rPr>
        <w:t xml:space="preserve">will be </w:t>
      </w:r>
      <w:r w:rsidR="00632DCD" w:rsidRPr="00AD32FF">
        <w:rPr>
          <w:rFonts w:ascii="Verdana" w:hAnsi="Verdana"/>
          <w:color w:val="000000"/>
          <w:sz w:val="22"/>
          <w:szCs w:val="22"/>
        </w:rPr>
        <w:t xml:space="preserve">need </w:t>
      </w:r>
      <w:r w:rsidR="00007767" w:rsidRPr="00AD32FF">
        <w:rPr>
          <w:rFonts w:ascii="Verdana" w:hAnsi="Verdana"/>
          <w:color w:val="000000"/>
          <w:sz w:val="22"/>
          <w:szCs w:val="22"/>
        </w:rPr>
        <w:t xml:space="preserve">for </w:t>
      </w:r>
      <w:r w:rsidR="00632DCD" w:rsidRPr="00AD32FF">
        <w:rPr>
          <w:rFonts w:ascii="Verdana" w:hAnsi="Verdana"/>
          <w:color w:val="000000"/>
          <w:sz w:val="22"/>
          <w:szCs w:val="22"/>
        </w:rPr>
        <w:t xml:space="preserve">regulatory and financial </w:t>
      </w:r>
      <w:r w:rsidR="00151FFE" w:rsidRPr="00AD32FF">
        <w:rPr>
          <w:rFonts w:ascii="Verdana" w:hAnsi="Verdana"/>
          <w:color w:val="000000"/>
          <w:sz w:val="22"/>
          <w:szCs w:val="22"/>
        </w:rPr>
        <w:t xml:space="preserve">expectations </w:t>
      </w:r>
      <w:r w:rsidR="00007767" w:rsidRPr="00AD32FF">
        <w:rPr>
          <w:rFonts w:ascii="Verdana" w:hAnsi="Verdana"/>
          <w:color w:val="000000"/>
          <w:sz w:val="22"/>
          <w:szCs w:val="22"/>
        </w:rPr>
        <w:t xml:space="preserve">to be </w:t>
      </w:r>
      <w:r w:rsidR="00632DCD" w:rsidRPr="00AD32FF">
        <w:rPr>
          <w:rFonts w:ascii="Verdana" w:hAnsi="Verdana"/>
          <w:color w:val="000000"/>
          <w:sz w:val="22"/>
          <w:szCs w:val="22"/>
        </w:rPr>
        <w:t>placed on private providers to balance the benefits they receive</w:t>
      </w:r>
      <w:r w:rsidR="00E90569" w:rsidRPr="00AD32FF">
        <w:rPr>
          <w:rFonts w:ascii="Verdana" w:hAnsi="Verdana"/>
          <w:color w:val="000000"/>
          <w:sz w:val="22"/>
          <w:szCs w:val="22"/>
        </w:rPr>
        <w:t xml:space="preserve"> – for example with regard to the tariffs they are charged for publicly</w:t>
      </w:r>
      <w:r w:rsidR="00007767" w:rsidRPr="00AD32FF">
        <w:rPr>
          <w:rFonts w:ascii="Verdana" w:hAnsi="Verdana"/>
          <w:color w:val="000000"/>
          <w:sz w:val="22"/>
          <w:szCs w:val="22"/>
        </w:rPr>
        <w:t>-</w:t>
      </w:r>
      <w:r w:rsidR="00E90569" w:rsidRPr="00AD32FF">
        <w:rPr>
          <w:rFonts w:ascii="Verdana" w:hAnsi="Verdana"/>
          <w:color w:val="000000"/>
          <w:sz w:val="22"/>
          <w:szCs w:val="22"/>
        </w:rPr>
        <w:t>provided services</w:t>
      </w:r>
      <w:r w:rsidR="00D568E3" w:rsidRPr="00AD32FF">
        <w:rPr>
          <w:rFonts w:ascii="Verdana" w:hAnsi="Verdana"/>
          <w:color w:val="000000"/>
          <w:sz w:val="22"/>
          <w:szCs w:val="22"/>
        </w:rPr>
        <w:t xml:space="preserve"> and the information they publish</w:t>
      </w:r>
      <w:r w:rsidR="00632DCD" w:rsidRPr="00AD32FF">
        <w:rPr>
          <w:rFonts w:ascii="Verdana" w:hAnsi="Verdana"/>
          <w:color w:val="000000"/>
          <w:sz w:val="22"/>
          <w:szCs w:val="22"/>
        </w:rPr>
        <w:t xml:space="preserve">. </w:t>
      </w:r>
    </w:p>
    <w:p w:rsidR="00393C8B" w:rsidRPr="00AD32FF" w:rsidRDefault="00E90569"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How is legitimacy to be established?  Current accreditation and approval routes do confirm legitimacy</w:t>
      </w:r>
      <w:r w:rsidR="00007767" w:rsidRPr="00AD32FF">
        <w:rPr>
          <w:rFonts w:ascii="Verdana" w:hAnsi="Verdana"/>
          <w:color w:val="000000"/>
          <w:sz w:val="22"/>
          <w:szCs w:val="22"/>
        </w:rPr>
        <w:t xml:space="preserve"> and these could be strengthened</w:t>
      </w:r>
      <w:r w:rsidRPr="00AD32FF">
        <w:rPr>
          <w:rFonts w:ascii="Verdana" w:hAnsi="Verdana"/>
          <w:color w:val="000000"/>
          <w:sz w:val="22"/>
          <w:szCs w:val="22"/>
        </w:rPr>
        <w:t xml:space="preserve">.  The requirement </w:t>
      </w:r>
      <w:r w:rsidR="006D73E3" w:rsidRPr="00AD32FF">
        <w:rPr>
          <w:rFonts w:ascii="Verdana" w:hAnsi="Verdana"/>
          <w:color w:val="000000"/>
          <w:sz w:val="22"/>
          <w:szCs w:val="22"/>
        </w:rPr>
        <w:t>for a</w:t>
      </w:r>
      <w:r w:rsidRPr="00AD32FF">
        <w:rPr>
          <w:rFonts w:ascii="Verdana" w:hAnsi="Verdana"/>
          <w:color w:val="000000"/>
          <w:sz w:val="22"/>
          <w:szCs w:val="22"/>
        </w:rPr>
        <w:t xml:space="preserve"> review within a defined period (currently six years for DAPs, for example, or ten years for institutional accreditation in the US) is also useful given the potential for changes of institutional ownership, of scale and scope of provision and financial </w:t>
      </w:r>
      <w:r w:rsidRPr="00AD32FF">
        <w:rPr>
          <w:rFonts w:ascii="Verdana" w:hAnsi="Verdana"/>
          <w:color w:val="000000"/>
          <w:sz w:val="22"/>
          <w:szCs w:val="22"/>
        </w:rPr>
        <w:lastRenderedPageBreak/>
        <w:t xml:space="preserve">position to occur - with unforeseen consequences.   This raises the question of whether all providers should be subject to such reviews.  Our answer here would not be to impose an additional review system on traditional universities, but to adapt the nature of the existing institutional review process so that there is closer alignment between this external review process and the Degree Awarding Powers’ system.  This is important because of the inclusion of governance and financial management within the </w:t>
      </w:r>
      <w:smartTag w:uri="urn:schemas-microsoft-com:office:smarttags" w:element="stockticker">
        <w:r w:rsidRPr="00AD32FF">
          <w:rPr>
            <w:rFonts w:ascii="Verdana" w:hAnsi="Verdana"/>
            <w:color w:val="000000"/>
            <w:sz w:val="22"/>
            <w:szCs w:val="22"/>
          </w:rPr>
          <w:t>DAP</w:t>
        </w:r>
      </w:smartTag>
      <w:r w:rsidRPr="00AD32FF">
        <w:rPr>
          <w:rFonts w:ascii="Verdana" w:hAnsi="Verdana"/>
          <w:color w:val="000000"/>
          <w:sz w:val="22"/>
          <w:szCs w:val="22"/>
        </w:rPr>
        <w:t>s process (something which is currently absent in quality audit reviews).   Given the changing balance between private and public funding, there is a strong case for these elements to be included in the auditing processes for all providers</w:t>
      </w:r>
      <w:r w:rsidR="005312FE" w:rsidRPr="00AD32FF">
        <w:rPr>
          <w:rFonts w:ascii="Verdana" w:hAnsi="Verdana"/>
          <w:color w:val="000000"/>
          <w:sz w:val="22"/>
          <w:szCs w:val="22"/>
        </w:rPr>
        <w:t>, including public.</w:t>
      </w:r>
    </w:p>
    <w:p w:rsidR="00393C8B"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Policy makers are in the dark at present about the size and shape of the private sector.</w:t>
      </w:r>
      <w:r w:rsidR="00E90569" w:rsidRPr="00AD32FF">
        <w:rPr>
          <w:rFonts w:ascii="Verdana" w:hAnsi="Verdana"/>
          <w:color w:val="000000"/>
          <w:sz w:val="22"/>
          <w:szCs w:val="22"/>
        </w:rPr>
        <w:t xml:space="preserve"> Distinctions </w:t>
      </w:r>
      <w:r w:rsidRPr="00AD32FF">
        <w:rPr>
          <w:rFonts w:ascii="Verdana" w:hAnsi="Verdana"/>
          <w:color w:val="000000"/>
          <w:sz w:val="22"/>
          <w:szCs w:val="22"/>
        </w:rPr>
        <w:t>between types of providers in terms of their offer and status must be</w:t>
      </w:r>
      <w:r w:rsidR="00E90569" w:rsidRPr="00AD32FF">
        <w:rPr>
          <w:rFonts w:ascii="Verdana" w:hAnsi="Verdana"/>
          <w:color w:val="000000"/>
          <w:sz w:val="22"/>
          <w:szCs w:val="22"/>
        </w:rPr>
        <w:t xml:space="preserve"> clearer and more </w:t>
      </w:r>
      <w:r w:rsidRPr="00AD32FF">
        <w:rPr>
          <w:rFonts w:ascii="Verdana" w:hAnsi="Verdana"/>
          <w:color w:val="000000"/>
          <w:sz w:val="22"/>
          <w:szCs w:val="22"/>
        </w:rPr>
        <w:t>accurate.  Although categorisation is difficult, it is needed both to improve public information and to facilitate policy-making</w:t>
      </w:r>
      <w:r w:rsidR="00F31CFC" w:rsidRPr="00AD32FF">
        <w:rPr>
          <w:rFonts w:ascii="Verdana" w:hAnsi="Verdana"/>
          <w:color w:val="000000"/>
          <w:sz w:val="22"/>
          <w:szCs w:val="22"/>
        </w:rPr>
        <w:t xml:space="preserve">; </w:t>
      </w:r>
      <w:r w:rsidR="00E90569" w:rsidRPr="00AD32FF">
        <w:rPr>
          <w:rFonts w:ascii="Verdana" w:hAnsi="Verdana"/>
          <w:color w:val="000000"/>
          <w:sz w:val="22"/>
          <w:szCs w:val="22"/>
        </w:rPr>
        <w:t>for this purpose</w:t>
      </w:r>
      <w:r w:rsidR="00F31CFC" w:rsidRPr="00AD32FF">
        <w:rPr>
          <w:rFonts w:ascii="Verdana" w:hAnsi="Verdana"/>
          <w:color w:val="000000"/>
          <w:sz w:val="22"/>
          <w:szCs w:val="22"/>
        </w:rPr>
        <w:t xml:space="preserve"> and</w:t>
      </w:r>
      <w:r w:rsidR="00E90569" w:rsidRPr="00AD32FF">
        <w:rPr>
          <w:rFonts w:ascii="Verdana" w:hAnsi="Verdana"/>
          <w:color w:val="000000"/>
          <w:sz w:val="22"/>
          <w:szCs w:val="22"/>
        </w:rPr>
        <w:t xml:space="preserve"> to assist the assessment of quality and wider comparative evaluations</w:t>
      </w:r>
      <w:r w:rsidR="00007767" w:rsidRPr="00AD32FF">
        <w:rPr>
          <w:rFonts w:ascii="Verdana" w:hAnsi="Verdana"/>
          <w:color w:val="000000"/>
          <w:sz w:val="22"/>
          <w:szCs w:val="22"/>
        </w:rPr>
        <w:t xml:space="preserve"> </w:t>
      </w:r>
      <w:r w:rsidR="00E90569" w:rsidRPr="00AD32FF">
        <w:rPr>
          <w:rFonts w:ascii="Verdana" w:hAnsi="Verdana"/>
          <w:color w:val="000000"/>
          <w:sz w:val="22"/>
          <w:szCs w:val="22"/>
        </w:rPr>
        <w:t xml:space="preserve"> data returns should be required for those accessing public resources in any form, whether through partnerships, direct funding or access to student loans.</w:t>
      </w:r>
      <w:r w:rsidRPr="00AD32FF">
        <w:rPr>
          <w:rFonts w:ascii="Verdana" w:hAnsi="Verdana"/>
          <w:color w:val="000000"/>
          <w:sz w:val="22"/>
          <w:szCs w:val="22"/>
        </w:rPr>
        <w:t xml:space="preserve"> </w:t>
      </w:r>
    </w:p>
    <w:p w:rsidR="00393C8B" w:rsidRPr="00AD32FF" w:rsidRDefault="00632DCD" w:rsidP="00F023B3">
      <w:pPr>
        <w:spacing w:before="120" w:line="300" w:lineRule="atLeast"/>
        <w:ind w:right="332"/>
        <w:rPr>
          <w:rFonts w:ascii="Verdana" w:hAnsi="Verdana"/>
          <w:i/>
          <w:color w:val="000000"/>
          <w:sz w:val="22"/>
          <w:szCs w:val="22"/>
        </w:rPr>
      </w:pPr>
      <w:r w:rsidRPr="00AD32FF">
        <w:rPr>
          <w:rFonts w:ascii="Verdana" w:hAnsi="Verdana"/>
          <w:i/>
          <w:color w:val="000000"/>
          <w:sz w:val="22"/>
          <w:szCs w:val="22"/>
        </w:rPr>
        <w:t>Is the for-profit and not-for-profit distinction significant?</w:t>
      </w:r>
    </w:p>
    <w:p w:rsidR="00393C8B"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In the UK there is a small</w:t>
      </w:r>
      <w:r w:rsidR="00B2151D" w:rsidRPr="00AD32FF">
        <w:rPr>
          <w:rFonts w:ascii="Verdana" w:hAnsi="Verdana"/>
          <w:color w:val="000000"/>
          <w:sz w:val="22"/>
          <w:szCs w:val="22"/>
        </w:rPr>
        <w:t>,</w:t>
      </w:r>
      <w:r w:rsidR="00151FFE" w:rsidRPr="00AD32FF">
        <w:rPr>
          <w:rFonts w:ascii="Verdana" w:hAnsi="Verdana"/>
          <w:color w:val="000000"/>
          <w:sz w:val="22"/>
          <w:szCs w:val="22"/>
        </w:rPr>
        <w:t xml:space="preserve"> but</w:t>
      </w:r>
      <w:r w:rsidRPr="00AD32FF">
        <w:rPr>
          <w:rFonts w:ascii="Verdana" w:hAnsi="Verdana"/>
          <w:color w:val="000000"/>
          <w:sz w:val="22"/>
          <w:szCs w:val="22"/>
        </w:rPr>
        <w:t xml:space="preserve"> visible for-profit sector with </w:t>
      </w:r>
      <w:smartTag w:uri="urn:schemas-microsoft-com:office:smarttags" w:element="stockticker">
        <w:r w:rsidRPr="00AD32FF">
          <w:rPr>
            <w:rFonts w:ascii="Verdana" w:hAnsi="Verdana"/>
            <w:color w:val="000000"/>
            <w:sz w:val="22"/>
            <w:szCs w:val="22"/>
          </w:rPr>
          <w:t>BPP</w:t>
        </w:r>
      </w:smartTag>
      <w:r w:rsidRPr="00AD32FF">
        <w:rPr>
          <w:rFonts w:ascii="Verdana" w:hAnsi="Verdana"/>
          <w:color w:val="000000"/>
          <w:sz w:val="22"/>
          <w:szCs w:val="22"/>
        </w:rPr>
        <w:t xml:space="preserve"> University College Ltd as the representative of that category with DAPs.  </w:t>
      </w:r>
      <w:r w:rsidR="00D568E3" w:rsidRPr="00AD32FF">
        <w:rPr>
          <w:rFonts w:ascii="Verdana" w:hAnsi="Verdana"/>
          <w:color w:val="000000"/>
          <w:sz w:val="22"/>
          <w:szCs w:val="22"/>
        </w:rPr>
        <w:t>O</w:t>
      </w:r>
      <w:r w:rsidR="00025BBF" w:rsidRPr="00AD32FF">
        <w:rPr>
          <w:rFonts w:ascii="Verdana" w:hAnsi="Verdana"/>
          <w:color w:val="000000"/>
          <w:sz w:val="22"/>
          <w:szCs w:val="22"/>
        </w:rPr>
        <w:t xml:space="preserve">ther </w:t>
      </w:r>
      <w:r w:rsidRPr="00AD32FF">
        <w:rPr>
          <w:rFonts w:ascii="Verdana" w:hAnsi="Verdana"/>
          <w:color w:val="000000"/>
          <w:sz w:val="22"/>
          <w:szCs w:val="22"/>
        </w:rPr>
        <w:t>colleges</w:t>
      </w:r>
      <w:r w:rsidR="00151FFE" w:rsidRPr="00AD32FF">
        <w:rPr>
          <w:rFonts w:ascii="Verdana" w:hAnsi="Verdana"/>
          <w:color w:val="000000"/>
          <w:sz w:val="22"/>
          <w:szCs w:val="22"/>
        </w:rPr>
        <w:t xml:space="preserve"> operate for profit including </w:t>
      </w:r>
      <w:r w:rsidRPr="00AD32FF">
        <w:rPr>
          <w:rFonts w:ascii="Verdana" w:hAnsi="Verdana"/>
          <w:color w:val="000000"/>
          <w:sz w:val="22"/>
          <w:szCs w:val="22"/>
        </w:rPr>
        <w:t>the London School of Business and Finance, the London School of Commerce and the EThames Graduate School</w:t>
      </w:r>
      <w:r w:rsidR="00B2151D" w:rsidRPr="00AD32FF">
        <w:rPr>
          <w:rFonts w:ascii="Verdana" w:hAnsi="Verdana"/>
          <w:color w:val="000000"/>
          <w:sz w:val="22"/>
          <w:szCs w:val="22"/>
        </w:rPr>
        <w:t>; however,</w:t>
      </w:r>
      <w:r w:rsidRPr="00AD32FF">
        <w:rPr>
          <w:rFonts w:ascii="Verdana" w:hAnsi="Verdana"/>
          <w:color w:val="000000"/>
          <w:sz w:val="22"/>
          <w:szCs w:val="22"/>
        </w:rPr>
        <w:t xml:space="preserve"> their accounts are </w:t>
      </w:r>
      <w:r w:rsidR="00F6566A" w:rsidRPr="00AD32FF">
        <w:rPr>
          <w:rFonts w:ascii="Verdana" w:hAnsi="Verdana"/>
          <w:color w:val="000000"/>
          <w:sz w:val="22"/>
          <w:szCs w:val="22"/>
        </w:rPr>
        <w:t>very limited in the information they disclose</w:t>
      </w:r>
      <w:r w:rsidRPr="00AD32FF">
        <w:rPr>
          <w:rFonts w:ascii="Verdana" w:hAnsi="Verdana"/>
          <w:color w:val="000000"/>
          <w:sz w:val="22"/>
          <w:szCs w:val="22"/>
        </w:rPr>
        <w:t xml:space="preserve">. Some of these will </w:t>
      </w:r>
      <w:r w:rsidR="00007767" w:rsidRPr="00AD32FF">
        <w:rPr>
          <w:rFonts w:ascii="Verdana" w:hAnsi="Verdana"/>
          <w:color w:val="000000"/>
          <w:sz w:val="22"/>
          <w:szCs w:val="22"/>
        </w:rPr>
        <w:t xml:space="preserve">probably </w:t>
      </w:r>
      <w:r w:rsidRPr="00AD32FF">
        <w:rPr>
          <w:rFonts w:ascii="Verdana" w:hAnsi="Verdana"/>
          <w:color w:val="000000"/>
          <w:sz w:val="22"/>
          <w:szCs w:val="22"/>
        </w:rPr>
        <w:t>acquire DAPs</w:t>
      </w:r>
      <w:r w:rsidR="00007767" w:rsidRPr="00AD32FF">
        <w:rPr>
          <w:rFonts w:ascii="Verdana" w:hAnsi="Verdana"/>
          <w:color w:val="000000"/>
          <w:sz w:val="22"/>
          <w:szCs w:val="22"/>
        </w:rPr>
        <w:t xml:space="preserve">, </w:t>
      </w:r>
      <w:r w:rsidRPr="00AD32FF">
        <w:rPr>
          <w:rFonts w:ascii="Verdana" w:hAnsi="Verdana"/>
          <w:color w:val="000000"/>
          <w:sz w:val="22"/>
          <w:szCs w:val="22"/>
        </w:rPr>
        <w:t xml:space="preserve">but we cannot predict the </w:t>
      </w:r>
      <w:r w:rsidR="00B2151D" w:rsidRPr="00AD32FF">
        <w:rPr>
          <w:rFonts w:ascii="Verdana" w:hAnsi="Verdana"/>
          <w:color w:val="000000"/>
          <w:sz w:val="22"/>
          <w:szCs w:val="22"/>
        </w:rPr>
        <w:t xml:space="preserve">future </w:t>
      </w:r>
      <w:r w:rsidRPr="00AD32FF">
        <w:rPr>
          <w:rFonts w:ascii="Verdana" w:hAnsi="Verdana"/>
          <w:color w:val="000000"/>
          <w:sz w:val="22"/>
          <w:szCs w:val="22"/>
        </w:rPr>
        <w:t xml:space="preserve">size of the for-profit sector. </w:t>
      </w:r>
      <w:r w:rsidR="00151FFE" w:rsidRPr="00AD32FF">
        <w:rPr>
          <w:rFonts w:ascii="Verdana" w:hAnsi="Verdana"/>
          <w:color w:val="000000"/>
          <w:sz w:val="22"/>
          <w:szCs w:val="22"/>
        </w:rPr>
        <w:t xml:space="preserve">Nonetheless, </w:t>
      </w:r>
      <w:r w:rsidR="00007767" w:rsidRPr="00AD32FF">
        <w:rPr>
          <w:rFonts w:ascii="Verdana" w:hAnsi="Verdana"/>
          <w:color w:val="000000"/>
          <w:sz w:val="22"/>
          <w:szCs w:val="22"/>
        </w:rPr>
        <w:t xml:space="preserve">it is </w:t>
      </w:r>
      <w:r w:rsidR="00B2151D" w:rsidRPr="00AD32FF">
        <w:rPr>
          <w:rFonts w:ascii="Verdana" w:hAnsi="Verdana"/>
          <w:color w:val="000000"/>
          <w:sz w:val="22"/>
          <w:szCs w:val="22"/>
        </w:rPr>
        <w:t>un</w:t>
      </w:r>
      <w:r w:rsidR="00007767" w:rsidRPr="00AD32FF">
        <w:rPr>
          <w:rFonts w:ascii="Verdana" w:hAnsi="Verdana"/>
          <w:color w:val="000000"/>
          <w:sz w:val="22"/>
          <w:szCs w:val="22"/>
        </w:rPr>
        <w:t xml:space="preserve">likely that the </w:t>
      </w:r>
      <w:r w:rsidRPr="00AD32FF">
        <w:rPr>
          <w:rFonts w:ascii="Verdana" w:hAnsi="Verdana"/>
          <w:color w:val="000000"/>
          <w:sz w:val="22"/>
          <w:szCs w:val="22"/>
        </w:rPr>
        <w:t xml:space="preserve">Apollo Group will </w:t>
      </w:r>
      <w:r w:rsidR="00B2151D" w:rsidRPr="00AD32FF">
        <w:rPr>
          <w:rFonts w:ascii="Verdana" w:hAnsi="Verdana"/>
          <w:color w:val="000000"/>
          <w:sz w:val="22"/>
          <w:szCs w:val="22"/>
        </w:rPr>
        <w:t xml:space="preserve">remain </w:t>
      </w:r>
      <w:r w:rsidRPr="00AD32FF">
        <w:rPr>
          <w:rFonts w:ascii="Verdana" w:hAnsi="Verdana"/>
          <w:color w:val="000000"/>
          <w:sz w:val="22"/>
          <w:szCs w:val="22"/>
        </w:rPr>
        <w:t xml:space="preserve">the only major </w:t>
      </w:r>
      <w:r w:rsidR="00007767" w:rsidRPr="00AD32FF">
        <w:rPr>
          <w:rFonts w:ascii="Verdana" w:hAnsi="Verdana"/>
          <w:color w:val="000000"/>
          <w:sz w:val="22"/>
          <w:szCs w:val="22"/>
        </w:rPr>
        <w:t>f</w:t>
      </w:r>
      <w:r w:rsidRPr="00AD32FF">
        <w:rPr>
          <w:rFonts w:ascii="Verdana" w:hAnsi="Verdana"/>
          <w:color w:val="000000"/>
          <w:sz w:val="22"/>
          <w:szCs w:val="22"/>
        </w:rPr>
        <w:t xml:space="preserve">or-profit provider in the UK. </w:t>
      </w:r>
    </w:p>
    <w:p w:rsidR="00393C8B" w:rsidRPr="00AD32FF" w:rsidRDefault="008912F8" w:rsidP="0022245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So i</w:t>
      </w:r>
      <w:r w:rsidR="00B2151D" w:rsidRPr="00AD32FF">
        <w:rPr>
          <w:rFonts w:ascii="Verdana" w:hAnsi="Verdana"/>
          <w:color w:val="000000"/>
          <w:sz w:val="22"/>
          <w:szCs w:val="22"/>
        </w:rPr>
        <w:t xml:space="preserve">s </w:t>
      </w:r>
      <w:r w:rsidRPr="00AD32FF">
        <w:rPr>
          <w:rFonts w:ascii="Verdana" w:hAnsi="Verdana"/>
          <w:color w:val="000000"/>
          <w:sz w:val="22"/>
          <w:szCs w:val="22"/>
        </w:rPr>
        <w:t>‘</w:t>
      </w:r>
      <w:r w:rsidR="00B2151D" w:rsidRPr="00AD32FF">
        <w:rPr>
          <w:rFonts w:ascii="Verdana" w:hAnsi="Verdana"/>
          <w:color w:val="000000"/>
          <w:sz w:val="22"/>
          <w:szCs w:val="22"/>
        </w:rPr>
        <w:t>for-profit</w:t>
      </w:r>
      <w:r w:rsidRPr="00AD32FF">
        <w:rPr>
          <w:rFonts w:ascii="Verdana" w:hAnsi="Verdana"/>
          <w:color w:val="000000"/>
          <w:sz w:val="22"/>
          <w:szCs w:val="22"/>
        </w:rPr>
        <w:t>’ status relevant?</w:t>
      </w:r>
      <w:r w:rsidR="00B2151D" w:rsidRPr="00AD32FF">
        <w:rPr>
          <w:rFonts w:ascii="Verdana" w:hAnsi="Verdana"/>
          <w:color w:val="000000"/>
          <w:sz w:val="22"/>
          <w:szCs w:val="22"/>
        </w:rPr>
        <w:t xml:space="preserve"> One argument </w:t>
      </w:r>
      <w:r w:rsidRPr="00AD32FF">
        <w:rPr>
          <w:rFonts w:ascii="Verdana" w:hAnsi="Verdana"/>
          <w:color w:val="000000"/>
          <w:sz w:val="22"/>
          <w:szCs w:val="22"/>
        </w:rPr>
        <w:t>suggests not</w:t>
      </w:r>
      <w:r w:rsidR="00872D3C" w:rsidRPr="00AD32FF">
        <w:rPr>
          <w:rFonts w:ascii="Verdana" w:hAnsi="Verdana"/>
          <w:color w:val="000000"/>
          <w:sz w:val="22"/>
          <w:szCs w:val="22"/>
        </w:rPr>
        <w:t>:</w:t>
      </w:r>
      <w:r w:rsidRPr="00AD32FF">
        <w:rPr>
          <w:rFonts w:ascii="Verdana" w:hAnsi="Verdana"/>
          <w:color w:val="000000"/>
          <w:sz w:val="22"/>
          <w:szCs w:val="22"/>
        </w:rPr>
        <w:t xml:space="preserve"> the </w:t>
      </w:r>
      <w:r w:rsidR="005312FE" w:rsidRPr="00AD32FF">
        <w:rPr>
          <w:rFonts w:ascii="Verdana" w:hAnsi="Verdana"/>
          <w:color w:val="000000"/>
          <w:sz w:val="22"/>
          <w:szCs w:val="22"/>
        </w:rPr>
        <w:t xml:space="preserve">public interest </w:t>
      </w:r>
      <w:r w:rsidRPr="00AD32FF">
        <w:rPr>
          <w:rFonts w:ascii="Verdana" w:hAnsi="Verdana"/>
          <w:color w:val="000000"/>
          <w:sz w:val="22"/>
          <w:szCs w:val="22"/>
        </w:rPr>
        <w:t xml:space="preserve">lies in </w:t>
      </w:r>
      <w:r w:rsidR="005312FE" w:rsidRPr="00AD32FF">
        <w:rPr>
          <w:rFonts w:ascii="Verdana" w:hAnsi="Verdana"/>
          <w:color w:val="000000"/>
          <w:sz w:val="22"/>
          <w:szCs w:val="22"/>
        </w:rPr>
        <w:t xml:space="preserve">education of high quality </w:t>
      </w:r>
      <w:r w:rsidRPr="00AD32FF">
        <w:rPr>
          <w:rFonts w:ascii="Verdana" w:hAnsi="Verdana"/>
          <w:color w:val="000000"/>
          <w:sz w:val="22"/>
          <w:szCs w:val="22"/>
        </w:rPr>
        <w:t xml:space="preserve">being </w:t>
      </w:r>
      <w:r w:rsidR="005312FE" w:rsidRPr="00AD32FF">
        <w:rPr>
          <w:rFonts w:ascii="Verdana" w:hAnsi="Verdana"/>
          <w:color w:val="000000"/>
          <w:sz w:val="22"/>
          <w:szCs w:val="22"/>
        </w:rPr>
        <w:t>provided and consumer interest</w:t>
      </w:r>
      <w:r w:rsidRPr="00AD32FF">
        <w:rPr>
          <w:rFonts w:ascii="Verdana" w:hAnsi="Verdana"/>
          <w:color w:val="000000"/>
          <w:sz w:val="22"/>
          <w:szCs w:val="22"/>
        </w:rPr>
        <w:t>s</w:t>
      </w:r>
      <w:r w:rsidR="005312FE" w:rsidRPr="00AD32FF">
        <w:rPr>
          <w:rFonts w:ascii="Verdana" w:hAnsi="Verdana"/>
          <w:color w:val="000000"/>
          <w:sz w:val="22"/>
          <w:szCs w:val="22"/>
        </w:rPr>
        <w:t xml:space="preserve"> </w:t>
      </w:r>
      <w:r w:rsidRPr="00AD32FF">
        <w:rPr>
          <w:rFonts w:ascii="Verdana" w:hAnsi="Verdana"/>
          <w:color w:val="000000"/>
          <w:sz w:val="22"/>
          <w:szCs w:val="22"/>
        </w:rPr>
        <w:t xml:space="preserve">being protected. </w:t>
      </w:r>
      <w:r w:rsidR="005312FE" w:rsidRPr="00AD32FF">
        <w:rPr>
          <w:rFonts w:ascii="Verdana" w:hAnsi="Verdana"/>
          <w:color w:val="000000"/>
          <w:sz w:val="22"/>
          <w:szCs w:val="22"/>
        </w:rPr>
        <w:t xml:space="preserve"> The DAP and </w:t>
      </w:r>
      <w:r w:rsidR="00222453" w:rsidRPr="00AD32FF">
        <w:rPr>
          <w:rFonts w:ascii="Verdana" w:hAnsi="Verdana"/>
          <w:color w:val="000000"/>
          <w:sz w:val="22"/>
          <w:szCs w:val="22"/>
        </w:rPr>
        <w:t>QA</w:t>
      </w:r>
      <w:r w:rsidR="005312FE" w:rsidRPr="00AD32FF">
        <w:rPr>
          <w:rFonts w:ascii="Verdana" w:hAnsi="Verdana"/>
          <w:color w:val="000000"/>
          <w:sz w:val="22"/>
          <w:szCs w:val="22"/>
        </w:rPr>
        <w:t xml:space="preserve"> processes should ensure this</w:t>
      </w:r>
      <w:r w:rsidR="00B2151D" w:rsidRPr="00AD32FF">
        <w:rPr>
          <w:rFonts w:ascii="Verdana" w:hAnsi="Verdana"/>
          <w:color w:val="000000"/>
          <w:sz w:val="22"/>
          <w:szCs w:val="22"/>
        </w:rPr>
        <w:t xml:space="preserve">.  Beyond that, </w:t>
      </w:r>
      <w:r w:rsidR="00D4322E" w:rsidRPr="00AD32FF">
        <w:rPr>
          <w:rFonts w:ascii="Verdana" w:hAnsi="Verdana"/>
          <w:color w:val="000000"/>
          <w:sz w:val="22"/>
          <w:szCs w:val="22"/>
        </w:rPr>
        <w:t>whether a profit arises</w:t>
      </w:r>
      <w:r w:rsidRPr="00AD32FF">
        <w:rPr>
          <w:rFonts w:ascii="Verdana" w:hAnsi="Verdana"/>
          <w:color w:val="000000"/>
          <w:sz w:val="22"/>
          <w:szCs w:val="22"/>
        </w:rPr>
        <w:t xml:space="preserve"> from </w:t>
      </w:r>
      <w:r w:rsidR="00872D3C" w:rsidRPr="00AD32FF">
        <w:rPr>
          <w:rFonts w:ascii="Verdana" w:hAnsi="Verdana"/>
          <w:color w:val="000000"/>
          <w:sz w:val="22"/>
          <w:szCs w:val="22"/>
        </w:rPr>
        <w:t xml:space="preserve">providing </w:t>
      </w:r>
      <w:r w:rsidRPr="00AD32FF">
        <w:rPr>
          <w:rFonts w:ascii="Verdana" w:hAnsi="Verdana"/>
          <w:color w:val="000000"/>
          <w:sz w:val="22"/>
          <w:szCs w:val="22"/>
        </w:rPr>
        <w:t xml:space="preserve">higher education is not of public concern.  </w:t>
      </w:r>
      <w:r w:rsidR="00222453" w:rsidRPr="00AD32FF">
        <w:rPr>
          <w:rFonts w:ascii="Verdana" w:hAnsi="Verdana"/>
          <w:color w:val="000000"/>
          <w:sz w:val="22"/>
          <w:szCs w:val="22"/>
        </w:rPr>
        <w:t xml:space="preserve">The main </w:t>
      </w:r>
      <w:r w:rsidRPr="00AD32FF">
        <w:rPr>
          <w:rFonts w:ascii="Verdana" w:hAnsi="Verdana"/>
          <w:color w:val="000000"/>
          <w:sz w:val="22"/>
          <w:szCs w:val="22"/>
        </w:rPr>
        <w:t>counter-argument</w:t>
      </w:r>
      <w:r w:rsidR="0047351C" w:rsidRPr="00AD32FF">
        <w:rPr>
          <w:rFonts w:ascii="Verdana" w:hAnsi="Verdana"/>
          <w:color w:val="000000"/>
          <w:sz w:val="22"/>
          <w:szCs w:val="22"/>
        </w:rPr>
        <w:t xml:space="preserve"> </w:t>
      </w:r>
      <w:r w:rsidR="00222453" w:rsidRPr="00AD32FF">
        <w:rPr>
          <w:rFonts w:ascii="Verdana" w:hAnsi="Verdana"/>
          <w:color w:val="000000"/>
          <w:sz w:val="22"/>
          <w:szCs w:val="22"/>
        </w:rPr>
        <w:t>is that</w:t>
      </w:r>
      <w:r w:rsidR="0047351C" w:rsidRPr="00AD32FF">
        <w:rPr>
          <w:rFonts w:ascii="Verdana" w:hAnsi="Verdana"/>
          <w:color w:val="000000"/>
          <w:sz w:val="22"/>
          <w:szCs w:val="22"/>
        </w:rPr>
        <w:t xml:space="preserve">, where public funds are used to fuel profits for shareholders, there </w:t>
      </w:r>
      <w:r w:rsidR="00872D3C" w:rsidRPr="00AD32FF">
        <w:rPr>
          <w:rFonts w:ascii="Verdana" w:hAnsi="Verdana"/>
          <w:color w:val="000000"/>
          <w:sz w:val="22"/>
          <w:szCs w:val="22"/>
        </w:rPr>
        <w:t xml:space="preserve">are </w:t>
      </w:r>
      <w:r w:rsidR="0047351C" w:rsidRPr="00AD32FF">
        <w:rPr>
          <w:rFonts w:ascii="Verdana" w:hAnsi="Verdana"/>
          <w:color w:val="000000"/>
          <w:sz w:val="22"/>
          <w:szCs w:val="22"/>
        </w:rPr>
        <w:t xml:space="preserve">legitimate </w:t>
      </w:r>
      <w:r w:rsidR="00222453" w:rsidRPr="00AD32FF">
        <w:rPr>
          <w:rFonts w:ascii="Verdana" w:hAnsi="Verdana"/>
          <w:color w:val="000000"/>
          <w:sz w:val="22"/>
          <w:szCs w:val="22"/>
        </w:rPr>
        <w:t xml:space="preserve">grounds for </w:t>
      </w:r>
      <w:r w:rsidR="0047351C" w:rsidRPr="00AD32FF">
        <w:rPr>
          <w:rFonts w:ascii="Verdana" w:hAnsi="Verdana"/>
          <w:color w:val="000000"/>
          <w:sz w:val="22"/>
          <w:szCs w:val="22"/>
        </w:rPr>
        <w:t xml:space="preserve">public </w:t>
      </w:r>
      <w:r w:rsidR="00872D3C" w:rsidRPr="00AD32FF">
        <w:rPr>
          <w:rFonts w:ascii="Verdana" w:hAnsi="Verdana"/>
          <w:color w:val="000000"/>
          <w:sz w:val="22"/>
          <w:szCs w:val="22"/>
        </w:rPr>
        <w:t>concern</w:t>
      </w:r>
      <w:r w:rsidR="00222453" w:rsidRPr="00AD32FF">
        <w:rPr>
          <w:rFonts w:ascii="Verdana" w:hAnsi="Verdana"/>
          <w:color w:val="000000"/>
          <w:sz w:val="22"/>
          <w:szCs w:val="22"/>
        </w:rPr>
        <w:t xml:space="preserve"> and scrutiny</w:t>
      </w:r>
      <w:r w:rsidR="00222453" w:rsidRPr="00AD32FF">
        <w:rPr>
          <w:rStyle w:val="FootnoteReference"/>
          <w:rFonts w:ascii="Verdana" w:hAnsi="Verdana"/>
          <w:color w:val="000000"/>
          <w:sz w:val="22"/>
          <w:szCs w:val="22"/>
        </w:rPr>
        <w:footnoteReference w:id="5"/>
      </w:r>
      <w:r w:rsidR="00F37369" w:rsidRPr="00AD32FF">
        <w:rPr>
          <w:rFonts w:ascii="Verdana" w:hAnsi="Verdana"/>
          <w:color w:val="000000"/>
          <w:sz w:val="22"/>
          <w:szCs w:val="22"/>
        </w:rPr>
        <w:t xml:space="preserve">.  </w:t>
      </w:r>
    </w:p>
    <w:p w:rsidR="00393C8B" w:rsidRPr="00AD32FF" w:rsidRDefault="00632DCD" w:rsidP="00F023B3">
      <w:pPr>
        <w:spacing w:before="120" w:line="300" w:lineRule="atLeast"/>
        <w:ind w:right="332"/>
        <w:rPr>
          <w:rFonts w:ascii="Verdana" w:hAnsi="Verdana"/>
          <w:i/>
          <w:color w:val="000000"/>
          <w:sz w:val="22"/>
          <w:szCs w:val="22"/>
        </w:rPr>
      </w:pPr>
      <w:r w:rsidRPr="00AD32FF">
        <w:rPr>
          <w:rFonts w:ascii="Verdana" w:hAnsi="Verdana"/>
          <w:i/>
          <w:color w:val="000000"/>
          <w:sz w:val="22"/>
          <w:szCs w:val="22"/>
        </w:rPr>
        <w:t xml:space="preserve">Does the absence of research matter for the credibility of the private sector?    </w:t>
      </w:r>
    </w:p>
    <w:p w:rsidR="00025BBF"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In some countries, undertaking research and</w:t>
      </w:r>
      <w:r w:rsidR="00025BBF" w:rsidRPr="00AD32FF">
        <w:rPr>
          <w:rFonts w:ascii="Verdana" w:hAnsi="Verdana"/>
          <w:color w:val="000000"/>
          <w:sz w:val="22"/>
          <w:szCs w:val="22"/>
        </w:rPr>
        <w:t xml:space="preserve"> </w:t>
      </w:r>
      <w:r w:rsidRPr="00AD32FF">
        <w:rPr>
          <w:rFonts w:ascii="Verdana" w:hAnsi="Verdana"/>
          <w:color w:val="000000"/>
          <w:sz w:val="22"/>
          <w:szCs w:val="22"/>
        </w:rPr>
        <w:t>linking</w:t>
      </w:r>
      <w:r w:rsidR="00025BBF" w:rsidRPr="00AD32FF">
        <w:rPr>
          <w:rFonts w:ascii="Verdana" w:hAnsi="Verdana"/>
          <w:color w:val="000000"/>
          <w:sz w:val="22"/>
          <w:szCs w:val="22"/>
        </w:rPr>
        <w:t xml:space="preserve"> </w:t>
      </w:r>
      <w:r w:rsidRPr="00AD32FF">
        <w:rPr>
          <w:rFonts w:ascii="Verdana" w:hAnsi="Verdana"/>
          <w:color w:val="000000"/>
          <w:sz w:val="22"/>
          <w:szCs w:val="22"/>
        </w:rPr>
        <w:t xml:space="preserve">research to teaching </w:t>
      </w:r>
      <w:r w:rsidR="00207365" w:rsidRPr="00AD32FF">
        <w:rPr>
          <w:rFonts w:ascii="Verdana" w:hAnsi="Verdana"/>
          <w:color w:val="000000"/>
          <w:sz w:val="22"/>
          <w:szCs w:val="22"/>
        </w:rPr>
        <w:t>for</w:t>
      </w:r>
      <w:r w:rsidRPr="00AD32FF">
        <w:rPr>
          <w:rFonts w:ascii="Verdana" w:hAnsi="Verdana"/>
          <w:color w:val="000000"/>
          <w:sz w:val="22"/>
          <w:szCs w:val="22"/>
        </w:rPr>
        <w:t xml:space="preserve"> degree</w:t>
      </w:r>
      <w:r w:rsidR="00207365" w:rsidRPr="00AD32FF">
        <w:rPr>
          <w:rFonts w:ascii="Verdana" w:hAnsi="Verdana"/>
          <w:color w:val="000000"/>
          <w:sz w:val="22"/>
          <w:szCs w:val="22"/>
        </w:rPr>
        <w:t>-</w:t>
      </w:r>
      <w:r w:rsidRPr="00AD32FF">
        <w:rPr>
          <w:rFonts w:ascii="Verdana" w:hAnsi="Verdana"/>
          <w:color w:val="000000"/>
          <w:sz w:val="22"/>
          <w:szCs w:val="22"/>
        </w:rPr>
        <w:t xml:space="preserve"> level </w:t>
      </w:r>
      <w:r w:rsidR="00207365" w:rsidRPr="00AD32FF">
        <w:rPr>
          <w:rFonts w:ascii="Verdana" w:hAnsi="Verdana"/>
          <w:color w:val="000000"/>
          <w:sz w:val="22"/>
          <w:szCs w:val="22"/>
        </w:rPr>
        <w:t>study</w:t>
      </w:r>
      <w:r w:rsidRPr="00AD32FF">
        <w:rPr>
          <w:rFonts w:ascii="Verdana" w:hAnsi="Verdana"/>
          <w:color w:val="000000"/>
          <w:sz w:val="22"/>
          <w:szCs w:val="22"/>
        </w:rPr>
        <w:t xml:space="preserve"> is a pre-requisite for the title of ‘university’ and a hal</w:t>
      </w:r>
      <w:r w:rsidR="00805702" w:rsidRPr="00AD32FF">
        <w:rPr>
          <w:rFonts w:ascii="Verdana" w:hAnsi="Verdana"/>
          <w:color w:val="000000"/>
          <w:sz w:val="22"/>
          <w:szCs w:val="22"/>
        </w:rPr>
        <w:t xml:space="preserve">lmark of a ‘higher education.’ </w:t>
      </w:r>
      <w:r w:rsidRPr="00AD32FF">
        <w:rPr>
          <w:rFonts w:ascii="Verdana" w:hAnsi="Verdana"/>
          <w:color w:val="000000"/>
          <w:sz w:val="22"/>
          <w:szCs w:val="22"/>
        </w:rPr>
        <w:t xml:space="preserve">In </w:t>
      </w:r>
      <w:r w:rsidR="00404A56" w:rsidRPr="00AD32FF">
        <w:rPr>
          <w:rFonts w:ascii="Verdana" w:hAnsi="Verdana"/>
          <w:color w:val="000000"/>
          <w:sz w:val="22"/>
          <w:szCs w:val="22"/>
        </w:rPr>
        <w:t>England</w:t>
      </w:r>
      <w:r w:rsidR="00207365" w:rsidRPr="00AD32FF">
        <w:rPr>
          <w:rFonts w:ascii="Verdana" w:hAnsi="Verdana"/>
          <w:color w:val="000000"/>
          <w:sz w:val="22"/>
          <w:szCs w:val="22"/>
        </w:rPr>
        <w:t>,</w:t>
      </w:r>
      <w:r w:rsidRPr="00AD32FF">
        <w:rPr>
          <w:rFonts w:ascii="Verdana" w:hAnsi="Verdana"/>
          <w:color w:val="000000"/>
          <w:sz w:val="22"/>
          <w:szCs w:val="22"/>
        </w:rPr>
        <w:t xml:space="preserve"> the legal and regulatory framework has gradually uncoupled the linkages between teaching and research, first in the differentiation of </w:t>
      </w:r>
      <w:r w:rsidRPr="00AD32FF">
        <w:rPr>
          <w:rFonts w:ascii="Verdana" w:hAnsi="Verdana"/>
          <w:color w:val="000000"/>
          <w:sz w:val="22"/>
          <w:szCs w:val="22"/>
        </w:rPr>
        <w:lastRenderedPageBreak/>
        <w:t>degree-awarding powers into teaching and research degrees (and more recently adding foundation degrees as another distinction) and second</w:t>
      </w:r>
      <w:r w:rsidR="00207365" w:rsidRPr="00AD32FF">
        <w:rPr>
          <w:rFonts w:ascii="Verdana" w:hAnsi="Verdana"/>
          <w:color w:val="000000"/>
          <w:sz w:val="22"/>
          <w:szCs w:val="22"/>
        </w:rPr>
        <w:t>,</w:t>
      </w:r>
      <w:r w:rsidRPr="00AD32FF">
        <w:rPr>
          <w:rFonts w:ascii="Verdana" w:hAnsi="Verdana"/>
          <w:color w:val="000000"/>
          <w:sz w:val="22"/>
          <w:szCs w:val="22"/>
        </w:rPr>
        <w:t xml:space="preserve"> in </w:t>
      </w:r>
      <w:r w:rsidR="00F37369" w:rsidRPr="00AD32FF">
        <w:rPr>
          <w:rFonts w:ascii="Verdana" w:hAnsi="Verdana"/>
          <w:color w:val="000000"/>
          <w:sz w:val="22"/>
          <w:szCs w:val="22"/>
        </w:rPr>
        <w:t xml:space="preserve">the </w:t>
      </w:r>
      <w:r w:rsidRPr="00AD32FF">
        <w:rPr>
          <w:rFonts w:ascii="Verdana" w:hAnsi="Verdana"/>
          <w:color w:val="000000"/>
          <w:sz w:val="22"/>
          <w:szCs w:val="22"/>
        </w:rPr>
        <w:t xml:space="preserve">granting of university title.  Despite these changes, in </w:t>
      </w:r>
      <w:r w:rsidR="00025BBF" w:rsidRPr="00AD32FF">
        <w:rPr>
          <w:rFonts w:ascii="Verdana" w:hAnsi="Verdana"/>
          <w:color w:val="000000"/>
          <w:sz w:val="22"/>
          <w:szCs w:val="22"/>
        </w:rPr>
        <w:t xml:space="preserve">many </w:t>
      </w:r>
      <w:r w:rsidRPr="00AD32FF">
        <w:rPr>
          <w:rFonts w:ascii="Verdana" w:hAnsi="Verdana"/>
          <w:color w:val="000000"/>
          <w:sz w:val="22"/>
          <w:szCs w:val="22"/>
        </w:rPr>
        <w:t xml:space="preserve">traditional universities, the links between teaching and research remain </w:t>
      </w:r>
      <w:r w:rsidR="00F37369" w:rsidRPr="00AD32FF">
        <w:rPr>
          <w:rFonts w:ascii="Verdana" w:hAnsi="Verdana"/>
          <w:color w:val="000000"/>
          <w:sz w:val="22"/>
          <w:szCs w:val="22"/>
        </w:rPr>
        <w:t xml:space="preserve">in </w:t>
      </w:r>
      <w:r w:rsidRPr="00AD32FF">
        <w:rPr>
          <w:rFonts w:ascii="Verdana" w:hAnsi="Verdana"/>
          <w:color w:val="000000"/>
          <w:sz w:val="22"/>
          <w:szCs w:val="22"/>
        </w:rPr>
        <w:t>culture and practice, reinforced by quality assurance arrangements and academic status as well as external market, funding and reputational pressures.</w:t>
      </w:r>
      <w:r w:rsidR="00207365" w:rsidRPr="00AD32FF">
        <w:rPr>
          <w:rFonts w:ascii="Verdana" w:hAnsi="Verdana"/>
          <w:color w:val="000000"/>
          <w:sz w:val="22"/>
          <w:szCs w:val="22"/>
        </w:rPr>
        <w:t xml:space="preserve">  </w:t>
      </w:r>
    </w:p>
    <w:p w:rsidR="00207365" w:rsidRPr="00AD32FF" w:rsidRDefault="00F37369"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025BBF" w:rsidRPr="00AD32FF">
        <w:rPr>
          <w:rFonts w:ascii="Verdana" w:hAnsi="Verdana"/>
          <w:color w:val="000000"/>
          <w:sz w:val="22"/>
          <w:szCs w:val="22"/>
        </w:rPr>
        <w:t>he disciplines offered by private provider</w:t>
      </w:r>
      <w:r w:rsidRPr="00AD32FF">
        <w:rPr>
          <w:rFonts w:ascii="Verdana" w:hAnsi="Verdana"/>
          <w:color w:val="000000"/>
          <w:sz w:val="22"/>
          <w:szCs w:val="22"/>
        </w:rPr>
        <w:t>s are relevant here, including t</w:t>
      </w:r>
      <w:r w:rsidR="00025BBF" w:rsidRPr="00AD32FF">
        <w:rPr>
          <w:rFonts w:ascii="Verdana" w:hAnsi="Verdana"/>
          <w:color w:val="000000"/>
          <w:sz w:val="22"/>
          <w:szCs w:val="22"/>
        </w:rPr>
        <w:t xml:space="preserve">he depth of reliance </w:t>
      </w:r>
      <w:r w:rsidRPr="00AD32FF">
        <w:rPr>
          <w:rFonts w:ascii="Verdana" w:hAnsi="Verdana"/>
          <w:color w:val="000000"/>
          <w:sz w:val="22"/>
          <w:szCs w:val="22"/>
        </w:rPr>
        <w:t xml:space="preserve">for professional programmes </w:t>
      </w:r>
      <w:r w:rsidR="00025BBF" w:rsidRPr="00AD32FF">
        <w:rPr>
          <w:rFonts w:ascii="Verdana" w:hAnsi="Verdana"/>
          <w:color w:val="000000"/>
          <w:sz w:val="22"/>
          <w:szCs w:val="22"/>
        </w:rPr>
        <w:t xml:space="preserve">on practitioners as teachers and case study leaders. Since many of the colleges focus heavily on professional and business subjects, the value of academic research may be less important as far as the student market is concerned, </w:t>
      </w:r>
      <w:r w:rsidRPr="00AD32FF">
        <w:rPr>
          <w:rFonts w:ascii="Verdana" w:hAnsi="Verdana"/>
          <w:color w:val="000000"/>
          <w:sz w:val="22"/>
          <w:szCs w:val="22"/>
        </w:rPr>
        <w:t>although t</w:t>
      </w:r>
      <w:r w:rsidR="00025BBF" w:rsidRPr="00AD32FF">
        <w:rPr>
          <w:rFonts w:ascii="Verdana" w:hAnsi="Verdana"/>
          <w:color w:val="000000"/>
          <w:sz w:val="22"/>
          <w:szCs w:val="22"/>
        </w:rPr>
        <w:t xml:space="preserve">he staff should </w:t>
      </w:r>
      <w:r w:rsidRPr="00AD32FF">
        <w:rPr>
          <w:rFonts w:ascii="Verdana" w:hAnsi="Verdana"/>
          <w:color w:val="000000"/>
          <w:sz w:val="22"/>
          <w:szCs w:val="22"/>
        </w:rPr>
        <w:t xml:space="preserve">obviously </w:t>
      </w:r>
      <w:r w:rsidR="00025BBF" w:rsidRPr="00AD32FF">
        <w:rPr>
          <w:rFonts w:ascii="Verdana" w:hAnsi="Verdana"/>
          <w:color w:val="000000"/>
          <w:sz w:val="22"/>
          <w:szCs w:val="22"/>
        </w:rPr>
        <w:t>have a high level of professional experience.</w:t>
      </w:r>
    </w:p>
    <w:p w:rsidR="00393C8B" w:rsidRPr="00AD32FF" w:rsidRDefault="00632DCD"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absence of researc</w:t>
      </w:r>
      <w:r w:rsidR="00207365" w:rsidRPr="00AD32FF">
        <w:rPr>
          <w:rFonts w:ascii="Verdana" w:hAnsi="Verdana"/>
          <w:color w:val="000000"/>
          <w:sz w:val="22"/>
          <w:szCs w:val="22"/>
        </w:rPr>
        <w:t xml:space="preserve">h </w:t>
      </w:r>
      <w:r w:rsidR="00025BBF" w:rsidRPr="00AD32FF">
        <w:rPr>
          <w:rFonts w:ascii="Verdana" w:hAnsi="Verdana"/>
          <w:color w:val="000000"/>
          <w:sz w:val="22"/>
          <w:szCs w:val="22"/>
        </w:rPr>
        <w:t xml:space="preserve">clearly </w:t>
      </w:r>
      <w:r w:rsidRPr="00AD32FF">
        <w:rPr>
          <w:rFonts w:ascii="Verdana" w:hAnsi="Verdana"/>
          <w:color w:val="000000"/>
          <w:sz w:val="22"/>
          <w:szCs w:val="22"/>
        </w:rPr>
        <w:t>matters as an issue of public information</w:t>
      </w:r>
      <w:r w:rsidR="00025BBF" w:rsidRPr="00AD32FF">
        <w:rPr>
          <w:rFonts w:ascii="Verdana" w:hAnsi="Verdana"/>
          <w:color w:val="000000"/>
          <w:sz w:val="22"/>
          <w:szCs w:val="22"/>
        </w:rPr>
        <w:t>, but not obviously beyond that. Potential consumers should be given the information about the extent</w:t>
      </w:r>
      <w:r w:rsidR="0031418D" w:rsidRPr="00AD32FF">
        <w:rPr>
          <w:rFonts w:ascii="Verdana" w:hAnsi="Verdana"/>
          <w:color w:val="000000"/>
          <w:sz w:val="22"/>
          <w:szCs w:val="22"/>
        </w:rPr>
        <w:t xml:space="preserve"> of research that is undertaken</w:t>
      </w:r>
      <w:r w:rsidR="00025BBF" w:rsidRPr="00AD32FF">
        <w:rPr>
          <w:rFonts w:ascii="Verdana" w:hAnsi="Verdana"/>
          <w:color w:val="000000"/>
          <w:sz w:val="22"/>
          <w:szCs w:val="22"/>
        </w:rPr>
        <w:t xml:space="preserve"> to enable them to form their own conclusions about how relevant this is to their decisions and choices</w:t>
      </w:r>
      <w:r w:rsidRPr="00AD32FF">
        <w:rPr>
          <w:rFonts w:ascii="Verdana" w:hAnsi="Verdana"/>
          <w:color w:val="000000"/>
          <w:sz w:val="22"/>
          <w:szCs w:val="22"/>
        </w:rPr>
        <w:t xml:space="preserve">.  </w:t>
      </w:r>
    </w:p>
    <w:p w:rsidR="00393C8B" w:rsidRPr="00AD32FF" w:rsidRDefault="00632DCD" w:rsidP="00F023B3">
      <w:pPr>
        <w:spacing w:before="120" w:line="300" w:lineRule="atLeast"/>
        <w:ind w:right="332"/>
        <w:rPr>
          <w:rFonts w:ascii="Verdana" w:hAnsi="Verdana"/>
          <w:color w:val="000000"/>
          <w:sz w:val="22"/>
          <w:szCs w:val="22"/>
        </w:rPr>
      </w:pPr>
      <w:r w:rsidRPr="00AD32FF">
        <w:rPr>
          <w:rFonts w:ascii="Verdana" w:hAnsi="Verdana"/>
          <w:i/>
          <w:color w:val="000000"/>
          <w:sz w:val="22"/>
          <w:szCs w:val="22"/>
        </w:rPr>
        <w:t>Are changes to the regulatory environment (including quality) required and what other models are relevant?</w:t>
      </w:r>
      <w:r w:rsidRPr="00AD32FF">
        <w:rPr>
          <w:rFonts w:ascii="Verdana" w:hAnsi="Verdana"/>
          <w:color w:val="000000"/>
          <w:sz w:val="22"/>
          <w:szCs w:val="22"/>
        </w:rPr>
        <w:t xml:space="preserve">  </w:t>
      </w:r>
    </w:p>
    <w:p w:rsidR="00393C8B" w:rsidRPr="00AD32FF" w:rsidRDefault="008E48AB"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632DCD" w:rsidRPr="00AD32FF">
        <w:rPr>
          <w:rFonts w:ascii="Verdana" w:hAnsi="Verdana"/>
          <w:color w:val="000000"/>
          <w:sz w:val="22"/>
          <w:szCs w:val="22"/>
        </w:rPr>
        <w:t xml:space="preserve">he present mix of regulations has developed over time </w:t>
      </w:r>
      <w:r w:rsidR="00D568E3" w:rsidRPr="00AD32FF">
        <w:rPr>
          <w:rFonts w:ascii="Verdana" w:hAnsi="Verdana"/>
          <w:color w:val="000000"/>
          <w:sz w:val="22"/>
          <w:szCs w:val="22"/>
        </w:rPr>
        <w:t xml:space="preserve">as a result of </w:t>
      </w:r>
      <w:r w:rsidR="00632DCD" w:rsidRPr="00AD32FF">
        <w:rPr>
          <w:rFonts w:ascii="Verdana" w:hAnsi="Verdana"/>
          <w:color w:val="000000"/>
          <w:sz w:val="22"/>
          <w:szCs w:val="22"/>
        </w:rPr>
        <w:t xml:space="preserve">ad hoc responses to particular political or educational drivers. </w:t>
      </w:r>
      <w:r w:rsidR="00C24F94" w:rsidRPr="00AD32FF">
        <w:rPr>
          <w:rFonts w:ascii="Verdana" w:hAnsi="Verdana"/>
          <w:color w:val="000000"/>
          <w:sz w:val="22"/>
          <w:szCs w:val="22"/>
        </w:rPr>
        <w:t xml:space="preserve">There is no </w:t>
      </w:r>
      <w:r w:rsidR="00632DCD" w:rsidRPr="00AD32FF">
        <w:rPr>
          <w:rFonts w:ascii="Verdana" w:hAnsi="Verdana"/>
          <w:color w:val="000000"/>
          <w:sz w:val="22"/>
          <w:szCs w:val="22"/>
        </w:rPr>
        <w:t>comprehensive framework.</w:t>
      </w:r>
      <w:r w:rsidR="00C24F94" w:rsidRPr="00AD32FF">
        <w:rPr>
          <w:rFonts w:ascii="Verdana" w:hAnsi="Verdana"/>
          <w:color w:val="000000"/>
          <w:sz w:val="22"/>
          <w:szCs w:val="22"/>
        </w:rPr>
        <w:t xml:space="preserve"> </w:t>
      </w:r>
      <w:r w:rsidR="0031418D" w:rsidRPr="00AD32FF">
        <w:rPr>
          <w:rFonts w:ascii="Verdana" w:hAnsi="Verdana"/>
          <w:color w:val="000000"/>
          <w:sz w:val="22"/>
          <w:szCs w:val="22"/>
        </w:rPr>
        <w:t xml:space="preserve">Other </w:t>
      </w:r>
      <w:r w:rsidR="00632DCD" w:rsidRPr="00AD32FF">
        <w:rPr>
          <w:rFonts w:ascii="Verdana" w:hAnsi="Verdana"/>
          <w:color w:val="000000"/>
          <w:sz w:val="22"/>
          <w:szCs w:val="22"/>
        </w:rPr>
        <w:t>countries have enacted legislation specifically relating to private higher education</w:t>
      </w:r>
      <w:r w:rsidR="0031418D" w:rsidRPr="00AD32FF">
        <w:rPr>
          <w:rFonts w:ascii="Verdana" w:hAnsi="Verdana"/>
          <w:color w:val="000000"/>
          <w:sz w:val="22"/>
          <w:szCs w:val="22"/>
        </w:rPr>
        <w:t xml:space="preserve"> (or to all providers) </w:t>
      </w:r>
      <w:r w:rsidR="00C24F94" w:rsidRPr="00AD32FF">
        <w:rPr>
          <w:rFonts w:ascii="Verdana" w:hAnsi="Verdana"/>
          <w:color w:val="000000"/>
          <w:sz w:val="22"/>
          <w:szCs w:val="22"/>
        </w:rPr>
        <w:t>with the aim of protecting</w:t>
      </w:r>
      <w:r w:rsidR="00632DCD" w:rsidRPr="00AD32FF">
        <w:rPr>
          <w:rFonts w:ascii="Verdana" w:hAnsi="Verdana"/>
          <w:color w:val="000000"/>
          <w:sz w:val="22"/>
          <w:szCs w:val="22"/>
        </w:rPr>
        <w:t xml:space="preserve"> </w:t>
      </w:r>
      <w:r w:rsidR="0031418D" w:rsidRPr="00AD32FF">
        <w:rPr>
          <w:rFonts w:ascii="Verdana" w:hAnsi="Verdana"/>
          <w:color w:val="000000"/>
          <w:sz w:val="22"/>
          <w:szCs w:val="22"/>
        </w:rPr>
        <w:t xml:space="preserve">students </w:t>
      </w:r>
      <w:r w:rsidR="00632DCD" w:rsidRPr="00AD32FF">
        <w:rPr>
          <w:rFonts w:ascii="Verdana" w:hAnsi="Verdana"/>
          <w:color w:val="000000"/>
          <w:sz w:val="22"/>
          <w:szCs w:val="22"/>
        </w:rPr>
        <w:t xml:space="preserve">from poor quality private providers </w:t>
      </w:r>
      <w:r w:rsidR="00152709" w:rsidRPr="00AD32FF">
        <w:rPr>
          <w:rFonts w:ascii="Verdana" w:hAnsi="Verdana"/>
          <w:color w:val="000000"/>
          <w:sz w:val="22"/>
          <w:szCs w:val="22"/>
        </w:rPr>
        <w:t xml:space="preserve">whether domestic or </w:t>
      </w:r>
      <w:r w:rsidR="00632DCD" w:rsidRPr="00AD32FF">
        <w:rPr>
          <w:rFonts w:ascii="Verdana" w:hAnsi="Verdana"/>
          <w:color w:val="000000"/>
          <w:sz w:val="22"/>
          <w:szCs w:val="22"/>
        </w:rPr>
        <w:t>international</w:t>
      </w:r>
      <w:r w:rsidR="00C24F94" w:rsidRPr="00AD32FF">
        <w:rPr>
          <w:rFonts w:ascii="Verdana" w:hAnsi="Verdana"/>
          <w:color w:val="000000"/>
          <w:sz w:val="22"/>
          <w:szCs w:val="22"/>
        </w:rPr>
        <w:t>.</w:t>
      </w:r>
      <w:r w:rsidR="00632DCD" w:rsidRPr="00AD32FF">
        <w:rPr>
          <w:rFonts w:ascii="Verdana" w:hAnsi="Verdana"/>
          <w:color w:val="000000"/>
          <w:sz w:val="22"/>
          <w:szCs w:val="22"/>
        </w:rPr>
        <w:t xml:space="preserve"> </w:t>
      </w:r>
      <w:r w:rsidR="0031418D" w:rsidRPr="00AD32FF">
        <w:rPr>
          <w:rFonts w:ascii="Verdana" w:hAnsi="Verdana"/>
          <w:color w:val="000000"/>
          <w:sz w:val="22"/>
          <w:szCs w:val="22"/>
        </w:rPr>
        <w:t xml:space="preserve">This </w:t>
      </w:r>
      <w:r w:rsidR="00632DCD" w:rsidRPr="00AD32FF">
        <w:rPr>
          <w:rFonts w:ascii="Verdana" w:hAnsi="Verdana"/>
          <w:color w:val="000000"/>
          <w:sz w:val="22"/>
          <w:szCs w:val="22"/>
        </w:rPr>
        <w:t xml:space="preserve">legislation usually focuses on registration and licensing systems as well as </w:t>
      </w:r>
      <w:proofErr w:type="gramStart"/>
      <w:r w:rsidR="00D568E3" w:rsidRPr="00AD32FF">
        <w:rPr>
          <w:rFonts w:ascii="Verdana" w:hAnsi="Verdana"/>
          <w:color w:val="000000"/>
          <w:sz w:val="22"/>
          <w:szCs w:val="22"/>
        </w:rPr>
        <w:t xml:space="preserve">QA </w:t>
      </w:r>
      <w:r w:rsidR="00632DCD" w:rsidRPr="00AD32FF">
        <w:rPr>
          <w:rFonts w:ascii="Verdana" w:hAnsi="Verdana"/>
          <w:color w:val="000000"/>
          <w:sz w:val="22"/>
          <w:szCs w:val="22"/>
        </w:rPr>
        <w:t xml:space="preserve"> processes</w:t>
      </w:r>
      <w:proofErr w:type="gramEnd"/>
      <w:r w:rsidR="00632DCD" w:rsidRPr="00AD32FF">
        <w:rPr>
          <w:rFonts w:ascii="Verdana" w:hAnsi="Verdana"/>
          <w:color w:val="000000"/>
          <w:sz w:val="22"/>
          <w:szCs w:val="22"/>
        </w:rPr>
        <w:t xml:space="preserve">. </w:t>
      </w:r>
      <w:r w:rsidRPr="00AD32FF">
        <w:rPr>
          <w:rFonts w:ascii="Verdana" w:hAnsi="Verdana"/>
          <w:color w:val="000000"/>
          <w:sz w:val="22"/>
          <w:szCs w:val="22"/>
        </w:rPr>
        <w:t>Other topics covered can include</w:t>
      </w:r>
      <w:r w:rsidR="007B7C1E" w:rsidRPr="00AD32FF">
        <w:rPr>
          <w:rFonts w:ascii="Verdana" w:hAnsi="Verdana"/>
          <w:color w:val="000000"/>
          <w:sz w:val="22"/>
          <w:szCs w:val="22"/>
        </w:rPr>
        <w:t xml:space="preserve">, </w:t>
      </w:r>
      <w:r w:rsidRPr="00AD32FF">
        <w:rPr>
          <w:rFonts w:ascii="Verdana" w:hAnsi="Verdana"/>
          <w:color w:val="000000"/>
          <w:sz w:val="22"/>
          <w:szCs w:val="22"/>
        </w:rPr>
        <w:t>r</w:t>
      </w:r>
      <w:r w:rsidR="00632DCD" w:rsidRPr="00AD32FF">
        <w:rPr>
          <w:rFonts w:ascii="Verdana" w:hAnsi="Verdana"/>
          <w:color w:val="000000"/>
          <w:sz w:val="22"/>
          <w:szCs w:val="22"/>
        </w:rPr>
        <w:t>egulations on finance and reporting</w:t>
      </w:r>
      <w:r w:rsidRPr="00AD32FF">
        <w:rPr>
          <w:rFonts w:ascii="Verdana" w:hAnsi="Verdana"/>
          <w:color w:val="000000"/>
          <w:sz w:val="22"/>
          <w:szCs w:val="22"/>
        </w:rPr>
        <w:t>, p</w:t>
      </w:r>
      <w:r w:rsidR="00632DCD" w:rsidRPr="00AD32FF">
        <w:rPr>
          <w:rFonts w:ascii="Verdana" w:hAnsi="Verdana"/>
          <w:color w:val="000000"/>
          <w:sz w:val="22"/>
          <w:szCs w:val="22"/>
        </w:rPr>
        <w:t xml:space="preserve">owers for provincial governments </w:t>
      </w:r>
      <w:r w:rsidRPr="00AD32FF">
        <w:rPr>
          <w:rFonts w:ascii="Verdana" w:hAnsi="Verdana"/>
          <w:color w:val="000000"/>
          <w:sz w:val="22"/>
          <w:szCs w:val="22"/>
        </w:rPr>
        <w:t xml:space="preserve">(or agencies) </w:t>
      </w:r>
      <w:r w:rsidR="00632DCD" w:rsidRPr="00AD32FF">
        <w:rPr>
          <w:rFonts w:ascii="Verdana" w:hAnsi="Verdana"/>
          <w:color w:val="000000"/>
          <w:sz w:val="22"/>
          <w:szCs w:val="22"/>
        </w:rPr>
        <w:t xml:space="preserve">to subsidise or give grants or land to private entities, </w:t>
      </w:r>
      <w:r w:rsidR="00152709" w:rsidRPr="00AD32FF">
        <w:rPr>
          <w:rFonts w:ascii="Verdana" w:hAnsi="Verdana"/>
          <w:color w:val="000000"/>
          <w:sz w:val="22"/>
          <w:szCs w:val="22"/>
        </w:rPr>
        <w:t xml:space="preserve">and </w:t>
      </w:r>
      <w:r w:rsidR="00632DCD" w:rsidRPr="00AD32FF">
        <w:rPr>
          <w:rFonts w:ascii="Verdana" w:hAnsi="Verdana"/>
          <w:color w:val="000000"/>
          <w:sz w:val="22"/>
          <w:szCs w:val="22"/>
        </w:rPr>
        <w:t>tax incentives</w:t>
      </w:r>
      <w:r w:rsidRPr="00AD32FF">
        <w:rPr>
          <w:rFonts w:ascii="Verdana" w:hAnsi="Verdana"/>
          <w:color w:val="000000"/>
          <w:sz w:val="22"/>
          <w:szCs w:val="22"/>
        </w:rPr>
        <w:t xml:space="preserve"> and p</w:t>
      </w:r>
      <w:r w:rsidR="00632DCD" w:rsidRPr="00AD32FF">
        <w:rPr>
          <w:rFonts w:ascii="Verdana" w:hAnsi="Verdana"/>
          <w:color w:val="000000"/>
          <w:sz w:val="22"/>
          <w:szCs w:val="22"/>
        </w:rPr>
        <w:t>rocedures in the event of a change of owner</w:t>
      </w:r>
      <w:r w:rsidR="00152709" w:rsidRPr="00AD32FF">
        <w:rPr>
          <w:rFonts w:ascii="Verdana" w:hAnsi="Verdana"/>
          <w:color w:val="000000"/>
          <w:sz w:val="22"/>
          <w:szCs w:val="22"/>
        </w:rPr>
        <w:t>ship</w:t>
      </w:r>
      <w:r w:rsidR="007B7C1E" w:rsidRPr="00AD32FF">
        <w:rPr>
          <w:rFonts w:ascii="Verdana" w:hAnsi="Verdana"/>
          <w:color w:val="000000"/>
          <w:sz w:val="22"/>
          <w:szCs w:val="22"/>
        </w:rPr>
        <w:t>.</w:t>
      </w:r>
    </w:p>
    <w:p w:rsidR="00393C8B" w:rsidRPr="00AD32FF" w:rsidRDefault="00C24F94"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w:t>
      </w:r>
      <w:r w:rsidR="00632DCD" w:rsidRPr="00AD32FF">
        <w:rPr>
          <w:rFonts w:ascii="Verdana" w:hAnsi="Verdana"/>
          <w:color w:val="000000"/>
          <w:sz w:val="22"/>
          <w:szCs w:val="22"/>
        </w:rPr>
        <w:t>hese provisions could</w:t>
      </w:r>
      <w:r w:rsidRPr="00AD32FF">
        <w:rPr>
          <w:rFonts w:ascii="Verdana" w:hAnsi="Verdana"/>
          <w:color w:val="000000"/>
          <w:sz w:val="22"/>
          <w:szCs w:val="22"/>
        </w:rPr>
        <w:t xml:space="preserve"> be included </w:t>
      </w:r>
      <w:r w:rsidR="00632DCD" w:rsidRPr="00AD32FF">
        <w:rPr>
          <w:rFonts w:ascii="Verdana" w:hAnsi="Verdana"/>
          <w:color w:val="000000"/>
          <w:sz w:val="22"/>
          <w:szCs w:val="22"/>
        </w:rPr>
        <w:t>in any comprehensive leg</w:t>
      </w:r>
      <w:r w:rsidRPr="00AD32FF">
        <w:rPr>
          <w:rFonts w:ascii="Verdana" w:hAnsi="Verdana"/>
          <w:color w:val="000000"/>
          <w:sz w:val="22"/>
          <w:szCs w:val="22"/>
        </w:rPr>
        <w:t xml:space="preserve">al </w:t>
      </w:r>
      <w:r w:rsidR="00152709" w:rsidRPr="00AD32FF">
        <w:rPr>
          <w:rFonts w:ascii="Verdana" w:hAnsi="Verdana"/>
          <w:color w:val="000000"/>
          <w:sz w:val="22"/>
          <w:szCs w:val="22"/>
        </w:rPr>
        <w:t xml:space="preserve">framework </w:t>
      </w:r>
      <w:r w:rsidRPr="00AD32FF">
        <w:rPr>
          <w:rFonts w:ascii="Verdana" w:hAnsi="Verdana"/>
          <w:color w:val="000000"/>
          <w:sz w:val="22"/>
          <w:szCs w:val="22"/>
        </w:rPr>
        <w:t>whose main</w:t>
      </w:r>
      <w:r w:rsidR="00632DCD" w:rsidRPr="00AD32FF">
        <w:rPr>
          <w:rFonts w:ascii="Verdana" w:hAnsi="Verdana"/>
          <w:color w:val="000000"/>
          <w:sz w:val="22"/>
          <w:szCs w:val="22"/>
        </w:rPr>
        <w:t xml:space="preserve"> aim </w:t>
      </w:r>
      <w:r w:rsidR="008E48AB" w:rsidRPr="00AD32FF">
        <w:rPr>
          <w:rFonts w:ascii="Verdana" w:hAnsi="Verdana"/>
          <w:color w:val="000000"/>
          <w:sz w:val="22"/>
          <w:szCs w:val="22"/>
        </w:rPr>
        <w:t>would be</w:t>
      </w:r>
      <w:r w:rsidRPr="00AD32FF">
        <w:rPr>
          <w:rFonts w:ascii="Verdana" w:hAnsi="Verdana"/>
          <w:color w:val="000000"/>
          <w:sz w:val="22"/>
          <w:szCs w:val="22"/>
        </w:rPr>
        <w:t xml:space="preserve"> to </w:t>
      </w:r>
      <w:r w:rsidR="00632DCD" w:rsidRPr="00AD32FF">
        <w:rPr>
          <w:rFonts w:ascii="Verdana" w:hAnsi="Verdana"/>
          <w:color w:val="000000"/>
          <w:sz w:val="22"/>
          <w:szCs w:val="22"/>
        </w:rPr>
        <w:t>outline the obligations and benefits that the private sector can expect as part of its contribution to a national</w:t>
      </w:r>
      <w:r w:rsidRPr="00AD32FF">
        <w:rPr>
          <w:rFonts w:ascii="Verdana" w:hAnsi="Verdana"/>
          <w:color w:val="000000"/>
          <w:sz w:val="22"/>
          <w:szCs w:val="22"/>
        </w:rPr>
        <w:t xml:space="preserve"> HE </w:t>
      </w:r>
      <w:r w:rsidR="00632DCD" w:rsidRPr="00AD32FF">
        <w:rPr>
          <w:rFonts w:ascii="Verdana" w:hAnsi="Verdana"/>
          <w:color w:val="000000"/>
          <w:sz w:val="22"/>
          <w:szCs w:val="22"/>
        </w:rPr>
        <w:t xml:space="preserve">strategy. </w:t>
      </w:r>
      <w:r w:rsidR="007B7C1E" w:rsidRPr="00AD32FF">
        <w:rPr>
          <w:rFonts w:ascii="Verdana" w:hAnsi="Verdana"/>
          <w:color w:val="000000"/>
          <w:sz w:val="22"/>
          <w:szCs w:val="22"/>
        </w:rPr>
        <w:t xml:space="preserve"> </w:t>
      </w:r>
      <w:r w:rsidR="00632DCD" w:rsidRPr="00AD32FF">
        <w:rPr>
          <w:rFonts w:ascii="Verdana" w:hAnsi="Verdana"/>
          <w:color w:val="000000"/>
          <w:sz w:val="22"/>
          <w:szCs w:val="22"/>
        </w:rPr>
        <w:t>Whether the</w:t>
      </w:r>
      <w:r w:rsidRPr="00AD32FF">
        <w:rPr>
          <w:rFonts w:ascii="Verdana" w:hAnsi="Verdana"/>
          <w:color w:val="000000"/>
          <w:sz w:val="22"/>
          <w:szCs w:val="22"/>
        </w:rPr>
        <w:t xml:space="preserve"> </w:t>
      </w:r>
      <w:r w:rsidR="0031418D" w:rsidRPr="00AD32FF">
        <w:rPr>
          <w:rFonts w:ascii="Verdana" w:hAnsi="Verdana"/>
          <w:color w:val="000000"/>
          <w:sz w:val="22"/>
          <w:szCs w:val="22"/>
        </w:rPr>
        <w:t xml:space="preserve">UK </w:t>
      </w:r>
      <w:r w:rsidR="00632DCD" w:rsidRPr="00AD32FF">
        <w:rPr>
          <w:rFonts w:ascii="Verdana" w:hAnsi="Verdana"/>
          <w:color w:val="000000"/>
          <w:sz w:val="22"/>
          <w:szCs w:val="22"/>
        </w:rPr>
        <w:t>is yet ready to consider the private secto</w:t>
      </w:r>
      <w:r w:rsidR="007B7C1E" w:rsidRPr="00AD32FF">
        <w:rPr>
          <w:rFonts w:ascii="Verdana" w:hAnsi="Verdana"/>
          <w:color w:val="000000"/>
          <w:sz w:val="22"/>
          <w:szCs w:val="22"/>
        </w:rPr>
        <w:t>r in this light is a moot point.</w:t>
      </w:r>
      <w:r w:rsidR="00632DCD" w:rsidRPr="00AD32FF">
        <w:rPr>
          <w:rFonts w:ascii="Verdana" w:hAnsi="Verdana"/>
          <w:color w:val="000000"/>
          <w:sz w:val="22"/>
          <w:szCs w:val="22"/>
        </w:rPr>
        <w:t xml:space="preserve"> </w:t>
      </w:r>
      <w:r w:rsidR="00864F96" w:rsidRPr="00AD32FF">
        <w:rPr>
          <w:rFonts w:ascii="Verdana" w:hAnsi="Verdana"/>
          <w:color w:val="000000"/>
          <w:sz w:val="22"/>
          <w:szCs w:val="22"/>
        </w:rPr>
        <w:t>A</w:t>
      </w:r>
      <w:r w:rsidR="00EC2B6F" w:rsidRPr="00AD32FF">
        <w:rPr>
          <w:rFonts w:ascii="Verdana" w:hAnsi="Verdana"/>
          <w:color w:val="000000"/>
          <w:sz w:val="22"/>
          <w:szCs w:val="22"/>
        </w:rPr>
        <w:t>s it grows, some more formalised and comprehensive regulatory framework will be needed to protect both the interests of students and the reputation of the better-established private providers.</w:t>
      </w:r>
    </w:p>
    <w:p w:rsidR="00393C8B" w:rsidRPr="00AD32FF" w:rsidRDefault="005B76BF" w:rsidP="00F023B3">
      <w:pPr>
        <w:spacing w:before="120" w:line="300" w:lineRule="atLeast"/>
        <w:ind w:right="332"/>
        <w:rPr>
          <w:rFonts w:ascii="Verdana" w:hAnsi="Verdana"/>
          <w:b/>
          <w:color w:val="000000"/>
          <w:sz w:val="22"/>
          <w:szCs w:val="22"/>
        </w:rPr>
      </w:pPr>
      <w:r w:rsidRPr="00AD32FF">
        <w:rPr>
          <w:rFonts w:ascii="Verdana" w:hAnsi="Verdana"/>
          <w:b/>
          <w:color w:val="000000"/>
          <w:sz w:val="22"/>
          <w:szCs w:val="22"/>
        </w:rPr>
        <w:t xml:space="preserve">Some </w:t>
      </w:r>
      <w:r w:rsidR="003E5A09" w:rsidRPr="00AD32FF">
        <w:rPr>
          <w:rFonts w:ascii="Verdana" w:hAnsi="Verdana"/>
          <w:b/>
          <w:color w:val="000000"/>
          <w:sz w:val="22"/>
          <w:szCs w:val="22"/>
        </w:rPr>
        <w:t>p</w:t>
      </w:r>
      <w:r w:rsidRPr="00AD32FF">
        <w:rPr>
          <w:rFonts w:ascii="Verdana" w:hAnsi="Verdana"/>
          <w:b/>
          <w:color w:val="000000"/>
          <w:sz w:val="22"/>
          <w:szCs w:val="22"/>
        </w:rPr>
        <w:t xml:space="preserve">olicy options </w:t>
      </w:r>
    </w:p>
    <w:p w:rsidR="00393C8B" w:rsidRPr="00AD32FF" w:rsidRDefault="00C24F94"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Looking into the near future, and in the context of the changes that are taking place in England a</w:t>
      </w:r>
      <w:r w:rsidR="008E48AB" w:rsidRPr="00AD32FF">
        <w:rPr>
          <w:rFonts w:ascii="Verdana" w:hAnsi="Verdana"/>
          <w:color w:val="000000"/>
          <w:sz w:val="22"/>
          <w:szCs w:val="22"/>
        </w:rPr>
        <w:t xml:space="preserve">ny or all </w:t>
      </w:r>
      <w:r w:rsidR="005B76BF" w:rsidRPr="00AD32FF">
        <w:rPr>
          <w:rFonts w:ascii="Verdana" w:hAnsi="Verdana"/>
          <w:color w:val="000000"/>
          <w:sz w:val="22"/>
          <w:szCs w:val="22"/>
        </w:rPr>
        <w:t>the following elements</w:t>
      </w:r>
      <w:r w:rsidR="008E48AB" w:rsidRPr="00AD32FF">
        <w:rPr>
          <w:rFonts w:ascii="Verdana" w:hAnsi="Verdana"/>
          <w:color w:val="000000"/>
          <w:sz w:val="22"/>
          <w:szCs w:val="22"/>
        </w:rPr>
        <w:t xml:space="preserve"> </w:t>
      </w:r>
      <w:r w:rsidR="0031418D" w:rsidRPr="00AD32FF">
        <w:rPr>
          <w:rFonts w:ascii="Verdana" w:hAnsi="Verdana"/>
          <w:color w:val="000000"/>
          <w:sz w:val="22"/>
          <w:szCs w:val="22"/>
        </w:rPr>
        <w:t>seem</w:t>
      </w:r>
      <w:r w:rsidR="008E48AB" w:rsidRPr="00AD32FF">
        <w:rPr>
          <w:rFonts w:ascii="Verdana" w:hAnsi="Verdana"/>
          <w:color w:val="000000"/>
          <w:sz w:val="22"/>
          <w:szCs w:val="22"/>
        </w:rPr>
        <w:t xml:space="preserve"> likely</w:t>
      </w:r>
      <w:r w:rsidR="0031418D" w:rsidRPr="00AD32FF">
        <w:rPr>
          <w:rFonts w:ascii="Verdana" w:hAnsi="Verdana"/>
          <w:color w:val="000000"/>
          <w:sz w:val="22"/>
          <w:szCs w:val="22"/>
        </w:rPr>
        <w:t>:</w:t>
      </w:r>
      <w:r w:rsidR="008E48AB" w:rsidRPr="00AD32FF">
        <w:rPr>
          <w:rFonts w:ascii="Verdana" w:hAnsi="Verdana"/>
          <w:color w:val="000000"/>
          <w:sz w:val="22"/>
          <w:szCs w:val="22"/>
        </w:rPr>
        <w:t xml:space="preserve"> </w:t>
      </w:r>
    </w:p>
    <w:p w:rsidR="005B76BF" w:rsidRPr="00AD32FF" w:rsidRDefault="008E48AB" w:rsidP="00F023B3">
      <w:pPr>
        <w:numPr>
          <w:ilvl w:val="0"/>
          <w:numId w:val="25"/>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D</w:t>
      </w:r>
      <w:r w:rsidR="005B76BF" w:rsidRPr="00AD32FF">
        <w:rPr>
          <w:rFonts w:ascii="Verdana" w:hAnsi="Verdana"/>
          <w:color w:val="000000"/>
          <w:sz w:val="22"/>
          <w:szCs w:val="22"/>
        </w:rPr>
        <w:t>ifferent regulatory models applied to different categories of university.</w:t>
      </w:r>
    </w:p>
    <w:p w:rsidR="005B76BF" w:rsidRPr="00AD32FF" w:rsidRDefault="005B76BF" w:rsidP="00F023B3">
      <w:pPr>
        <w:numPr>
          <w:ilvl w:val="0"/>
          <w:numId w:val="25"/>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A higher education system driven principally by a competitive market ethos.</w:t>
      </w:r>
    </w:p>
    <w:p w:rsidR="005B76BF" w:rsidRPr="00AD32FF" w:rsidRDefault="005B76BF" w:rsidP="00F023B3">
      <w:pPr>
        <w:numPr>
          <w:ilvl w:val="0"/>
          <w:numId w:val="25"/>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lastRenderedPageBreak/>
        <w:t>Private funding flowing into expanding the private sector.</w:t>
      </w:r>
    </w:p>
    <w:p w:rsidR="005B76BF" w:rsidRPr="00AD32FF" w:rsidRDefault="008E48AB" w:rsidP="00F023B3">
      <w:pPr>
        <w:numPr>
          <w:ilvl w:val="0"/>
          <w:numId w:val="25"/>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Public </w:t>
      </w:r>
      <w:r w:rsidR="005B76BF" w:rsidRPr="00AD32FF">
        <w:rPr>
          <w:rFonts w:ascii="Verdana" w:hAnsi="Verdana"/>
          <w:color w:val="000000"/>
          <w:sz w:val="22"/>
          <w:szCs w:val="22"/>
        </w:rPr>
        <w:t xml:space="preserve">funding used to incentivise private providers or to </w:t>
      </w:r>
      <w:r w:rsidRPr="00AD32FF">
        <w:rPr>
          <w:rFonts w:ascii="Verdana" w:hAnsi="Verdana"/>
          <w:color w:val="000000"/>
          <w:sz w:val="22"/>
          <w:szCs w:val="22"/>
        </w:rPr>
        <w:t xml:space="preserve">contract with them to </w:t>
      </w:r>
      <w:r w:rsidR="00152709" w:rsidRPr="00AD32FF">
        <w:rPr>
          <w:rFonts w:ascii="Verdana" w:hAnsi="Verdana"/>
          <w:color w:val="000000"/>
          <w:sz w:val="22"/>
          <w:szCs w:val="22"/>
        </w:rPr>
        <w:t xml:space="preserve">plug </w:t>
      </w:r>
      <w:r w:rsidR="005B76BF" w:rsidRPr="00AD32FF">
        <w:rPr>
          <w:rFonts w:ascii="Verdana" w:hAnsi="Verdana"/>
          <w:color w:val="000000"/>
          <w:sz w:val="22"/>
          <w:szCs w:val="22"/>
        </w:rPr>
        <w:t xml:space="preserve">gaps </w:t>
      </w:r>
      <w:r w:rsidR="00152709" w:rsidRPr="00AD32FF">
        <w:rPr>
          <w:rFonts w:ascii="Verdana" w:hAnsi="Verdana"/>
          <w:color w:val="000000"/>
          <w:sz w:val="22"/>
          <w:szCs w:val="22"/>
        </w:rPr>
        <w:t xml:space="preserve">or remedy failures </w:t>
      </w:r>
      <w:r w:rsidR="005B76BF" w:rsidRPr="00AD32FF">
        <w:rPr>
          <w:rFonts w:ascii="Verdana" w:hAnsi="Verdana"/>
          <w:color w:val="000000"/>
          <w:sz w:val="22"/>
          <w:szCs w:val="22"/>
        </w:rPr>
        <w:t>in publicly funded provision.</w:t>
      </w:r>
    </w:p>
    <w:p w:rsidR="005B76BF" w:rsidRPr="00AD32FF" w:rsidRDefault="005B76BF" w:rsidP="00F023B3">
      <w:pPr>
        <w:numPr>
          <w:ilvl w:val="0"/>
          <w:numId w:val="25"/>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International providers playing a bigger role by establishing campuses </w:t>
      </w:r>
      <w:r w:rsidR="00152709" w:rsidRPr="00AD32FF">
        <w:rPr>
          <w:rFonts w:ascii="Verdana" w:hAnsi="Verdana"/>
          <w:color w:val="000000"/>
          <w:sz w:val="22"/>
          <w:szCs w:val="22"/>
        </w:rPr>
        <w:t xml:space="preserve">through </w:t>
      </w:r>
      <w:r w:rsidRPr="00AD32FF">
        <w:rPr>
          <w:rFonts w:ascii="Verdana" w:hAnsi="Verdana"/>
          <w:color w:val="000000"/>
          <w:sz w:val="22"/>
          <w:szCs w:val="22"/>
        </w:rPr>
        <w:t>a “UK higher education hub”.</w:t>
      </w:r>
    </w:p>
    <w:p w:rsidR="00393C8B" w:rsidRPr="00AD32FF" w:rsidRDefault="005B76BF"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In considering the range of future options</w:t>
      </w:r>
      <w:r w:rsidR="00152709" w:rsidRPr="00AD32FF">
        <w:rPr>
          <w:rFonts w:ascii="Verdana" w:hAnsi="Verdana"/>
          <w:color w:val="000000"/>
          <w:sz w:val="22"/>
          <w:szCs w:val="22"/>
        </w:rPr>
        <w:t>,</w:t>
      </w:r>
      <w:r w:rsidRPr="00AD32FF">
        <w:rPr>
          <w:rFonts w:ascii="Verdana" w:hAnsi="Verdana"/>
          <w:color w:val="000000"/>
          <w:sz w:val="22"/>
          <w:szCs w:val="22"/>
        </w:rPr>
        <w:t xml:space="preserve"> we suggest some</w:t>
      </w:r>
      <w:r w:rsidRPr="00AD32FF">
        <w:rPr>
          <w:rFonts w:ascii="Verdana" w:hAnsi="Verdana"/>
          <w:i/>
          <w:color w:val="000000"/>
          <w:sz w:val="22"/>
          <w:szCs w:val="22"/>
        </w:rPr>
        <w:t xml:space="preserve"> </w:t>
      </w:r>
      <w:r w:rsidR="0031418D" w:rsidRPr="00AD32FF">
        <w:rPr>
          <w:rFonts w:ascii="Verdana" w:hAnsi="Verdana"/>
          <w:color w:val="000000"/>
          <w:sz w:val="22"/>
          <w:szCs w:val="22"/>
        </w:rPr>
        <w:t>g</w:t>
      </w:r>
      <w:r w:rsidRPr="00AD32FF">
        <w:rPr>
          <w:rFonts w:ascii="Verdana" w:hAnsi="Verdana"/>
          <w:color w:val="000000"/>
          <w:sz w:val="22"/>
          <w:szCs w:val="22"/>
        </w:rPr>
        <w:t>eneral principles to bear in mind:</w:t>
      </w:r>
    </w:p>
    <w:p w:rsidR="005B76BF"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Any new policies ought to cover all private providers –UK</w:t>
      </w:r>
      <w:r w:rsidR="00C24F94" w:rsidRPr="00AD32FF">
        <w:rPr>
          <w:rFonts w:ascii="Verdana" w:hAnsi="Verdana"/>
          <w:color w:val="000000"/>
          <w:sz w:val="22"/>
          <w:szCs w:val="22"/>
        </w:rPr>
        <w:t>-based</w:t>
      </w:r>
      <w:r w:rsidRPr="00AD32FF">
        <w:rPr>
          <w:rFonts w:ascii="Verdana" w:hAnsi="Verdana"/>
          <w:color w:val="000000"/>
          <w:sz w:val="22"/>
          <w:szCs w:val="22"/>
        </w:rPr>
        <w:t xml:space="preserve"> as well as international universities or corporations choosing to operate in the UK.</w:t>
      </w:r>
    </w:p>
    <w:p w:rsidR="005B76BF"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There </w:t>
      </w:r>
      <w:r w:rsidR="00EC2B6F" w:rsidRPr="00AD32FF">
        <w:rPr>
          <w:rFonts w:ascii="Verdana" w:hAnsi="Verdana"/>
          <w:color w:val="000000"/>
          <w:sz w:val="22"/>
          <w:szCs w:val="22"/>
        </w:rPr>
        <w:t>should be no distinctions in the treatment of for-profit and not-for-profit providers, unless clearly justified</w:t>
      </w:r>
      <w:r w:rsidRPr="00AD32FF">
        <w:rPr>
          <w:rFonts w:ascii="Verdana" w:hAnsi="Verdana"/>
          <w:color w:val="000000"/>
          <w:sz w:val="22"/>
          <w:szCs w:val="22"/>
        </w:rPr>
        <w:t>.</w:t>
      </w:r>
    </w:p>
    <w:p w:rsidR="005B76BF" w:rsidRPr="00AD32FF" w:rsidRDefault="00EC2B6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The </w:t>
      </w:r>
      <w:r w:rsidR="005B76BF" w:rsidRPr="00AD32FF">
        <w:rPr>
          <w:rFonts w:ascii="Verdana" w:hAnsi="Verdana"/>
          <w:color w:val="000000"/>
          <w:sz w:val="22"/>
          <w:szCs w:val="22"/>
        </w:rPr>
        <w:t xml:space="preserve">approach to regulation and funding </w:t>
      </w:r>
      <w:r w:rsidR="0031418D" w:rsidRPr="00AD32FF">
        <w:rPr>
          <w:rFonts w:ascii="Verdana" w:hAnsi="Verdana"/>
          <w:color w:val="000000"/>
          <w:sz w:val="22"/>
          <w:szCs w:val="22"/>
        </w:rPr>
        <w:t xml:space="preserve">must </w:t>
      </w:r>
      <w:r w:rsidR="005B76BF" w:rsidRPr="00AD32FF">
        <w:rPr>
          <w:rFonts w:ascii="Verdana" w:hAnsi="Verdana"/>
          <w:color w:val="000000"/>
          <w:sz w:val="22"/>
          <w:szCs w:val="22"/>
        </w:rPr>
        <w:t>stand up over time</w:t>
      </w:r>
      <w:r w:rsidR="00152709" w:rsidRPr="00AD32FF">
        <w:rPr>
          <w:rFonts w:ascii="Verdana" w:hAnsi="Verdana"/>
          <w:color w:val="000000"/>
          <w:sz w:val="22"/>
          <w:szCs w:val="22"/>
        </w:rPr>
        <w:t xml:space="preserve"> to avoid alterations arising from new </w:t>
      </w:r>
      <w:r w:rsidR="005B76BF" w:rsidRPr="00AD32FF">
        <w:rPr>
          <w:rFonts w:ascii="Verdana" w:hAnsi="Verdana"/>
          <w:color w:val="000000"/>
          <w:sz w:val="22"/>
          <w:szCs w:val="22"/>
        </w:rPr>
        <w:t>political agendas, changing attitudes to the private sector or the limitations of funding pot</w:t>
      </w:r>
      <w:r w:rsidR="0031418D" w:rsidRPr="00AD32FF">
        <w:rPr>
          <w:rFonts w:ascii="Verdana" w:hAnsi="Verdana"/>
          <w:color w:val="000000"/>
          <w:sz w:val="22"/>
          <w:szCs w:val="22"/>
        </w:rPr>
        <w:t>s</w:t>
      </w:r>
      <w:r w:rsidR="005B76BF" w:rsidRPr="00AD32FF">
        <w:rPr>
          <w:rFonts w:ascii="Verdana" w:hAnsi="Verdana"/>
          <w:color w:val="000000"/>
          <w:sz w:val="22"/>
          <w:szCs w:val="22"/>
        </w:rPr>
        <w:t xml:space="preserve"> available.</w:t>
      </w:r>
    </w:p>
    <w:p w:rsidR="005B76BF"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The approach to regulating public and private institutions </w:t>
      </w:r>
      <w:r w:rsidR="00EC2B6F" w:rsidRPr="00AD32FF">
        <w:rPr>
          <w:rFonts w:ascii="Verdana" w:hAnsi="Verdana"/>
          <w:color w:val="000000"/>
          <w:sz w:val="22"/>
          <w:szCs w:val="22"/>
        </w:rPr>
        <w:t>should be</w:t>
      </w:r>
      <w:r w:rsidRPr="00AD32FF">
        <w:rPr>
          <w:rFonts w:ascii="Verdana" w:hAnsi="Verdana"/>
          <w:color w:val="000000"/>
          <w:sz w:val="22"/>
          <w:szCs w:val="22"/>
        </w:rPr>
        <w:t xml:space="preserve"> ‘equitable’</w:t>
      </w:r>
      <w:r w:rsidR="00EC2B6F" w:rsidRPr="00AD32FF">
        <w:rPr>
          <w:rFonts w:ascii="Verdana" w:hAnsi="Verdana"/>
          <w:color w:val="000000"/>
          <w:sz w:val="22"/>
          <w:szCs w:val="22"/>
        </w:rPr>
        <w:t>, and</w:t>
      </w:r>
      <w:r w:rsidRPr="00AD32FF">
        <w:rPr>
          <w:rFonts w:ascii="Verdana" w:hAnsi="Verdana"/>
          <w:color w:val="000000"/>
          <w:sz w:val="22"/>
          <w:szCs w:val="22"/>
        </w:rPr>
        <w:t xml:space="preserve"> wherever possible the playing field should be level – for example the accreditation and quality assurance regimes and evaluation criteria should be </w:t>
      </w:r>
      <w:r w:rsidR="005445A1" w:rsidRPr="00AD32FF">
        <w:rPr>
          <w:rFonts w:ascii="Verdana" w:hAnsi="Verdana"/>
          <w:color w:val="000000"/>
          <w:sz w:val="22"/>
          <w:szCs w:val="22"/>
        </w:rPr>
        <w:t>the same</w:t>
      </w:r>
      <w:r w:rsidRPr="00AD32FF">
        <w:rPr>
          <w:rFonts w:ascii="Verdana" w:hAnsi="Verdana"/>
          <w:color w:val="000000"/>
          <w:sz w:val="22"/>
          <w:szCs w:val="22"/>
        </w:rPr>
        <w:t>.</w:t>
      </w:r>
      <w:r w:rsidR="004023A2" w:rsidRPr="00AD32FF">
        <w:rPr>
          <w:rStyle w:val="FootnoteReference"/>
          <w:rFonts w:ascii="Verdana" w:hAnsi="Verdana"/>
          <w:color w:val="000000"/>
          <w:sz w:val="22"/>
          <w:szCs w:val="22"/>
        </w:rPr>
        <w:footnoteReference w:id="6"/>
      </w:r>
    </w:p>
    <w:p w:rsidR="005B76BF"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Any regulatory approach should balance controls and responsibilities with benefits or incentives</w:t>
      </w:r>
      <w:r w:rsidR="00152709" w:rsidRPr="00AD32FF">
        <w:rPr>
          <w:rFonts w:ascii="Verdana" w:hAnsi="Verdana"/>
          <w:color w:val="000000"/>
          <w:sz w:val="22"/>
          <w:szCs w:val="22"/>
        </w:rPr>
        <w:t xml:space="preserve">; </w:t>
      </w:r>
      <w:r w:rsidRPr="00AD32FF">
        <w:rPr>
          <w:rFonts w:ascii="Verdana" w:hAnsi="Verdana"/>
          <w:color w:val="000000"/>
          <w:sz w:val="22"/>
          <w:szCs w:val="22"/>
        </w:rPr>
        <w:t xml:space="preserve">ie. </w:t>
      </w:r>
      <w:proofErr w:type="gramStart"/>
      <w:r w:rsidRPr="00AD32FF">
        <w:rPr>
          <w:rFonts w:ascii="Verdana" w:hAnsi="Verdana"/>
          <w:color w:val="000000"/>
          <w:sz w:val="22"/>
          <w:szCs w:val="22"/>
        </w:rPr>
        <w:t>access</w:t>
      </w:r>
      <w:proofErr w:type="gramEnd"/>
      <w:r w:rsidRPr="00AD32FF">
        <w:rPr>
          <w:rFonts w:ascii="Verdana" w:hAnsi="Verdana"/>
          <w:color w:val="000000"/>
          <w:sz w:val="22"/>
          <w:szCs w:val="22"/>
        </w:rPr>
        <w:t xml:space="preserve"> to public funding in return for certain outcomes </w:t>
      </w:r>
      <w:r w:rsidR="008E48AB" w:rsidRPr="00AD32FF">
        <w:rPr>
          <w:rFonts w:ascii="Verdana" w:hAnsi="Verdana"/>
          <w:color w:val="000000"/>
          <w:sz w:val="22"/>
          <w:szCs w:val="22"/>
        </w:rPr>
        <w:t xml:space="preserve"> and accountabilities </w:t>
      </w:r>
      <w:r w:rsidRPr="00AD32FF">
        <w:rPr>
          <w:rFonts w:ascii="Verdana" w:hAnsi="Verdana"/>
          <w:color w:val="000000"/>
          <w:sz w:val="22"/>
          <w:szCs w:val="22"/>
        </w:rPr>
        <w:t xml:space="preserve">from the private providers. </w:t>
      </w:r>
    </w:p>
    <w:p w:rsidR="005B76BF"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The compulsory reporting of information by providers is a </w:t>
      </w:r>
      <w:r w:rsidRPr="00AD32FF">
        <w:rPr>
          <w:rFonts w:ascii="Verdana" w:hAnsi="Verdana"/>
          <w:i/>
          <w:color w:val="000000"/>
          <w:sz w:val="22"/>
          <w:szCs w:val="22"/>
        </w:rPr>
        <w:t xml:space="preserve">sine qua non. </w:t>
      </w:r>
      <w:r w:rsidRPr="00AD32FF">
        <w:rPr>
          <w:rFonts w:ascii="Verdana" w:hAnsi="Verdana"/>
          <w:color w:val="000000"/>
          <w:sz w:val="22"/>
          <w:szCs w:val="22"/>
        </w:rPr>
        <w:t>No regulation can be effective without it.</w:t>
      </w:r>
    </w:p>
    <w:p w:rsidR="00393C8B" w:rsidRPr="00AD32FF" w:rsidRDefault="005B76BF" w:rsidP="00F023B3">
      <w:pPr>
        <w:numPr>
          <w:ilvl w:val="0"/>
          <w:numId w:val="26"/>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Another </w:t>
      </w:r>
      <w:r w:rsidRPr="00AD32FF">
        <w:rPr>
          <w:rFonts w:ascii="Verdana" w:hAnsi="Verdana"/>
          <w:i/>
          <w:color w:val="000000"/>
          <w:sz w:val="22"/>
          <w:szCs w:val="22"/>
        </w:rPr>
        <w:t>sine qua non</w:t>
      </w:r>
      <w:r w:rsidRPr="00AD32FF">
        <w:rPr>
          <w:rFonts w:ascii="Verdana" w:hAnsi="Verdana"/>
          <w:color w:val="000000"/>
          <w:sz w:val="22"/>
          <w:szCs w:val="22"/>
        </w:rPr>
        <w:t xml:space="preserve"> before a new policy regime is in place is to agree suitable definitions of higher education (as opposed to further and professional education),  a “university”, “a private provider”, “a diploma” and “a certificate” compatible with the European qualifications framework. The boundaries with further education </w:t>
      </w:r>
      <w:r w:rsidR="00071BF7" w:rsidRPr="00AD32FF">
        <w:rPr>
          <w:rFonts w:ascii="Verdana" w:hAnsi="Verdana"/>
          <w:color w:val="000000"/>
          <w:sz w:val="22"/>
          <w:szCs w:val="22"/>
        </w:rPr>
        <w:t xml:space="preserve">provision </w:t>
      </w:r>
      <w:r w:rsidRPr="00AD32FF">
        <w:rPr>
          <w:rFonts w:ascii="Verdana" w:hAnsi="Verdana"/>
          <w:color w:val="000000"/>
          <w:sz w:val="22"/>
          <w:szCs w:val="22"/>
        </w:rPr>
        <w:t>will need to be clear.</w:t>
      </w:r>
    </w:p>
    <w:p w:rsidR="00C24F94" w:rsidRPr="00AD32FF" w:rsidRDefault="00C24F94" w:rsidP="00F023B3">
      <w:pPr>
        <w:numPr>
          <w:ilvl w:val="0"/>
          <w:numId w:val="21"/>
        </w:numPr>
        <w:spacing w:before="120" w:after="200" w:line="300" w:lineRule="atLeast"/>
        <w:ind w:left="0" w:right="332" w:firstLine="0"/>
        <w:rPr>
          <w:rFonts w:ascii="Verdana" w:hAnsi="Verdana"/>
          <w:color w:val="000000"/>
          <w:sz w:val="22"/>
          <w:szCs w:val="22"/>
        </w:rPr>
      </w:pPr>
      <w:r w:rsidRPr="00AD32FF">
        <w:rPr>
          <w:rFonts w:ascii="Verdana" w:hAnsi="Verdana"/>
          <w:color w:val="000000"/>
          <w:sz w:val="22"/>
          <w:szCs w:val="22"/>
        </w:rPr>
        <w:t>Among the policy options that might be considered, related to the regulation and control of a private sector</w:t>
      </w:r>
      <w:r w:rsidR="007E01FE" w:rsidRPr="00AD32FF">
        <w:rPr>
          <w:rFonts w:ascii="Verdana" w:hAnsi="Verdana"/>
          <w:color w:val="000000"/>
          <w:sz w:val="22"/>
          <w:szCs w:val="22"/>
        </w:rPr>
        <w:t xml:space="preserve"> in the UK</w:t>
      </w:r>
      <w:r w:rsidRPr="00AD32FF">
        <w:rPr>
          <w:rFonts w:ascii="Verdana" w:hAnsi="Verdana"/>
          <w:color w:val="000000"/>
          <w:sz w:val="22"/>
          <w:szCs w:val="22"/>
        </w:rPr>
        <w:t xml:space="preserve">, are the following: </w:t>
      </w:r>
    </w:p>
    <w:p w:rsidR="005B76BF" w:rsidRPr="00AD32FF" w:rsidRDefault="007E01FE"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A </w:t>
      </w:r>
      <w:r w:rsidR="005B76BF" w:rsidRPr="00AD32FF">
        <w:rPr>
          <w:rFonts w:ascii="Verdana" w:hAnsi="Verdana"/>
          <w:color w:val="000000"/>
          <w:sz w:val="22"/>
          <w:szCs w:val="22"/>
        </w:rPr>
        <w:t xml:space="preserve">starting point could be a Private Higher Education Act bringing together all the elements of a regulatory framework </w:t>
      </w:r>
      <w:r w:rsidRPr="00AD32FF">
        <w:rPr>
          <w:rFonts w:ascii="Verdana" w:hAnsi="Verdana"/>
          <w:color w:val="000000"/>
          <w:sz w:val="22"/>
          <w:szCs w:val="22"/>
        </w:rPr>
        <w:t xml:space="preserve">for non-publicly funded </w:t>
      </w:r>
      <w:proofErr w:type="gramStart"/>
      <w:r w:rsidRPr="00AD32FF">
        <w:rPr>
          <w:rFonts w:ascii="Verdana" w:hAnsi="Verdana"/>
          <w:color w:val="000000"/>
          <w:sz w:val="22"/>
          <w:szCs w:val="22"/>
        </w:rPr>
        <w:t>HE</w:t>
      </w:r>
      <w:proofErr w:type="gramEnd"/>
      <w:r w:rsidR="005B76BF" w:rsidRPr="00AD32FF">
        <w:rPr>
          <w:rFonts w:ascii="Verdana" w:hAnsi="Verdana"/>
          <w:color w:val="000000"/>
          <w:sz w:val="22"/>
          <w:szCs w:val="22"/>
        </w:rPr>
        <w:t xml:space="preserve">. </w:t>
      </w:r>
    </w:p>
    <w:p w:rsidR="009F0716" w:rsidRPr="00AD32FF" w:rsidRDefault="005B76BF"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lastRenderedPageBreak/>
        <w:t>For corporate providers</w:t>
      </w:r>
      <w:r w:rsidR="00152709" w:rsidRPr="00AD32FF">
        <w:rPr>
          <w:rFonts w:ascii="Verdana" w:hAnsi="Verdana"/>
          <w:color w:val="000000"/>
          <w:sz w:val="22"/>
          <w:szCs w:val="22"/>
        </w:rPr>
        <w:t>,</w:t>
      </w:r>
      <w:r w:rsidRPr="00AD32FF">
        <w:rPr>
          <w:rFonts w:ascii="Verdana" w:hAnsi="Verdana"/>
          <w:color w:val="000000"/>
          <w:sz w:val="22"/>
          <w:szCs w:val="22"/>
        </w:rPr>
        <w:t xml:space="preserve"> company legislation </w:t>
      </w:r>
      <w:r w:rsidR="007E01FE" w:rsidRPr="00AD32FF">
        <w:rPr>
          <w:rFonts w:ascii="Verdana" w:hAnsi="Verdana"/>
          <w:color w:val="000000"/>
          <w:sz w:val="22"/>
          <w:szCs w:val="22"/>
        </w:rPr>
        <w:t xml:space="preserve">could be combined </w:t>
      </w:r>
      <w:r w:rsidRPr="00AD32FF">
        <w:rPr>
          <w:rFonts w:ascii="Verdana" w:hAnsi="Verdana"/>
          <w:color w:val="000000"/>
          <w:sz w:val="22"/>
          <w:szCs w:val="22"/>
        </w:rPr>
        <w:t xml:space="preserve">with education </w:t>
      </w:r>
      <w:proofErr w:type="gramStart"/>
      <w:r w:rsidRPr="00AD32FF">
        <w:rPr>
          <w:rFonts w:ascii="Verdana" w:hAnsi="Verdana"/>
          <w:color w:val="000000"/>
          <w:sz w:val="22"/>
          <w:szCs w:val="22"/>
        </w:rPr>
        <w:t xml:space="preserve">legislation </w:t>
      </w:r>
      <w:r w:rsidR="007E01FE" w:rsidRPr="00AD32FF">
        <w:rPr>
          <w:rFonts w:ascii="Verdana" w:hAnsi="Verdana"/>
          <w:color w:val="000000"/>
          <w:sz w:val="22"/>
          <w:szCs w:val="22"/>
        </w:rPr>
        <w:t>,</w:t>
      </w:r>
      <w:proofErr w:type="gramEnd"/>
      <w:r w:rsidR="007E01FE" w:rsidRPr="00AD32FF">
        <w:rPr>
          <w:rFonts w:ascii="Verdana" w:hAnsi="Verdana"/>
          <w:color w:val="000000"/>
          <w:sz w:val="22"/>
          <w:szCs w:val="22"/>
        </w:rPr>
        <w:t xml:space="preserve"> </w:t>
      </w:r>
      <w:r w:rsidRPr="00AD32FF">
        <w:rPr>
          <w:rFonts w:ascii="Verdana" w:hAnsi="Verdana"/>
          <w:color w:val="000000"/>
          <w:sz w:val="22"/>
          <w:szCs w:val="22"/>
        </w:rPr>
        <w:t>and a licence</w:t>
      </w:r>
      <w:r w:rsidR="007E01FE" w:rsidRPr="00AD32FF">
        <w:rPr>
          <w:rFonts w:ascii="Verdana" w:hAnsi="Verdana"/>
          <w:color w:val="000000"/>
          <w:sz w:val="22"/>
          <w:szCs w:val="22"/>
        </w:rPr>
        <w:t xml:space="preserve"> (or interim licence)</w:t>
      </w:r>
      <w:r w:rsidRPr="00AD32FF">
        <w:rPr>
          <w:rFonts w:ascii="Verdana" w:hAnsi="Verdana"/>
          <w:color w:val="000000"/>
          <w:sz w:val="22"/>
          <w:szCs w:val="22"/>
        </w:rPr>
        <w:t xml:space="preserve"> </w:t>
      </w:r>
      <w:r w:rsidR="007E01FE" w:rsidRPr="00AD32FF">
        <w:rPr>
          <w:rFonts w:ascii="Verdana" w:hAnsi="Verdana"/>
          <w:color w:val="000000"/>
          <w:sz w:val="22"/>
          <w:szCs w:val="22"/>
        </w:rPr>
        <w:t xml:space="preserve">required </w:t>
      </w:r>
      <w:r w:rsidRPr="00AD32FF">
        <w:rPr>
          <w:rFonts w:ascii="Verdana" w:hAnsi="Verdana"/>
          <w:color w:val="000000"/>
          <w:sz w:val="22"/>
          <w:szCs w:val="22"/>
        </w:rPr>
        <w:t>to operate as an educational business. A second step is to require approval to o</w:t>
      </w:r>
      <w:r w:rsidR="001E02AC" w:rsidRPr="00AD32FF">
        <w:rPr>
          <w:rFonts w:ascii="Verdana" w:hAnsi="Verdana"/>
          <w:color w:val="000000"/>
          <w:sz w:val="22"/>
          <w:szCs w:val="22"/>
        </w:rPr>
        <w:t>perate as an education provider.</w:t>
      </w:r>
    </w:p>
    <w:p w:rsidR="005B76BF" w:rsidRPr="00AD32FF" w:rsidRDefault="007E01FE"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There is </w:t>
      </w:r>
      <w:r w:rsidR="005B76BF" w:rsidRPr="00AD32FF">
        <w:rPr>
          <w:rFonts w:ascii="Verdana" w:hAnsi="Verdana"/>
          <w:color w:val="000000"/>
          <w:sz w:val="22"/>
          <w:szCs w:val="22"/>
        </w:rPr>
        <w:t xml:space="preserve">no </w:t>
      </w:r>
      <w:r w:rsidR="000515AD" w:rsidRPr="00AD32FF">
        <w:rPr>
          <w:rFonts w:ascii="Verdana" w:hAnsi="Verdana"/>
          <w:color w:val="000000"/>
          <w:sz w:val="22"/>
          <w:szCs w:val="22"/>
        </w:rPr>
        <w:t xml:space="preserve">formal process of </w:t>
      </w:r>
      <w:r w:rsidR="005B76BF" w:rsidRPr="00AD32FF">
        <w:rPr>
          <w:rFonts w:ascii="Verdana" w:hAnsi="Verdana"/>
          <w:color w:val="000000"/>
          <w:sz w:val="22"/>
          <w:szCs w:val="22"/>
        </w:rPr>
        <w:t>education</w:t>
      </w:r>
      <w:r w:rsidR="0031418D" w:rsidRPr="00AD32FF">
        <w:rPr>
          <w:rFonts w:ascii="Verdana" w:hAnsi="Verdana"/>
          <w:color w:val="000000"/>
          <w:sz w:val="22"/>
          <w:szCs w:val="22"/>
        </w:rPr>
        <w:t xml:space="preserve">al accreditation </w:t>
      </w:r>
      <w:r w:rsidR="00071BF7" w:rsidRPr="00AD32FF">
        <w:rPr>
          <w:rFonts w:ascii="Verdana" w:hAnsi="Verdana"/>
          <w:color w:val="000000"/>
          <w:sz w:val="22"/>
          <w:szCs w:val="22"/>
        </w:rPr>
        <w:t xml:space="preserve">for publicly-funded </w:t>
      </w:r>
      <w:r w:rsidR="00071BF7" w:rsidRPr="00AD32FF">
        <w:rPr>
          <w:rFonts w:ascii="Verdana" w:hAnsi="Verdana"/>
          <w:i/>
          <w:color w:val="000000"/>
          <w:sz w:val="22"/>
          <w:szCs w:val="22"/>
        </w:rPr>
        <w:t>institution</w:t>
      </w:r>
      <w:r w:rsidRPr="00AD32FF">
        <w:rPr>
          <w:rFonts w:ascii="Verdana" w:hAnsi="Verdana"/>
          <w:i/>
          <w:color w:val="000000"/>
          <w:sz w:val="22"/>
          <w:szCs w:val="22"/>
        </w:rPr>
        <w:t>s</w:t>
      </w:r>
      <w:r w:rsidR="00071BF7" w:rsidRPr="00AD32FF">
        <w:rPr>
          <w:rFonts w:ascii="Verdana" w:hAnsi="Verdana"/>
          <w:i/>
          <w:color w:val="000000"/>
          <w:sz w:val="22"/>
          <w:szCs w:val="22"/>
        </w:rPr>
        <w:t>.</w:t>
      </w:r>
      <w:r w:rsidRPr="00AD32FF">
        <w:rPr>
          <w:rFonts w:ascii="Verdana" w:hAnsi="Verdana"/>
          <w:color w:val="000000"/>
          <w:sz w:val="22"/>
          <w:szCs w:val="22"/>
        </w:rPr>
        <w:t xml:space="preserve"> A </w:t>
      </w:r>
      <w:r w:rsidR="00071BF7" w:rsidRPr="00AD32FF">
        <w:rPr>
          <w:rFonts w:ascii="Verdana" w:hAnsi="Verdana"/>
          <w:color w:val="000000"/>
          <w:sz w:val="22"/>
          <w:szCs w:val="22"/>
        </w:rPr>
        <w:t xml:space="preserve">system of accreditation </w:t>
      </w:r>
      <w:r w:rsidRPr="00AD32FF">
        <w:rPr>
          <w:rFonts w:ascii="Verdana" w:hAnsi="Verdana"/>
          <w:color w:val="000000"/>
          <w:sz w:val="22"/>
          <w:szCs w:val="22"/>
        </w:rPr>
        <w:t xml:space="preserve">could be introduced </w:t>
      </w:r>
      <w:r w:rsidR="005B76BF" w:rsidRPr="00AD32FF">
        <w:rPr>
          <w:rFonts w:ascii="Verdana" w:hAnsi="Verdana"/>
          <w:color w:val="000000"/>
          <w:sz w:val="22"/>
          <w:szCs w:val="22"/>
        </w:rPr>
        <w:t>to cover both sub-degree and degree</w:t>
      </w:r>
      <w:r w:rsidR="00E217AF" w:rsidRPr="00AD32FF">
        <w:rPr>
          <w:rFonts w:ascii="Verdana" w:hAnsi="Verdana"/>
          <w:color w:val="000000"/>
          <w:sz w:val="22"/>
          <w:szCs w:val="22"/>
        </w:rPr>
        <w:t>-</w:t>
      </w:r>
      <w:r w:rsidR="005B76BF" w:rsidRPr="00AD32FF">
        <w:rPr>
          <w:rFonts w:ascii="Verdana" w:hAnsi="Verdana"/>
          <w:color w:val="000000"/>
          <w:sz w:val="22"/>
          <w:szCs w:val="22"/>
        </w:rPr>
        <w:t>level provision (thus, replacing the DAP</w:t>
      </w:r>
      <w:r w:rsidR="00152709" w:rsidRPr="00AD32FF">
        <w:rPr>
          <w:rFonts w:ascii="Verdana" w:hAnsi="Verdana"/>
          <w:color w:val="000000"/>
          <w:sz w:val="22"/>
          <w:szCs w:val="22"/>
        </w:rPr>
        <w:t>s</w:t>
      </w:r>
      <w:r w:rsidR="005B76BF" w:rsidRPr="00AD32FF">
        <w:rPr>
          <w:rFonts w:ascii="Verdana" w:hAnsi="Verdana"/>
          <w:color w:val="000000"/>
          <w:sz w:val="22"/>
          <w:szCs w:val="22"/>
        </w:rPr>
        <w:t xml:space="preserve"> review in the latter case</w:t>
      </w:r>
      <w:r w:rsidRPr="00AD32FF">
        <w:rPr>
          <w:rFonts w:ascii="Verdana" w:hAnsi="Verdana"/>
          <w:color w:val="000000"/>
          <w:sz w:val="22"/>
          <w:szCs w:val="22"/>
        </w:rPr>
        <w:t xml:space="preserve">) possibly taking </w:t>
      </w:r>
      <w:r w:rsidR="005B76BF" w:rsidRPr="00AD32FF">
        <w:rPr>
          <w:rFonts w:ascii="Verdana" w:hAnsi="Verdana"/>
          <w:color w:val="000000"/>
          <w:sz w:val="22"/>
          <w:szCs w:val="22"/>
        </w:rPr>
        <w:t xml:space="preserve">on board the interests of the UKBA. </w:t>
      </w:r>
      <w:r w:rsidR="00071BF7" w:rsidRPr="00AD32FF">
        <w:rPr>
          <w:rFonts w:ascii="Verdana" w:hAnsi="Verdana"/>
          <w:color w:val="000000"/>
          <w:sz w:val="22"/>
          <w:szCs w:val="22"/>
        </w:rPr>
        <w:t xml:space="preserve"> The agency undertaking</w:t>
      </w:r>
      <w:r w:rsidRPr="00AD32FF">
        <w:rPr>
          <w:rFonts w:ascii="Verdana" w:hAnsi="Verdana"/>
          <w:color w:val="000000"/>
          <w:sz w:val="22"/>
          <w:szCs w:val="22"/>
        </w:rPr>
        <w:t xml:space="preserve"> this </w:t>
      </w:r>
      <w:r w:rsidR="005B76BF" w:rsidRPr="00AD32FF">
        <w:rPr>
          <w:rFonts w:ascii="Verdana" w:hAnsi="Verdana"/>
          <w:color w:val="000000"/>
          <w:sz w:val="22"/>
          <w:szCs w:val="22"/>
        </w:rPr>
        <w:t>could also continue to operate external quality reviews</w:t>
      </w:r>
      <w:r w:rsidR="00082E55" w:rsidRPr="00AD32FF">
        <w:rPr>
          <w:rFonts w:ascii="Verdana" w:hAnsi="Verdana"/>
          <w:color w:val="000000"/>
          <w:sz w:val="22"/>
          <w:szCs w:val="22"/>
        </w:rPr>
        <w:t>.</w:t>
      </w:r>
      <w:r w:rsidR="005B76BF" w:rsidRPr="00AD32FF">
        <w:rPr>
          <w:rFonts w:ascii="Verdana" w:hAnsi="Verdana"/>
          <w:color w:val="000000"/>
          <w:sz w:val="22"/>
          <w:szCs w:val="22"/>
        </w:rPr>
        <w:t xml:space="preserve"> All educational accreditations for both public and private institutions could be time</w:t>
      </w:r>
      <w:r w:rsidR="00152709" w:rsidRPr="00AD32FF">
        <w:rPr>
          <w:rFonts w:ascii="Verdana" w:hAnsi="Verdana"/>
          <w:color w:val="000000"/>
          <w:sz w:val="22"/>
          <w:szCs w:val="22"/>
        </w:rPr>
        <w:t>-</w:t>
      </w:r>
      <w:r w:rsidR="005B76BF" w:rsidRPr="00AD32FF">
        <w:rPr>
          <w:rFonts w:ascii="Verdana" w:hAnsi="Verdana"/>
          <w:color w:val="000000"/>
          <w:sz w:val="22"/>
          <w:szCs w:val="22"/>
        </w:rPr>
        <w:t>limited and subject to review.</w:t>
      </w:r>
    </w:p>
    <w:p w:rsidR="009F0716" w:rsidRPr="00AD32FF" w:rsidRDefault="005B76BF"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Existing campuses of foreign universities and any foreign</w:t>
      </w:r>
      <w:r w:rsidR="007E01FE" w:rsidRPr="00AD32FF">
        <w:rPr>
          <w:rFonts w:ascii="Verdana" w:hAnsi="Verdana"/>
          <w:color w:val="000000"/>
          <w:sz w:val="22"/>
          <w:szCs w:val="22"/>
        </w:rPr>
        <w:t xml:space="preserve"> institution </w:t>
      </w:r>
      <w:r w:rsidRPr="00AD32FF">
        <w:rPr>
          <w:rFonts w:ascii="Verdana" w:hAnsi="Verdana"/>
          <w:color w:val="000000"/>
          <w:sz w:val="22"/>
          <w:szCs w:val="22"/>
        </w:rPr>
        <w:t xml:space="preserve">wishing to establish itself should be required to register and obtain a license to operate. Thereafter, they should be subject to the same accreditation and review processes as domestic providers if they plan to enrol UK/EU citizens. </w:t>
      </w:r>
    </w:p>
    <w:p w:rsidR="009F0716" w:rsidRPr="00AD32FF" w:rsidRDefault="005B76BF"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A system of ‘candidature’ (similar to that formerly applied by the CNAA to polytechnics moving from validated to degree-awarding status) could be applied to private providers wishing to acquire DAPs or full accreditation. </w:t>
      </w:r>
    </w:p>
    <w:p w:rsidR="009F0716" w:rsidRPr="00AD32FF" w:rsidRDefault="007E01FE"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 xml:space="preserve">A </w:t>
      </w:r>
      <w:r w:rsidR="00E217AF" w:rsidRPr="00AD32FF">
        <w:rPr>
          <w:rFonts w:ascii="Verdana" w:hAnsi="Verdana"/>
          <w:color w:val="000000"/>
          <w:sz w:val="22"/>
          <w:szCs w:val="22"/>
        </w:rPr>
        <w:t xml:space="preserve">formal </w:t>
      </w:r>
      <w:r w:rsidRPr="00AD32FF">
        <w:rPr>
          <w:rFonts w:ascii="Verdana" w:hAnsi="Verdana"/>
          <w:color w:val="000000"/>
          <w:sz w:val="22"/>
          <w:szCs w:val="22"/>
        </w:rPr>
        <w:t xml:space="preserve">requirement could be introduced </w:t>
      </w:r>
      <w:r w:rsidR="005B76BF" w:rsidRPr="00AD32FF">
        <w:rPr>
          <w:rFonts w:ascii="Verdana" w:hAnsi="Verdana"/>
          <w:color w:val="000000"/>
          <w:sz w:val="22"/>
          <w:szCs w:val="22"/>
        </w:rPr>
        <w:t xml:space="preserve">on private providers to set aside a proportion of their income to </w:t>
      </w:r>
      <w:r w:rsidR="009F0716" w:rsidRPr="00AD32FF">
        <w:rPr>
          <w:rFonts w:ascii="Verdana" w:hAnsi="Verdana"/>
          <w:color w:val="000000"/>
          <w:sz w:val="22"/>
          <w:szCs w:val="22"/>
        </w:rPr>
        <w:t xml:space="preserve">contribute to </w:t>
      </w:r>
      <w:r w:rsidR="005B76BF" w:rsidRPr="00AD32FF">
        <w:rPr>
          <w:rFonts w:ascii="Verdana" w:hAnsi="Verdana"/>
          <w:color w:val="000000"/>
          <w:sz w:val="22"/>
          <w:szCs w:val="22"/>
        </w:rPr>
        <w:t xml:space="preserve">scholarships. </w:t>
      </w:r>
    </w:p>
    <w:p w:rsidR="009F0716" w:rsidRPr="00AD32FF" w:rsidRDefault="007E01FE"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I</w:t>
      </w:r>
      <w:r w:rsidR="005B76BF" w:rsidRPr="00AD32FF">
        <w:rPr>
          <w:rFonts w:ascii="Verdana" w:hAnsi="Verdana"/>
          <w:color w:val="000000"/>
          <w:sz w:val="22"/>
          <w:szCs w:val="22"/>
        </w:rPr>
        <w:t xml:space="preserve">nformation on all private providers </w:t>
      </w:r>
      <w:r w:rsidRPr="00AD32FF">
        <w:rPr>
          <w:rFonts w:ascii="Verdana" w:hAnsi="Verdana"/>
          <w:color w:val="000000"/>
          <w:sz w:val="22"/>
          <w:szCs w:val="22"/>
        </w:rPr>
        <w:t xml:space="preserve">could be collected and published centrally, covering </w:t>
      </w:r>
      <w:r w:rsidR="005B76BF" w:rsidRPr="00AD32FF">
        <w:rPr>
          <w:rFonts w:ascii="Verdana" w:hAnsi="Verdana"/>
          <w:color w:val="000000"/>
          <w:sz w:val="22"/>
          <w:szCs w:val="22"/>
        </w:rPr>
        <w:t xml:space="preserve"> status (licensed, registered, candidate, </w:t>
      </w:r>
      <w:r w:rsidRPr="00AD32FF">
        <w:rPr>
          <w:rFonts w:ascii="Verdana" w:hAnsi="Verdana"/>
          <w:color w:val="000000"/>
          <w:sz w:val="22"/>
          <w:szCs w:val="22"/>
        </w:rPr>
        <w:t xml:space="preserve">with </w:t>
      </w:r>
      <w:r w:rsidR="005B76BF" w:rsidRPr="00AD32FF">
        <w:rPr>
          <w:rFonts w:ascii="Verdana" w:hAnsi="Verdana"/>
          <w:color w:val="000000"/>
          <w:sz w:val="22"/>
          <w:szCs w:val="22"/>
        </w:rPr>
        <w:t>DAPs etc), statistics on staff and student numbers</w:t>
      </w:r>
      <w:r w:rsidR="00112825" w:rsidRPr="00AD32FF">
        <w:rPr>
          <w:rFonts w:ascii="Verdana" w:hAnsi="Verdana"/>
          <w:color w:val="000000"/>
          <w:sz w:val="22"/>
          <w:szCs w:val="22"/>
        </w:rPr>
        <w:t xml:space="preserve">, </w:t>
      </w:r>
      <w:r w:rsidR="005B76BF" w:rsidRPr="00AD32FF">
        <w:rPr>
          <w:rFonts w:ascii="Verdana" w:hAnsi="Verdana"/>
          <w:color w:val="000000"/>
          <w:sz w:val="22"/>
          <w:szCs w:val="22"/>
        </w:rPr>
        <w:t>web links to prospectus</w:t>
      </w:r>
      <w:r w:rsidR="00112825" w:rsidRPr="00AD32FF">
        <w:rPr>
          <w:rFonts w:ascii="Verdana" w:hAnsi="Verdana"/>
          <w:color w:val="000000"/>
          <w:sz w:val="22"/>
          <w:szCs w:val="22"/>
        </w:rPr>
        <w:t>es</w:t>
      </w:r>
      <w:r w:rsidR="005B76BF" w:rsidRPr="00AD32FF">
        <w:rPr>
          <w:rFonts w:ascii="Verdana" w:hAnsi="Verdana"/>
          <w:color w:val="000000"/>
          <w:sz w:val="22"/>
          <w:szCs w:val="22"/>
        </w:rPr>
        <w:t>, financial accounts</w:t>
      </w:r>
      <w:r w:rsidR="00E217AF" w:rsidRPr="00AD32FF">
        <w:rPr>
          <w:rFonts w:ascii="Verdana" w:hAnsi="Verdana"/>
          <w:color w:val="000000"/>
          <w:sz w:val="22"/>
          <w:szCs w:val="22"/>
        </w:rPr>
        <w:t>, ownership, governance</w:t>
      </w:r>
      <w:r w:rsidR="005B76BF" w:rsidRPr="00AD32FF">
        <w:rPr>
          <w:rFonts w:ascii="Verdana" w:hAnsi="Verdana"/>
          <w:color w:val="000000"/>
          <w:sz w:val="22"/>
          <w:szCs w:val="22"/>
        </w:rPr>
        <w:t xml:space="preserve"> and any published accreditation or quality reports. </w:t>
      </w:r>
    </w:p>
    <w:p w:rsidR="005B76BF" w:rsidRPr="00AD32FF" w:rsidRDefault="005B76BF" w:rsidP="00C24F94">
      <w:pPr>
        <w:numPr>
          <w:ilvl w:val="0"/>
          <w:numId w:val="28"/>
        </w:numPr>
        <w:spacing w:before="120" w:after="200" w:line="300" w:lineRule="atLeast"/>
        <w:ind w:right="332"/>
        <w:rPr>
          <w:rFonts w:ascii="Verdana" w:hAnsi="Verdana"/>
          <w:color w:val="000000"/>
          <w:sz w:val="22"/>
          <w:szCs w:val="22"/>
        </w:rPr>
      </w:pPr>
      <w:r w:rsidRPr="00AD32FF">
        <w:rPr>
          <w:rFonts w:ascii="Verdana" w:hAnsi="Verdana"/>
          <w:color w:val="000000"/>
          <w:sz w:val="22"/>
          <w:szCs w:val="22"/>
        </w:rPr>
        <w:t>BIS could set out what support or incentives it</w:t>
      </w:r>
      <w:r w:rsidR="00112825" w:rsidRPr="00AD32FF">
        <w:rPr>
          <w:rFonts w:ascii="Verdana" w:hAnsi="Verdana"/>
          <w:color w:val="000000"/>
          <w:sz w:val="22"/>
          <w:szCs w:val="22"/>
        </w:rPr>
        <w:t xml:space="preserve"> offered clarifying </w:t>
      </w:r>
      <w:r w:rsidRPr="00AD32FF">
        <w:rPr>
          <w:rFonts w:ascii="Verdana" w:hAnsi="Verdana"/>
          <w:color w:val="000000"/>
          <w:sz w:val="22"/>
          <w:szCs w:val="22"/>
        </w:rPr>
        <w:t xml:space="preserve">the state support </w:t>
      </w:r>
      <w:r w:rsidR="00112825" w:rsidRPr="00AD32FF">
        <w:rPr>
          <w:rFonts w:ascii="Verdana" w:hAnsi="Verdana"/>
          <w:color w:val="000000"/>
          <w:sz w:val="22"/>
          <w:szCs w:val="22"/>
        </w:rPr>
        <w:t xml:space="preserve">available </w:t>
      </w:r>
      <w:r w:rsidRPr="00AD32FF">
        <w:rPr>
          <w:rFonts w:ascii="Verdana" w:hAnsi="Verdana"/>
          <w:color w:val="000000"/>
          <w:sz w:val="22"/>
          <w:szCs w:val="22"/>
        </w:rPr>
        <w:t xml:space="preserve">for students and the terms on which private institutions could access the academic </w:t>
      </w:r>
      <w:r w:rsidR="00E21A7C" w:rsidRPr="00AD32FF">
        <w:rPr>
          <w:rFonts w:ascii="Verdana" w:hAnsi="Verdana"/>
          <w:color w:val="000000"/>
          <w:sz w:val="22"/>
          <w:szCs w:val="22"/>
        </w:rPr>
        <w:t xml:space="preserve">resource </w:t>
      </w:r>
      <w:r w:rsidRPr="00AD32FF">
        <w:rPr>
          <w:rFonts w:ascii="Verdana" w:hAnsi="Verdana"/>
          <w:color w:val="000000"/>
          <w:sz w:val="22"/>
          <w:szCs w:val="22"/>
        </w:rPr>
        <w:t xml:space="preserve">infrastructure. </w:t>
      </w:r>
      <w:r w:rsidR="005445A1" w:rsidRPr="00AD32FF">
        <w:rPr>
          <w:rFonts w:ascii="Verdana" w:hAnsi="Verdana"/>
          <w:color w:val="000000"/>
          <w:sz w:val="22"/>
          <w:szCs w:val="22"/>
        </w:rPr>
        <w:t xml:space="preserve">Not all of the 670 private organisations identified by </w:t>
      </w:r>
      <w:r w:rsidRPr="00AD32FF">
        <w:rPr>
          <w:rFonts w:ascii="Verdana" w:hAnsi="Verdana"/>
          <w:color w:val="000000"/>
          <w:sz w:val="22"/>
          <w:szCs w:val="22"/>
        </w:rPr>
        <w:t>HESA</w:t>
      </w:r>
      <w:r w:rsidR="005445A1" w:rsidRPr="00AD32FF">
        <w:rPr>
          <w:rFonts w:ascii="Verdana" w:hAnsi="Verdana"/>
          <w:color w:val="000000"/>
          <w:sz w:val="22"/>
          <w:szCs w:val="22"/>
        </w:rPr>
        <w:t xml:space="preserve"> </w:t>
      </w:r>
      <w:r w:rsidRPr="00AD32FF">
        <w:rPr>
          <w:rFonts w:ascii="Verdana" w:hAnsi="Verdana"/>
          <w:color w:val="000000"/>
          <w:sz w:val="22"/>
          <w:szCs w:val="22"/>
        </w:rPr>
        <w:t xml:space="preserve">will be of an appropriate standing, </w:t>
      </w:r>
      <w:r w:rsidR="00112825" w:rsidRPr="00AD32FF">
        <w:rPr>
          <w:rFonts w:ascii="Verdana" w:hAnsi="Verdana"/>
          <w:color w:val="000000"/>
          <w:sz w:val="22"/>
          <w:szCs w:val="22"/>
        </w:rPr>
        <w:t xml:space="preserve">and </w:t>
      </w:r>
      <w:r w:rsidRPr="00AD32FF">
        <w:rPr>
          <w:rFonts w:ascii="Verdana" w:hAnsi="Verdana"/>
          <w:color w:val="000000"/>
          <w:sz w:val="22"/>
          <w:szCs w:val="22"/>
        </w:rPr>
        <w:t xml:space="preserve">some basis for classifying those worthy of support will be </w:t>
      </w:r>
      <w:r w:rsidR="00112825" w:rsidRPr="00AD32FF">
        <w:rPr>
          <w:rFonts w:ascii="Verdana" w:hAnsi="Verdana"/>
          <w:color w:val="000000"/>
          <w:sz w:val="22"/>
          <w:szCs w:val="22"/>
        </w:rPr>
        <w:t>needed</w:t>
      </w:r>
      <w:r w:rsidRPr="00AD32FF">
        <w:rPr>
          <w:rFonts w:ascii="Verdana" w:hAnsi="Verdana"/>
          <w:color w:val="000000"/>
          <w:sz w:val="22"/>
          <w:szCs w:val="22"/>
        </w:rPr>
        <w:t>.</w:t>
      </w:r>
    </w:p>
    <w:p w:rsidR="00112825" w:rsidRPr="00AD32FF" w:rsidRDefault="005B76BF" w:rsidP="00112825">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The Government has stated that students studying degree</w:t>
      </w:r>
      <w:r w:rsidR="00E21A7C" w:rsidRPr="00AD32FF">
        <w:rPr>
          <w:rFonts w:ascii="Verdana" w:hAnsi="Verdana"/>
          <w:color w:val="000000"/>
          <w:sz w:val="22"/>
          <w:szCs w:val="22"/>
        </w:rPr>
        <w:t>-</w:t>
      </w:r>
      <w:r w:rsidRPr="00AD32FF">
        <w:rPr>
          <w:rFonts w:ascii="Verdana" w:hAnsi="Verdana"/>
          <w:color w:val="000000"/>
          <w:sz w:val="22"/>
          <w:szCs w:val="22"/>
        </w:rPr>
        <w:t xml:space="preserve">level programmes at private colleges will be eligible </w:t>
      </w:r>
      <w:r w:rsidR="00112825" w:rsidRPr="00AD32FF">
        <w:rPr>
          <w:rFonts w:ascii="Verdana" w:hAnsi="Verdana"/>
          <w:color w:val="000000"/>
          <w:sz w:val="22"/>
          <w:szCs w:val="22"/>
        </w:rPr>
        <w:t>for loans and grants. Consequently</w:t>
      </w:r>
      <w:r w:rsidR="00E21A7C" w:rsidRPr="00AD32FF">
        <w:rPr>
          <w:rFonts w:ascii="Verdana" w:hAnsi="Verdana"/>
          <w:color w:val="000000"/>
          <w:sz w:val="22"/>
          <w:szCs w:val="22"/>
        </w:rPr>
        <w:t>,</w:t>
      </w:r>
      <w:r w:rsidRPr="00AD32FF">
        <w:rPr>
          <w:rFonts w:ascii="Verdana" w:hAnsi="Verdana"/>
          <w:color w:val="000000"/>
          <w:sz w:val="22"/>
          <w:szCs w:val="22"/>
        </w:rPr>
        <w:t xml:space="preserve"> the number of UK/EU students in the private sector is likely to increase</w:t>
      </w:r>
      <w:r w:rsidR="00BF0EC5" w:rsidRPr="00AD32FF">
        <w:rPr>
          <w:rFonts w:ascii="Verdana" w:hAnsi="Verdana"/>
          <w:color w:val="000000"/>
          <w:sz w:val="22"/>
          <w:szCs w:val="22"/>
        </w:rPr>
        <w:t>.</w:t>
      </w:r>
      <w:r w:rsidRPr="00AD32FF">
        <w:rPr>
          <w:rFonts w:ascii="Verdana" w:hAnsi="Verdana"/>
          <w:color w:val="000000"/>
          <w:sz w:val="22"/>
          <w:szCs w:val="22"/>
        </w:rPr>
        <w:t xml:space="preserve"> This means that England could see a repetition of the US</w:t>
      </w:r>
      <w:r w:rsidR="00112825" w:rsidRPr="00AD32FF">
        <w:rPr>
          <w:rFonts w:ascii="Verdana" w:hAnsi="Verdana"/>
          <w:color w:val="000000"/>
          <w:sz w:val="22"/>
          <w:szCs w:val="22"/>
        </w:rPr>
        <w:t xml:space="preserve"> </w:t>
      </w:r>
      <w:r w:rsidR="00EC2B6F" w:rsidRPr="00AD32FF">
        <w:rPr>
          <w:rFonts w:ascii="Verdana" w:hAnsi="Verdana"/>
          <w:color w:val="000000"/>
          <w:sz w:val="22"/>
          <w:szCs w:val="22"/>
        </w:rPr>
        <w:t xml:space="preserve">experience </w:t>
      </w:r>
      <w:r w:rsidR="00112825" w:rsidRPr="00AD32FF">
        <w:rPr>
          <w:rFonts w:ascii="Verdana" w:hAnsi="Verdana"/>
          <w:color w:val="000000"/>
          <w:sz w:val="22"/>
          <w:szCs w:val="22"/>
        </w:rPr>
        <w:t xml:space="preserve">where </w:t>
      </w:r>
      <w:r w:rsidR="00EC2B6F" w:rsidRPr="00AD32FF">
        <w:rPr>
          <w:rFonts w:ascii="Verdana" w:hAnsi="Verdana"/>
          <w:color w:val="000000"/>
          <w:sz w:val="22"/>
          <w:szCs w:val="22"/>
        </w:rPr>
        <w:t>much</w:t>
      </w:r>
      <w:r w:rsidRPr="00AD32FF">
        <w:rPr>
          <w:rFonts w:ascii="Verdana" w:hAnsi="Verdana"/>
          <w:color w:val="000000"/>
          <w:sz w:val="22"/>
          <w:szCs w:val="22"/>
        </w:rPr>
        <w:t xml:space="preserve"> the income of for-profit education companies consists of public funds in the shape of grants and loans to students</w:t>
      </w:r>
      <w:r w:rsidR="00112825" w:rsidRPr="00AD32FF">
        <w:rPr>
          <w:rFonts w:ascii="Verdana" w:hAnsi="Verdana"/>
          <w:color w:val="000000"/>
          <w:sz w:val="22"/>
          <w:szCs w:val="22"/>
        </w:rPr>
        <w:t>. However, in this respect they will be in exactly the same position as publicly</w:t>
      </w:r>
      <w:r w:rsidR="00E217AF" w:rsidRPr="00AD32FF">
        <w:rPr>
          <w:rFonts w:ascii="Verdana" w:hAnsi="Verdana"/>
          <w:color w:val="000000"/>
          <w:sz w:val="22"/>
          <w:szCs w:val="22"/>
        </w:rPr>
        <w:t>-</w:t>
      </w:r>
      <w:r w:rsidR="00112825" w:rsidRPr="00AD32FF">
        <w:rPr>
          <w:rFonts w:ascii="Verdana" w:hAnsi="Verdana"/>
          <w:color w:val="000000"/>
          <w:sz w:val="22"/>
          <w:szCs w:val="22"/>
        </w:rPr>
        <w:t>funded institutio</w:t>
      </w:r>
      <w:r w:rsidR="00E217AF" w:rsidRPr="00AD32FF">
        <w:rPr>
          <w:rFonts w:ascii="Verdana" w:hAnsi="Verdana"/>
          <w:color w:val="000000"/>
          <w:sz w:val="22"/>
          <w:szCs w:val="22"/>
        </w:rPr>
        <w:t xml:space="preserve">ns, and drop-out rates may be an issue. </w:t>
      </w:r>
      <w:r w:rsidR="00112825" w:rsidRPr="00AD32FF">
        <w:rPr>
          <w:rFonts w:ascii="Verdana" w:hAnsi="Verdana"/>
          <w:color w:val="000000"/>
          <w:sz w:val="22"/>
          <w:szCs w:val="22"/>
        </w:rPr>
        <w:t>There is a</w:t>
      </w:r>
      <w:r w:rsidR="00E217AF" w:rsidRPr="00AD32FF">
        <w:rPr>
          <w:rFonts w:ascii="Verdana" w:hAnsi="Verdana"/>
          <w:color w:val="000000"/>
          <w:sz w:val="22"/>
          <w:szCs w:val="22"/>
        </w:rPr>
        <w:t xml:space="preserve"> debate t</w:t>
      </w:r>
      <w:r w:rsidR="00112825" w:rsidRPr="00AD32FF">
        <w:rPr>
          <w:rFonts w:ascii="Verdana" w:hAnsi="Verdana"/>
          <w:color w:val="000000"/>
          <w:sz w:val="22"/>
          <w:szCs w:val="22"/>
        </w:rPr>
        <w:t xml:space="preserve">o be had about whether there should </w:t>
      </w:r>
      <w:r w:rsidR="009F0716" w:rsidRPr="00AD32FF">
        <w:rPr>
          <w:rFonts w:ascii="Verdana" w:hAnsi="Verdana"/>
          <w:color w:val="000000"/>
          <w:sz w:val="22"/>
          <w:szCs w:val="22"/>
        </w:rPr>
        <w:t>be</w:t>
      </w:r>
      <w:r w:rsidRPr="00AD32FF">
        <w:rPr>
          <w:rFonts w:ascii="Verdana" w:hAnsi="Verdana"/>
          <w:color w:val="000000"/>
          <w:sz w:val="22"/>
          <w:szCs w:val="22"/>
        </w:rPr>
        <w:t xml:space="preserve"> some extra regulatory check </w:t>
      </w:r>
      <w:r w:rsidR="00BF2010" w:rsidRPr="00AD32FF">
        <w:rPr>
          <w:rFonts w:ascii="Verdana" w:hAnsi="Verdana"/>
          <w:color w:val="000000"/>
          <w:sz w:val="22"/>
          <w:szCs w:val="22"/>
        </w:rPr>
        <w:t>on</w:t>
      </w:r>
      <w:r w:rsidRPr="00AD32FF">
        <w:rPr>
          <w:rFonts w:ascii="Verdana" w:hAnsi="Verdana"/>
          <w:color w:val="000000"/>
          <w:sz w:val="22"/>
          <w:szCs w:val="22"/>
        </w:rPr>
        <w:t xml:space="preserve"> private </w:t>
      </w:r>
      <w:r w:rsidRPr="00AD32FF">
        <w:rPr>
          <w:rFonts w:ascii="Verdana" w:hAnsi="Verdana"/>
          <w:color w:val="000000"/>
          <w:sz w:val="22"/>
          <w:szCs w:val="22"/>
        </w:rPr>
        <w:lastRenderedPageBreak/>
        <w:t>providers to deter the</w:t>
      </w:r>
      <w:r w:rsidR="00E217AF" w:rsidRPr="00AD32FF">
        <w:rPr>
          <w:rFonts w:ascii="Verdana" w:hAnsi="Verdana"/>
          <w:color w:val="000000"/>
          <w:sz w:val="22"/>
          <w:szCs w:val="22"/>
        </w:rPr>
        <w:t>se</w:t>
      </w:r>
      <w:r w:rsidRPr="00AD32FF">
        <w:rPr>
          <w:rFonts w:ascii="Verdana" w:hAnsi="Verdana"/>
          <w:color w:val="000000"/>
          <w:sz w:val="22"/>
          <w:szCs w:val="22"/>
        </w:rPr>
        <w:t xml:space="preserve"> institutions from emulating the alleged practices of their</w:t>
      </w:r>
      <w:r w:rsidR="009F0716" w:rsidRPr="00AD32FF">
        <w:rPr>
          <w:rFonts w:ascii="Verdana" w:hAnsi="Verdana"/>
          <w:color w:val="000000"/>
          <w:sz w:val="22"/>
          <w:szCs w:val="22"/>
        </w:rPr>
        <w:t xml:space="preserve"> counterparts</w:t>
      </w:r>
      <w:r w:rsidRPr="00AD32FF">
        <w:rPr>
          <w:rFonts w:ascii="Verdana" w:hAnsi="Verdana"/>
          <w:color w:val="000000"/>
          <w:sz w:val="22"/>
          <w:szCs w:val="22"/>
        </w:rPr>
        <w:t xml:space="preserve"> in the USA</w:t>
      </w:r>
      <w:r w:rsidR="00112825" w:rsidRPr="00AD32FF">
        <w:rPr>
          <w:rFonts w:ascii="Verdana" w:hAnsi="Verdana"/>
          <w:color w:val="000000"/>
          <w:sz w:val="22"/>
          <w:szCs w:val="22"/>
        </w:rPr>
        <w:t>, or whether such checks should apply to all institutions</w:t>
      </w:r>
      <w:r w:rsidR="00E217AF" w:rsidRPr="00AD32FF">
        <w:rPr>
          <w:rFonts w:ascii="Verdana" w:hAnsi="Verdana"/>
          <w:color w:val="000000"/>
          <w:sz w:val="22"/>
          <w:szCs w:val="22"/>
        </w:rPr>
        <w:t>.</w:t>
      </w:r>
    </w:p>
    <w:p w:rsidR="00CD48AA" w:rsidRPr="00AD32FF" w:rsidRDefault="00CD48AA"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Among the policy options that might be considered relating to the funding and organisation of the private sector are the following:</w:t>
      </w:r>
    </w:p>
    <w:p w:rsidR="00BF0EC5" w:rsidRPr="00AD32FF" w:rsidRDefault="005B76BF"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A basic question is whether private providers </w:t>
      </w:r>
      <w:r w:rsidR="005445A1" w:rsidRPr="00AD32FF">
        <w:rPr>
          <w:rFonts w:ascii="Verdana" w:hAnsi="Verdana"/>
          <w:color w:val="000000"/>
          <w:sz w:val="22"/>
          <w:szCs w:val="22"/>
        </w:rPr>
        <w:t>should receive</w:t>
      </w:r>
      <w:r w:rsidRPr="00AD32FF">
        <w:rPr>
          <w:rFonts w:ascii="Verdana" w:hAnsi="Verdana"/>
          <w:color w:val="000000"/>
          <w:sz w:val="22"/>
          <w:szCs w:val="22"/>
        </w:rPr>
        <w:t xml:space="preserve"> any direct financial help or incentive from government.  One option would be to make private providers eligible to apply for special funding</w:t>
      </w:r>
      <w:r w:rsidR="00BF2010" w:rsidRPr="00AD32FF">
        <w:rPr>
          <w:rFonts w:ascii="Verdana" w:hAnsi="Verdana"/>
          <w:color w:val="000000"/>
          <w:sz w:val="22"/>
          <w:szCs w:val="22"/>
        </w:rPr>
        <w:t xml:space="preserve"> on the same terms as public HEIs</w:t>
      </w:r>
      <w:r w:rsidR="00CD48AA" w:rsidRPr="00AD32FF">
        <w:rPr>
          <w:rFonts w:ascii="Verdana" w:hAnsi="Verdana"/>
          <w:color w:val="000000"/>
          <w:sz w:val="22"/>
          <w:szCs w:val="22"/>
        </w:rPr>
        <w:t xml:space="preserve">. </w:t>
      </w:r>
      <w:r w:rsidR="002D7F76" w:rsidRPr="00AD32FF">
        <w:rPr>
          <w:rFonts w:ascii="Verdana" w:hAnsi="Verdana"/>
          <w:color w:val="000000"/>
          <w:sz w:val="22"/>
          <w:szCs w:val="22"/>
        </w:rPr>
        <w:t>The Browne Review recommended</w:t>
      </w:r>
      <w:r w:rsidRPr="00AD32FF">
        <w:rPr>
          <w:rFonts w:ascii="Verdana" w:hAnsi="Verdana"/>
          <w:color w:val="000000"/>
          <w:sz w:val="22"/>
          <w:szCs w:val="22"/>
        </w:rPr>
        <w:t xml:space="preserve"> that English private providers could be funded for those subjects that </w:t>
      </w:r>
      <w:r w:rsidR="00CD48AA" w:rsidRPr="00AD32FF">
        <w:rPr>
          <w:rFonts w:ascii="Verdana" w:hAnsi="Verdana"/>
          <w:color w:val="000000"/>
          <w:sz w:val="22"/>
          <w:szCs w:val="22"/>
        </w:rPr>
        <w:t xml:space="preserve">HEFCE </w:t>
      </w:r>
      <w:r w:rsidRPr="00AD32FF">
        <w:rPr>
          <w:rFonts w:ascii="Verdana" w:hAnsi="Verdana"/>
          <w:color w:val="000000"/>
          <w:sz w:val="22"/>
          <w:szCs w:val="22"/>
        </w:rPr>
        <w:t>will be funding</w:t>
      </w:r>
      <w:r w:rsidR="00CD48AA" w:rsidRPr="00AD32FF">
        <w:rPr>
          <w:rFonts w:ascii="Verdana" w:hAnsi="Verdana"/>
          <w:color w:val="000000"/>
          <w:sz w:val="22"/>
          <w:szCs w:val="22"/>
        </w:rPr>
        <w:t xml:space="preserve"> through its strategically important and vulnerable subjects fund</w:t>
      </w:r>
      <w:r w:rsidR="006036D1" w:rsidRPr="00AD32FF">
        <w:rPr>
          <w:rFonts w:ascii="Verdana" w:hAnsi="Verdana"/>
          <w:color w:val="000000"/>
          <w:sz w:val="22"/>
          <w:szCs w:val="22"/>
        </w:rPr>
        <w:t>.</w:t>
      </w:r>
      <w:r w:rsidRPr="00AD32FF">
        <w:rPr>
          <w:rFonts w:ascii="Verdana" w:hAnsi="Verdana"/>
          <w:color w:val="000000"/>
          <w:sz w:val="22"/>
          <w:szCs w:val="22"/>
        </w:rPr>
        <w:t xml:space="preserve"> </w:t>
      </w:r>
      <w:r w:rsidR="005445A1" w:rsidRPr="00AD32FF">
        <w:rPr>
          <w:rFonts w:ascii="Verdana" w:hAnsi="Verdana"/>
          <w:color w:val="000000"/>
          <w:sz w:val="22"/>
          <w:szCs w:val="22"/>
        </w:rPr>
        <w:t xml:space="preserve">Since the size of the funding pot for </w:t>
      </w:r>
      <w:r w:rsidR="00CD48AA" w:rsidRPr="00AD32FF">
        <w:rPr>
          <w:rFonts w:ascii="Verdana" w:hAnsi="Verdana"/>
          <w:color w:val="000000"/>
          <w:sz w:val="22"/>
          <w:szCs w:val="22"/>
        </w:rPr>
        <w:t xml:space="preserve">this </w:t>
      </w:r>
      <w:r w:rsidR="005445A1" w:rsidRPr="00AD32FF">
        <w:rPr>
          <w:rFonts w:ascii="Verdana" w:hAnsi="Verdana"/>
          <w:color w:val="000000"/>
          <w:sz w:val="22"/>
          <w:szCs w:val="22"/>
        </w:rPr>
        <w:t>will be fixed</w:t>
      </w:r>
      <w:r w:rsidR="00347FCF" w:rsidRPr="00AD32FF">
        <w:rPr>
          <w:rFonts w:ascii="Verdana" w:hAnsi="Verdana"/>
          <w:color w:val="000000"/>
          <w:sz w:val="22"/>
          <w:szCs w:val="22"/>
        </w:rPr>
        <w:t>,</w:t>
      </w:r>
      <w:r w:rsidR="005445A1" w:rsidRPr="00AD32FF">
        <w:rPr>
          <w:rFonts w:ascii="Verdana" w:hAnsi="Verdana"/>
          <w:color w:val="000000"/>
          <w:sz w:val="22"/>
          <w:szCs w:val="22"/>
        </w:rPr>
        <w:t xml:space="preserve"> any allocations to private providers will be at the expense of the publicly</w:t>
      </w:r>
      <w:r w:rsidR="00E217AF" w:rsidRPr="00AD32FF">
        <w:rPr>
          <w:rFonts w:ascii="Verdana" w:hAnsi="Verdana"/>
          <w:color w:val="000000"/>
          <w:sz w:val="22"/>
          <w:szCs w:val="22"/>
        </w:rPr>
        <w:t>-</w:t>
      </w:r>
      <w:r w:rsidR="005445A1" w:rsidRPr="00AD32FF">
        <w:rPr>
          <w:rFonts w:ascii="Verdana" w:hAnsi="Verdana"/>
          <w:color w:val="000000"/>
          <w:sz w:val="22"/>
          <w:szCs w:val="22"/>
        </w:rPr>
        <w:t>funded instit</w:t>
      </w:r>
      <w:r w:rsidR="00347FCF" w:rsidRPr="00AD32FF">
        <w:rPr>
          <w:rFonts w:ascii="Verdana" w:hAnsi="Verdana"/>
          <w:color w:val="000000"/>
          <w:sz w:val="22"/>
          <w:szCs w:val="22"/>
        </w:rPr>
        <w:t>u</w:t>
      </w:r>
      <w:r w:rsidR="005445A1" w:rsidRPr="00AD32FF">
        <w:rPr>
          <w:rFonts w:ascii="Verdana" w:hAnsi="Verdana"/>
          <w:color w:val="000000"/>
          <w:sz w:val="22"/>
          <w:szCs w:val="22"/>
        </w:rPr>
        <w:t>tions.</w:t>
      </w:r>
      <w:r w:rsidR="00CD48AA" w:rsidRPr="00AD32FF">
        <w:rPr>
          <w:rFonts w:ascii="Verdana" w:hAnsi="Verdana"/>
          <w:color w:val="000000"/>
          <w:sz w:val="22"/>
          <w:szCs w:val="22"/>
        </w:rPr>
        <w:t xml:space="preserve"> However, there will b</w:t>
      </w:r>
      <w:r w:rsidR="00EC2B6F" w:rsidRPr="00AD32FF">
        <w:rPr>
          <w:rFonts w:ascii="Verdana" w:hAnsi="Verdana"/>
          <w:color w:val="000000"/>
          <w:sz w:val="22"/>
          <w:szCs w:val="22"/>
        </w:rPr>
        <w:t>y</w:t>
      </w:r>
      <w:r w:rsidR="00CD48AA" w:rsidRPr="00AD32FF">
        <w:rPr>
          <w:rFonts w:ascii="Verdana" w:hAnsi="Verdana"/>
          <w:color w:val="000000"/>
          <w:sz w:val="22"/>
          <w:szCs w:val="22"/>
        </w:rPr>
        <w:t xml:space="preserve"> definition </w:t>
      </w:r>
      <w:r w:rsidR="00EC2B6F" w:rsidRPr="00AD32FF">
        <w:rPr>
          <w:rFonts w:ascii="Verdana" w:hAnsi="Verdana"/>
          <w:color w:val="000000"/>
          <w:sz w:val="22"/>
          <w:szCs w:val="22"/>
        </w:rPr>
        <w:t xml:space="preserve">be </w:t>
      </w:r>
      <w:r w:rsidR="00E217AF" w:rsidRPr="00AD32FF">
        <w:rPr>
          <w:rFonts w:ascii="Verdana" w:hAnsi="Verdana"/>
          <w:color w:val="000000"/>
          <w:sz w:val="22"/>
          <w:szCs w:val="22"/>
        </w:rPr>
        <w:t xml:space="preserve">a </w:t>
      </w:r>
      <w:r w:rsidR="00CD48AA" w:rsidRPr="00AD32FF">
        <w:rPr>
          <w:rFonts w:ascii="Verdana" w:hAnsi="Verdana"/>
          <w:color w:val="000000"/>
          <w:sz w:val="22"/>
          <w:szCs w:val="22"/>
        </w:rPr>
        <w:t>national need for these subjects and there seems every reason to support any institution that contributes to meeting this need.</w:t>
      </w:r>
    </w:p>
    <w:p w:rsidR="006036D1" w:rsidRPr="00AD32FF" w:rsidRDefault="00BF0EC5"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P</w:t>
      </w:r>
      <w:r w:rsidR="005B76BF" w:rsidRPr="00AD32FF">
        <w:rPr>
          <w:rFonts w:ascii="Verdana" w:hAnsi="Verdana"/>
          <w:color w:val="000000"/>
          <w:sz w:val="22"/>
          <w:szCs w:val="22"/>
        </w:rPr>
        <w:t>ublic funding might be available to a private provider</w:t>
      </w:r>
      <w:r w:rsidRPr="00AD32FF">
        <w:rPr>
          <w:rFonts w:ascii="Verdana" w:hAnsi="Verdana"/>
          <w:color w:val="000000"/>
          <w:sz w:val="22"/>
          <w:szCs w:val="22"/>
        </w:rPr>
        <w:t xml:space="preserve"> </w:t>
      </w:r>
      <w:r w:rsidR="005B76BF" w:rsidRPr="00AD32FF">
        <w:rPr>
          <w:rFonts w:ascii="Verdana" w:hAnsi="Verdana"/>
          <w:color w:val="000000"/>
          <w:sz w:val="22"/>
          <w:szCs w:val="22"/>
        </w:rPr>
        <w:t>willing to merge with, or take over, a failing publicly</w:t>
      </w:r>
      <w:r w:rsidR="00E217AF" w:rsidRPr="00AD32FF">
        <w:rPr>
          <w:rFonts w:ascii="Verdana" w:hAnsi="Verdana"/>
          <w:color w:val="000000"/>
          <w:sz w:val="22"/>
          <w:szCs w:val="22"/>
        </w:rPr>
        <w:t>-</w:t>
      </w:r>
      <w:r w:rsidR="005B76BF" w:rsidRPr="00AD32FF">
        <w:rPr>
          <w:rFonts w:ascii="Verdana" w:hAnsi="Verdana"/>
          <w:color w:val="000000"/>
          <w:sz w:val="22"/>
          <w:szCs w:val="22"/>
        </w:rPr>
        <w:t>funded institution</w:t>
      </w:r>
      <w:r w:rsidR="006036D1" w:rsidRPr="00AD32FF">
        <w:rPr>
          <w:rFonts w:ascii="Verdana" w:hAnsi="Verdana"/>
          <w:color w:val="000000"/>
          <w:sz w:val="22"/>
          <w:szCs w:val="22"/>
        </w:rPr>
        <w:t>. F</w:t>
      </w:r>
      <w:r w:rsidR="005B76BF" w:rsidRPr="00AD32FF">
        <w:rPr>
          <w:rFonts w:ascii="Verdana" w:hAnsi="Verdana"/>
          <w:color w:val="000000"/>
          <w:sz w:val="22"/>
          <w:szCs w:val="22"/>
        </w:rPr>
        <w:t>inancial help could be provided by applying favourable terms for the repayment of the “Exchequer Interest” which represents the written</w:t>
      </w:r>
      <w:r w:rsidR="00E217AF" w:rsidRPr="00AD32FF">
        <w:rPr>
          <w:rFonts w:ascii="Verdana" w:hAnsi="Verdana"/>
          <w:color w:val="000000"/>
          <w:sz w:val="22"/>
          <w:szCs w:val="22"/>
        </w:rPr>
        <w:t>-</w:t>
      </w:r>
      <w:r w:rsidR="005B76BF" w:rsidRPr="00AD32FF">
        <w:rPr>
          <w:rFonts w:ascii="Verdana" w:hAnsi="Verdana"/>
          <w:color w:val="000000"/>
          <w:sz w:val="22"/>
          <w:szCs w:val="22"/>
        </w:rPr>
        <w:t xml:space="preserve">down value of </w:t>
      </w:r>
      <w:r w:rsidR="00CD48AA" w:rsidRPr="00AD32FF">
        <w:rPr>
          <w:rFonts w:ascii="Verdana" w:hAnsi="Verdana"/>
          <w:color w:val="000000"/>
          <w:sz w:val="22"/>
          <w:szCs w:val="22"/>
        </w:rPr>
        <w:t xml:space="preserve">the HEI's publicly funded </w:t>
      </w:r>
      <w:r w:rsidR="005B76BF" w:rsidRPr="00AD32FF">
        <w:rPr>
          <w:rFonts w:ascii="Verdana" w:hAnsi="Verdana"/>
          <w:color w:val="000000"/>
          <w:sz w:val="22"/>
          <w:szCs w:val="22"/>
        </w:rPr>
        <w:t>ass</w:t>
      </w:r>
      <w:r w:rsidR="006036D1" w:rsidRPr="00AD32FF">
        <w:rPr>
          <w:rFonts w:ascii="Verdana" w:hAnsi="Verdana"/>
          <w:color w:val="000000"/>
          <w:sz w:val="22"/>
          <w:szCs w:val="22"/>
        </w:rPr>
        <w:t>ets</w:t>
      </w:r>
      <w:r w:rsidRPr="00AD32FF">
        <w:rPr>
          <w:rFonts w:ascii="Verdana" w:hAnsi="Verdana"/>
          <w:color w:val="000000"/>
          <w:sz w:val="22"/>
          <w:szCs w:val="22"/>
        </w:rPr>
        <w:t>,</w:t>
      </w:r>
      <w:r w:rsidR="006036D1" w:rsidRPr="00AD32FF">
        <w:rPr>
          <w:rFonts w:ascii="Verdana" w:hAnsi="Verdana"/>
          <w:color w:val="000000"/>
          <w:sz w:val="22"/>
          <w:szCs w:val="22"/>
        </w:rPr>
        <w:t xml:space="preserve"> or</w:t>
      </w:r>
      <w:r w:rsidR="00E21A7C" w:rsidRPr="00AD32FF">
        <w:rPr>
          <w:rFonts w:ascii="Verdana" w:hAnsi="Verdana"/>
          <w:color w:val="000000"/>
          <w:sz w:val="22"/>
          <w:szCs w:val="22"/>
        </w:rPr>
        <w:t>,</w:t>
      </w:r>
      <w:r w:rsidR="006036D1" w:rsidRPr="00AD32FF">
        <w:rPr>
          <w:rFonts w:ascii="Verdana" w:hAnsi="Verdana"/>
          <w:color w:val="000000"/>
          <w:sz w:val="22"/>
          <w:szCs w:val="22"/>
        </w:rPr>
        <w:t xml:space="preserve"> </w:t>
      </w:r>
      <w:r w:rsidR="005B76BF" w:rsidRPr="00AD32FF">
        <w:rPr>
          <w:rFonts w:ascii="Verdana" w:hAnsi="Verdana"/>
          <w:color w:val="000000"/>
          <w:sz w:val="22"/>
          <w:szCs w:val="22"/>
        </w:rPr>
        <w:t>finance</w:t>
      </w:r>
      <w:r w:rsidR="006036D1" w:rsidRPr="00AD32FF">
        <w:rPr>
          <w:rFonts w:ascii="Verdana" w:hAnsi="Verdana"/>
          <w:color w:val="000000"/>
          <w:sz w:val="22"/>
          <w:szCs w:val="22"/>
        </w:rPr>
        <w:t xml:space="preserve"> could be provided</w:t>
      </w:r>
      <w:r w:rsidR="005B76BF" w:rsidRPr="00AD32FF">
        <w:rPr>
          <w:rFonts w:ascii="Verdana" w:hAnsi="Verdana"/>
          <w:color w:val="000000"/>
          <w:sz w:val="22"/>
          <w:szCs w:val="22"/>
        </w:rPr>
        <w:t xml:space="preserve"> towards the </w:t>
      </w:r>
      <w:r w:rsidR="00CD48AA" w:rsidRPr="00AD32FF">
        <w:rPr>
          <w:rFonts w:ascii="Verdana" w:hAnsi="Verdana"/>
          <w:color w:val="000000"/>
          <w:sz w:val="22"/>
          <w:szCs w:val="22"/>
        </w:rPr>
        <w:t>cost of the merger</w:t>
      </w:r>
      <w:r w:rsidRPr="00AD32FF">
        <w:rPr>
          <w:rFonts w:ascii="Verdana" w:hAnsi="Verdana"/>
          <w:color w:val="000000"/>
          <w:sz w:val="22"/>
          <w:szCs w:val="22"/>
        </w:rPr>
        <w:t>.</w:t>
      </w:r>
      <w:r w:rsidR="005B76BF" w:rsidRPr="00AD32FF">
        <w:rPr>
          <w:rFonts w:ascii="Verdana" w:hAnsi="Verdana"/>
          <w:color w:val="000000"/>
          <w:sz w:val="22"/>
          <w:szCs w:val="22"/>
        </w:rPr>
        <w:t xml:space="preserve"> </w:t>
      </w:r>
    </w:p>
    <w:p w:rsidR="005B76BF" w:rsidRPr="00AD32FF" w:rsidRDefault="006036D1"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I</w:t>
      </w:r>
      <w:r w:rsidR="005B76BF" w:rsidRPr="00AD32FF">
        <w:rPr>
          <w:rFonts w:ascii="Verdana" w:hAnsi="Verdana"/>
          <w:color w:val="000000"/>
          <w:sz w:val="22"/>
          <w:szCs w:val="22"/>
        </w:rPr>
        <w:t>n Australia and several African countries</w:t>
      </w:r>
      <w:r w:rsidR="00E21A7C" w:rsidRPr="00AD32FF">
        <w:rPr>
          <w:rFonts w:ascii="Verdana" w:hAnsi="Verdana"/>
          <w:color w:val="000000"/>
          <w:sz w:val="22"/>
          <w:szCs w:val="22"/>
        </w:rPr>
        <w:t>,</w:t>
      </w:r>
      <w:r w:rsidR="005B76BF" w:rsidRPr="00AD32FF">
        <w:rPr>
          <w:rFonts w:ascii="Verdana" w:hAnsi="Verdana"/>
          <w:color w:val="000000"/>
          <w:sz w:val="22"/>
          <w:szCs w:val="22"/>
        </w:rPr>
        <w:t xml:space="preserve"> public universities </w:t>
      </w:r>
      <w:r w:rsidR="00E217AF" w:rsidRPr="00AD32FF">
        <w:rPr>
          <w:rFonts w:ascii="Verdana" w:hAnsi="Verdana"/>
          <w:color w:val="000000"/>
          <w:sz w:val="22"/>
          <w:szCs w:val="22"/>
        </w:rPr>
        <w:t xml:space="preserve">can teach </w:t>
      </w:r>
      <w:r w:rsidR="005B76BF" w:rsidRPr="00AD32FF">
        <w:rPr>
          <w:rFonts w:ascii="Verdana" w:hAnsi="Verdana"/>
          <w:color w:val="000000"/>
          <w:sz w:val="22"/>
          <w:szCs w:val="22"/>
        </w:rPr>
        <w:t xml:space="preserve">parallel streams of private fee-paying </w:t>
      </w:r>
      <w:r w:rsidR="00E217AF" w:rsidRPr="00AD32FF">
        <w:rPr>
          <w:rFonts w:ascii="Verdana" w:hAnsi="Verdana"/>
          <w:color w:val="000000"/>
          <w:sz w:val="22"/>
          <w:szCs w:val="22"/>
        </w:rPr>
        <w:t xml:space="preserve">and publicly-funded </w:t>
      </w:r>
      <w:proofErr w:type="gramStart"/>
      <w:r w:rsidR="005B76BF" w:rsidRPr="00AD32FF">
        <w:rPr>
          <w:rFonts w:ascii="Verdana" w:hAnsi="Verdana"/>
          <w:color w:val="000000"/>
          <w:sz w:val="22"/>
          <w:szCs w:val="22"/>
        </w:rPr>
        <w:t>students</w:t>
      </w:r>
      <w:r w:rsidR="00CD48AA" w:rsidRPr="00AD32FF">
        <w:rPr>
          <w:rFonts w:ascii="Verdana" w:hAnsi="Verdana"/>
          <w:color w:val="000000"/>
          <w:sz w:val="22"/>
          <w:szCs w:val="22"/>
        </w:rPr>
        <w:t xml:space="preserve"> </w:t>
      </w:r>
      <w:r w:rsidR="005B76BF" w:rsidRPr="00AD32FF">
        <w:rPr>
          <w:rFonts w:ascii="Verdana" w:hAnsi="Verdana"/>
          <w:color w:val="000000"/>
          <w:sz w:val="22"/>
          <w:szCs w:val="22"/>
        </w:rPr>
        <w:t>.</w:t>
      </w:r>
      <w:proofErr w:type="gramEnd"/>
      <w:r w:rsidR="005B76BF" w:rsidRPr="00AD32FF">
        <w:rPr>
          <w:rFonts w:ascii="Verdana" w:hAnsi="Verdana"/>
          <w:color w:val="000000"/>
          <w:sz w:val="22"/>
          <w:szCs w:val="22"/>
        </w:rPr>
        <w:t xml:space="preserve"> One option would be to explore whether </w:t>
      </w:r>
      <w:r w:rsidR="004A50A2" w:rsidRPr="00AD32FF">
        <w:rPr>
          <w:rFonts w:ascii="Verdana" w:hAnsi="Verdana"/>
          <w:color w:val="000000"/>
          <w:sz w:val="22"/>
          <w:szCs w:val="22"/>
        </w:rPr>
        <w:t>private providers could work with public institutions to make such provision</w:t>
      </w:r>
      <w:r w:rsidR="00EC2B6F" w:rsidRPr="00AD32FF">
        <w:rPr>
          <w:rFonts w:ascii="Verdana" w:hAnsi="Verdana"/>
          <w:color w:val="000000"/>
          <w:sz w:val="22"/>
          <w:szCs w:val="22"/>
        </w:rPr>
        <w:t xml:space="preserve"> on their behalf</w:t>
      </w:r>
      <w:r w:rsidR="005B76BF" w:rsidRPr="00AD32FF">
        <w:rPr>
          <w:rFonts w:ascii="Verdana" w:hAnsi="Verdana"/>
          <w:color w:val="000000"/>
          <w:sz w:val="22"/>
          <w:szCs w:val="22"/>
        </w:rPr>
        <w:t>.</w:t>
      </w:r>
    </w:p>
    <w:p w:rsidR="006036D1" w:rsidRPr="00AD32FF" w:rsidRDefault="005B76BF"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Private providers see themselves as principally teaching institutions</w:t>
      </w:r>
      <w:r w:rsidR="006036D1" w:rsidRPr="00AD32FF">
        <w:rPr>
          <w:rFonts w:ascii="Verdana" w:hAnsi="Verdana"/>
          <w:color w:val="000000"/>
          <w:sz w:val="22"/>
          <w:szCs w:val="22"/>
        </w:rPr>
        <w:t xml:space="preserve">. </w:t>
      </w:r>
      <w:r w:rsidR="004A50A2" w:rsidRPr="00AD32FF">
        <w:rPr>
          <w:rFonts w:ascii="Verdana" w:hAnsi="Verdana"/>
          <w:color w:val="000000"/>
          <w:sz w:val="22"/>
          <w:szCs w:val="22"/>
        </w:rPr>
        <w:t xml:space="preserve">The public interest in funding research is to obtain the best possible research outcomes with public funding, and there may be a case for opening up </w:t>
      </w:r>
      <w:r w:rsidRPr="00AD32FF">
        <w:rPr>
          <w:rFonts w:ascii="Verdana" w:hAnsi="Verdana"/>
          <w:color w:val="000000"/>
          <w:sz w:val="22"/>
          <w:szCs w:val="22"/>
        </w:rPr>
        <w:t xml:space="preserve">public research funding to applications from staff </w:t>
      </w:r>
      <w:r w:rsidR="005D6FA6" w:rsidRPr="00AD32FF">
        <w:rPr>
          <w:rFonts w:ascii="Verdana" w:hAnsi="Verdana"/>
          <w:color w:val="000000"/>
          <w:sz w:val="22"/>
          <w:szCs w:val="22"/>
        </w:rPr>
        <w:t xml:space="preserve">working for </w:t>
      </w:r>
      <w:r w:rsidRPr="00AD32FF">
        <w:rPr>
          <w:rFonts w:ascii="Verdana" w:hAnsi="Verdana"/>
          <w:color w:val="000000"/>
          <w:sz w:val="22"/>
          <w:szCs w:val="22"/>
        </w:rPr>
        <w:t xml:space="preserve">private providers. </w:t>
      </w:r>
    </w:p>
    <w:p w:rsidR="005B76BF" w:rsidRPr="00AD32FF" w:rsidRDefault="005B76BF"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 xml:space="preserve">The option of opening up the “academic </w:t>
      </w:r>
      <w:r w:rsidR="005D6FA6" w:rsidRPr="00AD32FF">
        <w:rPr>
          <w:rFonts w:ascii="Verdana" w:hAnsi="Verdana"/>
          <w:color w:val="000000"/>
          <w:sz w:val="22"/>
          <w:szCs w:val="22"/>
        </w:rPr>
        <w:t xml:space="preserve">resource </w:t>
      </w:r>
      <w:r w:rsidRPr="00AD32FF">
        <w:rPr>
          <w:rFonts w:ascii="Verdana" w:hAnsi="Verdana"/>
          <w:color w:val="000000"/>
          <w:sz w:val="22"/>
          <w:szCs w:val="22"/>
        </w:rPr>
        <w:t xml:space="preserve">infrastructure” to private providers has been mentioned as part of a regulatory package. </w:t>
      </w:r>
      <w:r w:rsidR="004A50A2" w:rsidRPr="00AD32FF">
        <w:rPr>
          <w:rFonts w:ascii="Verdana" w:hAnsi="Verdana"/>
          <w:color w:val="000000"/>
          <w:sz w:val="22"/>
          <w:szCs w:val="22"/>
        </w:rPr>
        <w:t>If the public interest is that all students – whether in public or private institutions – should receive the best education possible, these facilities should be made available to private providers, albeit with appropriate payment</w:t>
      </w:r>
      <w:r w:rsidR="006036D1" w:rsidRPr="00AD32FF">
        <w:rPr>
          <w:rFonts w:ascii="Verdana" w:hAnsi="Verdana"/>
          <w:color w:val="000000"/>
          <w:sz w:val="22"/>
          <w:szCs w:val="22"/>
        </w:rPr>
        <w:t>.</w:t>
      </w:r>
    </w:p>
    <w:p w:rsidR="005B76BF" w:rsidRPr="00AD32FF" w:rsidRDefault="005B76BF" w:rsidP="00CD48AA">
      <w:pPr>
        <w:numPr>
          <w:ilvl w:val="0"/>
          <w:numId w:val="29"/>
        </w:numPr>
        <w:spacing w:before="120" w:line="300" w:lineRule="atLeast"/>
        <w:ind w:right="332"/>
        <w:rPr>
          <w:rFonts w:ascii="Verdana" w:hAnsi="Verdana"/>
          <w:color w:val="000000"/>
          <w:sz w:val="22"/>
          <w:szCs w:val="22"/>
        </w:rPr>
      </w:pPr>
      <w:r w:rsidRPr="00AD32FF">
        <w:rPr>
          <w:rFonts w:ascii="Verdana" w:hAnsi="Verdana"/>
          <w:color w:val="000000"/>
          <w:sz w:val="22"/>
          <w:szCs w:val="22"/>
        </w:rPr>
        <w:t>All publicly</w:t>
      </w:r>
      <w:r w:rsidR="00E21A7C" w:rsidRPr="00AD32FF">
        <w:rPr>
          <w:rFonts w:ascii="Verdana" w:hAnsi="Verdana"/>
          <w:color w:val="000000"/>
          <w:sz w:val="22"/>
          <w:szCs w:val="22"/>
        </w:rPr>
        <w:t>-</w:t>
      </w:r>
      <w:r w:rsidRPr="00AD32FF">
        <w:rPr>
          <w:rFonts w:ascii="Verdana" w:hAnsi="Verdana"/>
          <w:color w:val="000000"/>
          <w:sz w:val="22"/>
          <w:szCs w:val="22"/>
        </w:rPr>
        <w:t xml:space="preserve">funded HEIs are, regardless of their basic legal status, also exempt charities. As such they are freed from charging VAT on their fees. The same will apply to those private not-for-profit providers </w:t>
      </w:r>
      <w:r w:rsidR="005D6FA6" w:rsidRPr="00AD32FF">
        <w:rPr>
          <w:rFonts w:ascii="Verdana" w:hAnsi="Verdana"/>
          <w:color w:val="000000"/>
          <w:sz w:val="22"/>
          <w:szCs w:val="22"/>
        </w:rPr>
        <w:t>that</w:t>
      </w:r>
      <w:r w:rsidRPr="00AD32FF">
        <w:rPr>
          <w:rFonts w:ascii="Verdana" w:hAnsi="Verdana"/>
          <w:color w:val="000000"/>
          <w:sz w:val="22"/>
          <w:szCs w:val="22"/>
        </w:rPr>
        <w:t xml:space="preserve"> are charities. </w:t>
      </w:r>
      <w:r w:rsidR="004A50A2" w:rsidRPr="00AD32FF">
        <w:rPr>
          <w:rFonts w:ascii="Verdana" w:hAnsi="Verdana"/>
          <w:color w:val="000000"/>
          <w:sz w:val="22"/>
          <w:szCs w:val="22"/>
        </w:rPr>
        <w:t>To the extent that private for-profit providers are providing a public good, there is a case for exempting these as well</w:t>
      </w:r>
      <w:r w:rsidR="00EC2B6F" w:rsidRPr="00AD32FF">
        <w:rPr>
          <w:rFonts w:ascii="Verdana" w:hAnsi="Verdana"/>
          <w:color w:val="000000"/>
          <w:sz w:val="22"/>
          <w:szCs w:val="22"/>
        </w:rPr>
        <w:t xml:space="preserve"> </w:t>
      </w:r>
      <w:r w:rsidR="00864F96" w:rsidRPr="00AD32FF">
        <w:rPr>
          <w:rFonts w:ascii="Verdana" w:hAnsi="Verdana"/>
          <w:color w:val="000000"/>
          <w:sz w:val="22"/>
          <w:szCs w:val="22"/>
        </w:rPr>
        <w:t xml:space="preserve">or applying a reduced rate, </w:t>
      </w:r>
      <w:r w:rsidR="00EC2B6F" w:rsidRPr="00AD32FF">
        <w:rPr>
          <w:rFonts w:ascii="Verdana" w:hAnsi="Verdana"/>
          <w:color w:val="000000"/>
          <w:sz w:val="22"/>
          <w:szCs w:val="22"/>
        </w:rPr>
        <w:t>reflecting the public good</w:t>
      </w:r>
      <w:proofErr w:type="gramStart"/>
      <w:r w:rsidR="00864F96" w:rsidRPr="00AD32FF">
        <w:rPr>
          <w:rFonts w:ascii="Verdana" w:hAnsi="Verdana"/>
          <w:color w:val="000000"/>
          <w:sz w:val="22"/>
          <w:szCs w:val="22"/>
        </w:rPr>
        <w:t>.</w:t>
      </w:r>
      <w:r w:rsidRPr="00AD32FF">
        <w:rPr>
          <w:rFonts w:ascii="Verdana" w:hAnsi="Verdana"/>
          <w:color w:val="000000"/>
          <w:sz w:val="22"/>
          <w:szCs w:val="22"/>
        </w:rPr>
        <w:t>.</w:t>
      </w:r>
      <w:proofErr w:type="gramEnd"/>
    </w:p>
    <w:p w:rsidR="00393C8B" w:rsidRPr="00AD32FF" w:rsidRDefault="005B76BF" w:rsidP="00F023B3">
      <w:pPr>
        <w:numPr>
          <w:ilvl w:val="0"/>
          <w:numId w:val="21"/>
        </w:numPr>
        <w:spacing w:before="120" w:line="300" w:lineRule="atLeast"/>
        <w:ind w:left="0" w:right="332" w:firstLine="0"/>
        <w:rPr>
          <w:rFonts w:ascii="Verdana" w:hAnsi="Verdana"/>
          <w:color w:val="000000"/>
          <w:sz w:val="22"/>
          <w:szCs w:val="22"/>
        </w:rPr>
      </w:pPr>
      <w:r w:rsidRPr="00AD32FF">
        <w:rPr>
          <w:rFonts w:ascii="Verdana" w:hAnsi="Verdana"/>
          <w:color w:val="000000"/>
          <w:sz w:val="22"/>
          <w:szCs w:val="22"/>
        </w:rPr>
        <w:t>Some of the regulatory and funding options outlined above could be embodied in framework legislation</w:t>
      </w:r>
      <w:r w:rsidR="00E21A7C" w:rsidRPr="00AD32FF">
        <w:rPr>
          <w:rFonts w:ascii="Verdana" w:hAnsi="Verdana"/>
          <w:color w:val="000000"/>
          <w:sz w:val="22"/>
          <w:szCs w:val="22"/>
        </w:rPr>
        <w:t xml:space="preserve">. </w:t>
      </w:r>
      <w:r w:rsidR="006036D1" w:rsidRPr="00AD32FF">
        <w:rPr>
          <w:rFonts w:ascii="Verdana" w:hAnsi="Verdana"/>
          <w:color w:val="000000"/>
          <w:sz w:val="22"/>
          <w:szCs w:val="22"/>
        </w:rPr>
        <w:t>If such</w:t>
      </w:r>
      <w:r w:rsidRPr="00AD32FF">
        <w:rPr>
          <w:rFonts w:ascii="Verdana" w:hAnsi="Verdana"/>
          <w:color w:val="000000"/>
          <w:sz w:val="22"/>
          <w:szCs w:val="22"/>
        </w:rPr>
        <w:t xml:space="preserve"> a regulatory package is unveiled</w:t>
      </w:r>
      <w:r w:rsidR="00BF0EC5" w:rsidRPr="00AD32FF">
        <w:rPr>
          <w:rFonts w:ascii="Verdana" w:hAnsi="Verdana"/>
          <w:color w:val="000000"/>
          <w:sz w:val="22"/>
          <w:szCs w:val="22"/>
        </w:rPr>
        <w:t>,</w:t>
      </w:r>
      <w:r w:rsidRPr="00AD32FF">
        <w:rPr>
          <w:rFonts w:ascii="Verdana" w:hAnsi="Verdana"/>
          <w:color w:val="000000"/>
          <w:sz w:val="22"/>
          <w:szCs w:val="22"/>
        </w:rPr>
        <w:t xml:space="preserve"> the </w:t>
      </w:r>
      <w:r w:rsidRPr="00AD32FF">
        <w:rPr>
          <w:rFonts w:ascii="Verdana" w:hAnsi="Verdana"/>
          <w:color w:val="000000"/>
          <w:sz w:val="22"/>
          <w:szCs w:val="22"/>
        </w:rPr>
        <w:lastRenderedPageBreak/>
        <w:t>interface with Further</w:t>
      </w:r>
      <w:r w:rsidR="005D6FA6" w:rsidRPr="00AD32FF">
        <w:rPr>
          <w:rFonts w:ascii="Verdana" w:hAnsi="Verdana"/>
          <w:color w:val="000000"/>
          <w:sz w:val="22"/>
          <w:szCs w:val="22"/>
        </w:rPr>
        <w:t xml:space="preserve"> (non-HE degree level)</w:t>
      </w:r>
      <w:r w:rsidRPr="00AD32FF">
        <w:rPr>
          <w:rFonts w:ascii="Verdana" w:hAnsi="Verdana"/>
          <w:color w:val="000000"/>
          <w:sz w:val="22"/>
          <w:szCs w:val="22"/>
        </w:rPr>
        <w:t xml:space="preserve"> and Professional education</w:t>
      </w:r>
      <w:r w:rsidR="00BF0EC5" w:rsidRPr="00AD32FF">
        <w:rPr>
          <w:rFonts w:ascii="Verdana" w:hAnsi="Verdana"/>
          <w:color w:val="000000"/>
          <w:sz w:val="22"/>
          <w:szCs w:val="22"/>
        </w:rPr>
        <w:t xml:space="preserve"> must be clarified</w:t>
      </w:r>
      <w:r w:rsidRPr="00AD32FF">
        <w:rPr>
          <w:rFonts w:ascii="Verdana" w:hAnsi="Verdana"/>
          <w:color w:val="000000"/>
          <w:sz w:val="22"/>
          <w:szCs w:val="22"/>
        </w:rPr>
        <w:t xml:space="preserve">. This </w:t>
      </w:r>
      <w:r w:rsidR="00D568E3" w:rsidRPr="00AD32FF">
        <w:rPr>
          <w:rFonts w:ascii="Verdana" w:hAnsi="Verdana"/>
          <w:color w:val="000000"/>
          <w:sz w:val="22"/>
          <w:szCs w:val="22"/>
        </w:rPr>
        <w:t>report</w:t>
      </w:r>
      <w:r w:rsidRPr="00AD32FF">
        <w:rPr>
          <w:rFonts w:ascii="Verdana" w:hAnsi="Verdana"/>
          <w:color w:val="000000"/>
          <w:sz w:val="22"/>
          <w:szCs w:val="22"/>
        </w:rPr>
        <w:t xml:space="preserve"> has focussed on degree</w:t>
      </w:r>
      <w:r w:rsidR="00E217AF" w:rsidRPr="00AD32FF">
        <w:rPr>
          <w:rFonts w:ascii="Verdana" w:hAnsi="Verdana"/>
          <w:color w:val="000000"/>
          <w:sz w:val="22"/>
          <w:szCs w:val="22"/>
        </w:rPr>
        <w:t>-</w:t>
      </w:r>
      <w:r w:rsidRPr="00AD32FF">
        <w:rPr>
          <w:rFonts w:ascii="Verdana" w:hAnsi="Verdana"/>
          <w:color w:val="000000"/>
          <w:sz w:val="22"/>
          <w:szCs w:val="22"/>
        </w:rPr>
        <w:t xml:space="preserve">level provision, but many private sector providers straddle </w:t>
      </w:r>
      <w:proofErr w:type="gramStart"/>
      <w:r w:rsidRPr="00AD32FF">
        <w:rPr>
          <w:rFonts w:ascii="Verdana" w:hAnsi="Verdana"/>
          <w:color w:val="000000"/>
          <w:sz w:val="22"/>
          <w:szCs w:val="22"/>
        </w:rPr>
        <w:t>HE</w:t>
      </w:r>
      <w:proofErr w:type="gramEnd"/>
      <w:r w:rsidRPr="00AD32FF">
        <w:rPr>
          <w:rFonts w:ascii="Verdana" w:hAnsi="Verdana"/>
          <w:color w:val="000000"/>
          <w:sz w:val="22"/>
          <w:szCs w:val="22"/>
        </w:rPr>
        <w:t xml:space="preserve"> and FE and are proud of the pathways and access routes to higher education that they offer. Most private providers offer only further and professional programmes</w:t>
      </w:r>
      <w:r w:rsidR="006036D1" w:rsidRPr="00AD32FF">
        <w:rPr>
          <w:rFonts w:ascii="Verdana" w:hAnsi="Verdana"/>
          <w:color w:val="000000"/>
          <w:sz w:val="22"/>
          <w:szCs w:val="22"/>
        </w:rPr>
        <w:t xml:space="preserve"> rather than degree</w:t>
      </w:r>
      <w:r w:rsidR="00E21A7C" w:rsidRPr="00AD32FF">
        <w:rPr>
          <w:rFonts w:ascii="Verdana" w:hAnsi="Verdana"/>
          <w:color w:val="000000"/>
          <w:sz w:val="22"/>
          <w:szCs w:val="22"/>
        </w:rPr>
        <w:t>-</w:t>
      </w:r>
      <w:r w:rsidR="006036D1" w:rsidRPr="00AD32FF">
        <w:rPr>
          <w:rFonts w:ascii="Verdana" w:hAnsi="Verdana"/>
          <w:color w:val="000000"/>
          <w:sz w:val="22"/>
          <w:szCs w:val="22"/>
        </w:rPr>
        <w:t>level</w:t>
      </w:r>
      <w:r w:rsidR="00E21A7C" w:rsidRPr="00AD32FF">
        <w:rPr>
          <w:rFonts w:ascii="Verdana" w:hAnsi="Verdana"/>
          <w:color w:val="000000"/>
          <w:sz w:val="22"/>
          <w:szCs w:val="22"/>
        </w:rPr>
        <w:t xml:space="preserve"> education</w:t>
      </w:r>
      <w:r w:rsidR="006036D1" w:rsidRPr="00AD32FF">
        <w:rPr>
          <w:rFonts w:ascii="Verdana" w:hAnsi="Verdana"/>
          <w:color w:val="000000"/>
          <w:sz w:val="22"/>
          <w:szCs w:val="22"/>
        </w:rPr>
        <w:t>.</w:t>
      </w:r>
      <w:r w:rsidRPr="00AD32FF">
        <w:rPr>
          <w:rFonts w:ascii="Verdana" w:hAnsi="Verdana"/>
          <w:color w:val="000000"/>
          <w:sz w:val="22"/>
          <w:szCs w:val="22"/>
        </w:rPr>
        <w:t xml:space="preserve"> Thus, an essential prerequisite of any policy development is agreement on a clear definition of where </w:t>
      </w:r>
      <w:r w:rsidR="003E5A09" w:rsidRPr="00AD32FF">
        <w:rPr>
          <w:rFonts w:ascii="Verdana" w:hAnsi="Verdana"/>
          <w:color w:val="000000"/>
          <w:sz w:val="22"/>
          <w:szCs w:val="22"/>
        </w:rPr>
        <w:t>“</w:t>
      </w:r>
      <w:r w:rsidRPr="00AD32FF">
        <w:rPr>
          <w:rFonts w:ascii="Verdana" w:hAnsi="Verdana"/>
          <w:color w:val="000000"/>
          <w:sz w:val="22"/>
          <w:szCs w:val="22"/>
        </w:rPr>
        <w:t>higher education</w:t>
      </w:r>
      <w:r w:rsidR="003E5A09" w:rsidRPr="00AD32FF">
        <w:rPr>
          <w:rFonts w:ascii="Verdana" w:hAnsi="Verdana"/>
          <w:color w:val="000000"/>
          <w:sz w:val="22"/>
          <w:szCs w:val="22"/>
        </w:rPr>
        <w:t>”</w:t>
      </w:r>
      <w:r w:rsidRPr="00AD32FF">
        <w:rPr>
          <w:rFonts w:ascii="Verdana" w:hAnsi="Verdana"/>
          <w:color w:val="000000"/>
          <w:sz w:val="22"/>
          <w:szCs w:val="22"/>
        </w:rPr>
        <w:t xml:space="preserve"> stops and starts and what this means for the c</w:t>
      </w:r>
      <w:r w:rsidR="003655CB" w:rsidRPr="00AD32FF">
        <w:rPr>
          <w:rFonts w:ascii="Verdana" w:hAnsi="Verdana"/>
          <w:color w:val="000000"/>
          <w:sz w:val="22"/>
          <w:szCs w:val="22"/>
        </w:rPr>
        <w:t>lassification</w:t>
      </w:r>
      <w:r w:rsidRPr="00AD32FF">
        <w:rPr>
          <w:rFonts w:ascii="Verdana" w:hAnsi="Verdana"/>
          <w:color w:val="000000"/>
          <w:sz w:val="22"/>
          <w:szCs w:val="22"/>
        </w:rPr>
        <w:t xml:space="preserve"> of providers</w:t>
      </w:r>
      <w:r w:rsidR="006036D1" w:rsidRPr="00AD32FF">
        <w:rPr>
          <w:rFonts w:ascii="Verdana" w:hAnsi="Verdana"/>
          <w:color w:val="000000"/>
          <w:sz w:val="22"/>
          <w:szCs w:val="22"/>
        </w:rPr>
        <w:t>.</w:t>
      </w:r>
    </w:p>
    <w:p w:rsidR="005B76BF" w:rsidRPr="00AD32FF" w:rsidRDefault="005B76BF" w:rsidP="00F023B3">
      <w:pPr>
        <w:spacing w:before="120" w:line="300" w:lineRule="atLeast"/>
        <w:ind w:right="332"/>
        <w:rPr>
          <w:b/>
          <w:i/>
          <w:color w:val="000000"/>
        </w:rPr>
      </w:pPr>
    </w:p>
    <w:sectPr w:rsidR="005B76BF" w:rsidRPr="00AD32FF" w:rsidSect="00393C8B">
      <w:footerReference w:type="even" r:id="rId8"/>
      <w:footerReference w:type="default" r:id="rId9"/>
      <w:pgSz w:w="12240" w:h="15840"/>
      <w:pgMar w:top="1440" w:right="1276" w:bottom="144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23" w:rsidRDefault="00EA6C23">
      <w:r>
        <w:separator/>
      </w:r>
    </w:p>
  </w:endnote>
  <w:endnote w:type="continuationSeparator" w:id="0">
    <w:p w:rsidR="00EA6C23" w:rsidRDefault="00EA6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26" w:rsidRDefault="000B4426" w:rsidP="00B77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4426" w:rsidRDefault="000B4426" w:rsidP="008C22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26" w:rsidRDefault="000B4426" w:rsidP="00B77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99C">
      <w:rPr>
        <w:rStyle w:val="PageNumber"/>
        <w:noProof/>
      </w:rPr>
      <w:t>5</w:t>
    </w:r>
    <w:r>
      <w:rPr>
        <w:rStyle w:val="PageNumber"/>
      </w:rPr>
      <w:fldChar w:fldCharType="end"/>
    </w:r>
  </w:p>
  <w:p w:rsidR="000B4426" w:rsidRDefault="000B4426" w:rsidP="008C22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23" w:rsidRDefault="00EA6C23">
      <w:r>
        <w:separator/>
      </w:r>
    </w:p>
  </w:footnote>
  <w:footnote w:type="continuationSeparator" w:id="0">
    <w:p w:rsidR="00EA6C23" w:rsidRDefault="00EA6C23">
      <w:r>
        <w:continuationSeparator/>
      </w:r>
    </w:p>
  </w:footnote>
  <w:footnote w:id="1">
    <w:p w:rsidR="00F677B5" w:rsidRPr="00AD32FF" w:rsidRDefault="00F677B5">
      <w:pPr>
        <w:pStyle w:val="FootnoteText"/>
        <w:rPr>
          <w:color w:val="000000"/>
        </w:rPr>
      </w:pPr>
      <w:r w:rsidRPr="00AD32FF">
        <w:rPr>
          <w:rStyle w:val="FootnoteReference"/>
          <w:color w:val="000000"/>
        </w:rPr>
        <w:footnoteRef/>
      </w:r>
      <w:r w:rsidRPr="00AD32FF">
        <w:rPr>
          <w:color w:val="000000"/>
        </w:rPr>
        <w:t xml:space="preserve"> includes the Ivy League universities, some religious-based universities and a large number of small, elite institutions</w:t>
      </w:r>
    </w:p>
  </w:footnote>
  <w:footnote w:id="2">
    <w:p w:rsidR="00D01449" w:rsidRPr="00AD32FF" w:rsidRDefault="00D01449">
      <w:pPr>
        <w:pStyle w:val="FootnoteText"/>
        <w:rPr>
          <w:color w:val="000000"/>
        </w:rPr>
      </w:pPr>
      <w:r w:rsidRPr="00AD32FF">
        <w:rPr>
          <w:rStyle w:val="FootnoteReference"/>
          <w:color w:val="000000"/>
        </w:rPr>
        <w:footnoteRef/>
      </w:r>
      <w:r w:rsidRPr="00AD32FF">
        <w:rPr>
          <w:color w:val="000000"/>
        </w:rPr>
        <w:t xml:space="preserve"> The College is also starting on the six </w:t>
      </w:r>
      <w:proofErr w:type="gramStart"/>
      <w:r w:rsidRPr="00AD32FF">
        <w:rPr>
          <w:color w:val="000000"/>
        </w:rPr>
        <w:t>year  review</w:t>
      </w:r>
      <w:proofErr w:type="gramEnd"/>
      <w:r w:rsidRPr="00AD32FF">
        <w:rPr>
          <w:color w:val="000000"/>
        </w:rPr>
        <w:t xml:space="preserve"> process.</w:t>
      </w:r>
    </w:p>
  </w:footnote>
  <w:footnote w:id="3">
    <w:p w:rsidR="00D01449" w:rsidRPr="00AD32FF" w:rsidRDefault="00D01449">
      <w:pPr>
        <w:pStyle w:val="FootnoteText"/>
        <w:rPr>
          <w:color w:val="000000"/>
        </w:rPr>
      </w:pPr>
      <w:r w:rsidRPr="00AD32FF">
        <w:rPr>
          <w:rStyle w:val="FootnoteReference"/>
          <w:color w:val="000000"/>
        </w:rPr>
        <w:footnoteRef/>
      </w:r>
      <w:r w:rsidRPr="00AD32FF">
        <w:rPr>
          <w:color w:val="000000"/>
        </w:rPr>
        <w:t xml:space="preserve"> However this is changing since a recent announcement by the Home Secretary has decreed that all colleges wishing to achieve HighlyTrusted Status must achieve a successful review by QAA by April 2012.</w:t>
      </w:r>
    </w:p>
  </w:footnote>
  <w:footnote w:id="4">
    <w:p w:rsidR="002B24ED" w:rsidRPr="00AD32FF" w:rsidRDefault="002B24ED">
      <w:pPr>
        <w:pStyle w:val="FootnoteText"/>
        <w:rPr>
          <w:color w:val="000000"/>
        </w:rPr>
      </w:pPr>
      <w:r w:rsidRPr="00AD32FF">
        <w:rPr>
          <w:rStyle w:val="FootnoteReference"/>
          <w:color w:val="000000"/>
        </w:rPr>
        <w:footnoteRef/>
      </w:r>
      <w:r w:rsidRPr="00AD32FF">
        <w:rPr>
          <w:color w:val="000000"/>
        </w:rPr>
        <w:t xml:space="preserve"> The criteria used to assess applications</w:t>
      </w:r>
      <w:r w:rsidR="004023A2" w:rsidRPr="00AD32FF">
        <w:rPr>
          <w:color w:val="000000"/>
        </w:rPr>
        <w:t xml:space="preserve"> for DAPs</w:t>
      </w:r>
      <w:r w:rsidRPr="00AD32FF">
        <w:rPr>
          <w:color w:val="000000"/>
        </w:rPr>
        <w:t xml:space="preserve"> are the same for public and private providers</w:t>
      </w:r>
      <w:r w:rsidR="00D01449" w:rsidRPr="00AD32FF">
        <w:rPr>
          <w:color w:val="000000"/>
        </w:rPr>
        <w:t>. Those</w:t>
      </w:r>
      <w:r w:rsidRPr="00AD32FF">
        <w:rPr>
          <w:color w:val="000000"/>
        </w:rPr>
        <w:t xml:space="preserve"> private providers wishing to achieve Highly Trusted Status (HTS) will </w:t>
      </w:r>
      <w:r w:rsidR="007376EF" w:rsidRPr="00AD32FF">
        <w:rPr>
          <w:color w:val="000000"/>
        </w:rPr>
        <w:t>now be subject to</w:t>
      </w:r>
      <w:r w:rsidRPr="00AD32FF">
        <w:rPr>
          <w:color w:val="000000"/>
        </w:rPr>
        <w:t xml:space="preserve"> review by the QAA</w:t>
      </w:r>
      <w:r w:rsidR="007376EF" w:rsidRPr="00AD32FF">
        <w:rPr>
          <w:color w:val="000000"/>
        </w:rPr>
        <w:t>, but</w:t>
      </w:r>
      <w:r w:rsidRPr="00AD32FF">
        <w:rPr>
          <w:color w:val="000000"/>
        </w:rPr>
        <w:t xml:space="preserve"> some colleges </w:t>
      </w:r>
      <w:r w:rsidR="004023A2" w:rsidRPr="00AD32FF">
        <w:rPr>
          <w:color w:val="000000"/>
        </w:rPr>
        <w:t xml:space="preserve">which recruit only UK students </w:t>
      </w:r>
      <w:r w:rsidR="00FB0B46" w:rsidRPr="00AD32FF">
        <w:rPr>
          <w:color w:val="000000"/>
        </w:rPr>
        <w:t>do not need to</w:t>
      </w:r>
      <w:r w:rsidRPr="00AD32FF">
        <w:rPr>
          <w:color w:val="000000"/>
        </w:rPr>
        <w:t xml:space="preserve"> seek HTS</w:t>
      </w:r>
      <w:r w:rsidR="004023A2" w:rsidRPr="00AD32FF">
        <w:rPr>
          <w:color w:val="000000"/>
        </w:rPr>
        <w:t xml:space="preserve"> and will not have their quality reviewed in this way</w:t>
      </w:r>
      <w:r w:rsidR="00FB0B46" w:rsidRPr="00AD32FF">
        <w:rPr>
          <w:color w:val="000000"/>
        </w:rPr>
        <w:t xml:space="preserve"> unless they seek it voluntarily</w:t>
      </w:r>
      <w:r w:rsidR="004023A2" w:rsidRPr="00AD32FF">
        <w:rPr>
          <w:color w:val="000000"/>
        </w:rPr>
        <w:t>.</w:t>
      </w:r>
    </w:p>
  </w:footnote>
  <w:footnote w:id="5">
    <w:p w:rsidR="00222453" w:rsidRPr="00AD32FF" w:rsidRDefault="00222453" w:rsidP="00222453">
      <w:pPr>
        <w:pStyle w:val="FootnoteText"/>
        <w:rPr>
          <w:color w:val="000000"/>
          <w:lang w:val="en-US"/>
        </w:rPr>
      </w:pPr>
      <w:r w:rsidRPr="00AD32FF">
        <w:rPr>
          <w:rStyle w:val="FootnoteReference"/>
          <w:color w:val="000000"/>
        </w:rPr>
        <w:footnoteRef/>
      </w:r>
      <w:r w:rsidRPr="00AD32FF">
        <w:rPr>
          <w:color w:val="000000"/>
        </w:rPr>
        <w:t xml:space="preserve"> </w:t>
      </w:r>
      <w:r w:rsidRPr="00AD32FF">
        <w:rPr>
          <w:color w:val="000000"/>
          <w:lang w:val="en-US"/>
        </w:rPr>
        <w:t>A different point is sometimes made that if the UK higher education business is a small part of a multi-national or multi-mode for-profit education business it will be hard for a national QA system to disentangle or assess the relevant profits that arise</w:t>
      </w:r>
      <w:proofErr w:type="gramStart"/>
      <w:r w:rsidRPr="00AD32FF">
        <w:rPr>
          <w:color w:val="000000"/>
          <w:lang w:val="en-US"/>
        </w:rPr>
        <w:t>..</w:t>
      </w:r>
      <w:proofErr w:type="gramEnd"/>
      <w:r w:rsidRPr="00AD32FF">
        <w:rPr>
          <w:color w:val="000000"/>
          <w:lang w:val="en-US"/>
        </w:rPr>
        <w:t xml:space="preserve">  Therefore careful scrutiny of the evidence and associated care in drafting regulations is needed. </w:t>
      </w:r>
    </w:p>
  </w:footnote>
  <w:footnote w:id="6">
    <w:p w:rsidR="004023A2" w:rsidRPr="00AD32FF" w:rsidRDefault="004023A2">
      <w:pPr>
        <w:pStyle w:val="FootnoteText"/>
        <w:rPr>
          <w:color w:val="000000"/>
        </w:rPr>
      </w:pPr>
      <w:r w:rsidRPr="00AD32FF">
        <w:rPr>
          <w:rStyle w:val="FootnoteReference"/>
          <w:color w:val="000000"/>
        </w:rPr>
        <w:footnoteRef/>
      </w:r>
      <w:r w:rsidRPr="00AD32FF">
        <w:rPr>
          <w:color w:val="000000"/>
        </w:rPr>
        <w:t xml:space="preserve"> As footnote </w:t>
      </w:r>
      <w:r w:rsidR="007376EF" w:rsidRPr="00AD32FF">
        <w:rPr>
          <w:color w:val="000000"/>
        </w:rPr>
        <w:t xml:space="preserve">3 </w:t>
      </w:r>
      <w:r w:rsidRPr="00AD32FF">
        <w:rPr>
          <w:color w:val="000000"/>
        </w:rPr>
        <w:t xml:space="preserve">shows this is now beginning to happen.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72F"/>
    <w:multiLevelType w:val="hybridMultilevel"/>
    <w:tmpl w:val="D7C428A2"/>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1">
    <w:nsid w:val="04B30779"/>
    <w:multiLevelType w:val="hybridMultilevel"/>
    <w:tmpl w:val="C20255D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86500"/>
    <w:multiLevelType w:val="hybridMultilevel"/>
    <w:tmpl w:val="9CFAC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63166"/>
    <w:multiLevelType w:val="hybridMultilevel"/>
    <w:tmpl w:val="D78C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0D1C51"/>
    <w:multiLevelType w:val="hybridMultilevel"/>
    <w:tmpl w:val="65E0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26090"/>
    <w:multiLevelType w:val="hybridMultilevel"/>
    <w:tmpl w:val="5A7483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1F67EA"/>
    <w:multiLevelType w:val="hybridMultilevel"/>
    <w:tmpl w:val="59929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9C5EA9"/>
    <w:multiLevelType w:val="hybridMultilevel"/>
    <w:tmpl w:val="7F9289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072E14"/>
    <w:multiLevelType w:val="hybridMultilevel"/>
    <w:tmpl w:val="D9E026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87731A6"/>
    <w:multiLevelType w:val="hybridMultilevel"/>
    <w:tmpl w:val="E4D8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402D8D"/>
    <w:multiLevelType w:val="hybridMultilevel"/>
    <w:tmpl w:val="72E64D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C9A748D"/>
    <w:multiLevelType w:val="hybridMultilevel"/>
    <w:tmpl w:val="1F18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71CD2"/>
    <w:multiLevelType w:val="hybridMultilevel"/>
    <w:tmpl w:val="AFE21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E5CC8"/>
    <w:multiLevelType w:val="hybridMultilevel"/>
    <w:tmpl w:val="44D86A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C4434C4"/>
    <w:multiLevelType w:val="hybridMultilevel"/>
    <w:tmpl w:val="F7B6B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AF3640"/>
    <w:multiLevelType w:val="hybridMultilevel"/>
    <w:tmpl w:val="E27A02E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486D4908"/>
    <w:multiLevelType w:val="hybridMultilevel"/>
    <w:tmpl w:val="0AF0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B4557"/>
    <w:multiLevelType w:val="hybridMultilevel"/>
    <w:tmpl w:val="C974FF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6B2B76"/>
    <w:multiLevelType w:val="hybridMultilevel"/>
    <w:tmpl w:val="0E02E9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4C95C40"/>
    <w:multiLevelType w:val="hybridMultilevel"/>
    <w:tmpl w:val="7F927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61834"/>
    <w:multiLevelType w:val="hybridMultilevel"/>
    <w:tmpl w:val="C8668A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4266B0"/>
    <w:multiLevelType w:val="hybridMultilevel"/>
    <w:tmpl w:val="845E74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78E7376"/>
    <w:multiLevelType w:val="hybridMultilevel"/>
    <w:tmpl w:val="8B7A4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57906"/>
    <w:multiLevelType w:val="hybridMultilevel"/>
    <w:tmpl w:val="5622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35CBF"/>
    <w:multiLevelType w:val="hybridMultilevel"/>
    <w:tmpl w:val="A86E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877F4D"/>
    <w:multiLevelType w:val="hybridMultilevel"/>
    <w:tmpl w:val="F7702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0C3E23"/>
    <w:multiLevelType w:val="hybridMultilevel"/>
    <w:tmpl w:val="FCE8F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E973F1E"/>
    <w:multiLevelType w:val="hybridMultilevel"/>
    <w:tmpl w:val="4674432E"/>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FA6B0C"/>
    <w:multiLevelType w:val="hybridMultilevel"/>
    <w:tmpl w:val="FE4658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3"/>
  </w:num>
  <w:num w:numId="3">
    <w:abstractNumId w:val="24"/>
  </w:num>
  <w:num w:numId="4">
    <w:abstractNumId w:val="20"/>
  </w:num>
  <w:num w:numId="5">
    <w:abstractNumId w:val="9"/>
  </w:num>
  <w:num w:numId="6">
    <w:abstractNumId w:val="27"/>
  </w:num>
  <w:num w:numId="7">
    <w:abstractNumId w:val="10"/>
  </w:num>
  <w:num w:numId="8">
    <w:abstractNumId w:val="13"/>
  </w:num>
  <w:num w:numId="9">
    <w:abstractNumId w:val="15"/>
  </w:num>
  <w:num w:numId="10">
    <w:abstractNumId w:val="14"/>
  </w:num>
  <w:num w:numId="11">
    <w:abstractNumId w:val="16"/>
  </w:num>
  <w:num w:numId="12">
    <w:abstractNumId w:val="0"/>
  </w:num>
  <w:num w:numId="13">
    <w:abstractNumId w:val="25"/>
  </w:num>
  <w:num w:numId="14">
    <w:abstractNumId w:val="2"/>
  </w:num>
  <w:num w:numId="15">
    <w:abstractNumId w:val="19"/>
  </w:num>
  <w:num w:numId="16">
    <w:abstractNumId w:val="4"/>
  </w:num>
  <w:num w:numId="17">
    <w:abstractNumId w:val="1"/>
  </w:num>
  <w:num w:numId="18">
    <w:abstractNumId w:val="26"/>
  </w:num>
  <w:num w:numId="19">
    <w:abstractNumId w:val="22"/>
  </w:num>
  <w:num w:numId="20">
    <w:abstractNumId w:val="12"/>
  </w:num>
  <w:num w:numId="21">
    <w:abstractNumId w:val="3"/>
  </w:num>
  <w:num w:numId="22">
    <w:abstractNumId w:val="5"/>
  </w:num>
  <w:num w:numId="23">
    <w:abstractNumId w:val="21"/>
  </w:num>
  <w:num w:numId="24">
    <w:abstractNumId w:val="8"/>
  </w:num>
  <w:num w:numId="25">
    <w:abstractNumId w:val="7"/>
  </w:num>
  <w:num w:numId="26">
    <w:abstractNumId w:val="17"/>
  </w:num>
  <w:num w:numId="27">
    <w:abstractNumId w:val="11"/>
  </w:num>
  <w:num w:numId="28">
    <w:abstractNumId w:val="2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gnword-docGUID" w:val="{36A9A0E8-0569-40CC-90A5-310014FB3406}"/>
    <w:docVar w:name="dgnword-eventsink" w:val="99809960"/>
  </w:docVars>
  <w:rsids>
    <w:rsidRoot w:val="002B3839"/>
    <w:rsid w:val="0000302D"/>
    <w:rsid w:val="0000492C"/>
    <w:rsid w:val="00007767"/>
    <w:rsid w:val="0001148E"/>
    <w:rsid w:val="00011B08"/>
    <w:rsid w:val="00025BBF"/>
    <w:rsid w:val="000362C8"/>
    <w:rsid w:val="000371C5"/>
    <w:rsid w:val="00043FE8"/>
    <w:rsid w:val="0004784D"/>
    <w:rsid w:val="000515AD"/>
    <w:rsid w:val="0006446A"/>
    <w:rsid w:val="00071BF7"/>
    <w:rsid w:val="00082E55"/>
    <w:rsid w:val="00091455"/>
    <w:rsid w:val="000A0C76"/>
    <w:rsid w:val="000A2515"/>
    <w:rsid w:val="000B00F8"/>
    <w:rsid w:val="000B4426"/>
    <w:rsid w:val="000C2297"/>
    <w:rsid w:val="000D03D1"/>
    <w:rsid w:val="000F69F6"/>
    <w:rsid w:val="00104B11"/>
    <w:rsid w:val="00112825"/>
    <w:rsid w:val="00127F83"/>
    <w:rsid w:val="00137789"/>
    <w:rsid w:val="00151FFE"/>
    <w:rsid w:val="00152709"/>
    <w:rsid w:val="001671A0"/>
    <w:rsid w:val="001761B7"/>
    <w:rsid w:val="0017755A"/>
    <w:rsid w:val="001A58DA"/>
    <w:rsid w:val="001A6A4F"/>
    <w:rsid w:val="001A7FF0"/>
    <w:rsid w:val="001B6CF2"/>
    <w:rsid w:val="001D1EF1"/>
    <w:rsid w:val="001E02AC"/>
    <w:rsid w:val="001F2C0B"/>
    <w:rsid w:val="00207365"/>
    <w:rsid w:val="00222453"/>
    <w:rsid w:val="00222576"/>
    <w:rsid w:val="0022592D"/>
    <w:rsid w:val="002375E2"/>
    <w:rsid w:val="002401B0"/>
    <w:rsid w:val="00242F43"/>
    <w:rsid w:val="00254961"/>
    <w:rsid w:val="002565B8"/>
    <w:rsid w:val="00256ADD"/>
    <w:rsid w:val="002629B6"/>
    <w:rsid w:val="00267D96"/>
    <w:rsid w:val="00267FC4"/>
    <w:rsid w:val="00282682"/>
    <w:rsid w:val="00286BD1"/>
    <w:rsid w:val="002B008A"/>
    <w:rsid w:val="002B24ED"/>
    <w:rsid w:val="002B3839"/>
    <w:rsid w:val="002D7F76"/>
    <w:rsid w:val="002F03E4"/>
    <w:rsid w:val="002F6FAD"/>
    <w:rsid w:val="00301780"/>
    <w:rsid w:val="00303BF8"/>
    <w:rsid w:val="0031418D"/>
    <w:rsid w:val="003254E9"/>
    <w:rsid w:val="00341B08"/>
    <w:rsid w:val="00344A96"/>
    <w:rsid w:val="00347FCF"/>
    <w:rsid w:val="003655CB"/>
    <w:rsid w:val="00374ED1"/>
    <w:rsid w:val="00393C8B"/>
    <w:rsid w:val="00396C43"/>
    <w:rsid w:val="003D3675"/>
    <w:rsid w:val="003E5A09"/>
    <w:rsid w:val="004023A2"/>
    <w:rsid w:val="00404A56"/>
    <w:rsid w:val="00410601"/>
    <w:rsid w:val="004118CF"/>
    <w:rsid w:val="00415F9F"/>
    <w:rsid w:val="00424983"/>
    <w:rsid w:val="0043119B"/>
    <w:rsid w:val="00453D5E"/>
    <w:rsid w:val="00465BD2"/>
    <w:rsid w:val="004701EE"/>
    <w:rsid w:val="0047351C"/>
    <w:rsid w:val="00475342"/>
    <w:rsid w:val="0047661A"/>
    <w:rsid w:val="00487F83"/>
    <w:rsid w:val="004A50A2"/>
    <w:rsid w:val="004B01E0"/>
    <w:rsid w:val="004B199F"/>
    <w:rsid w:val="004B73F6"/>
    <w:rsid w:val="004E2740"/>
    <w:rsid w:val="004E51CD"/>
    <w:rsid w:val="004E599C"/>
    <w:rsid w:val="004F31D3"/>
    <w:rsid w:val="004F372D"/>
    <w:rsid w:val="004F4653"/>
    <w:rsid w:val="005312FE"/>
    <w:rsid w:val="00537352"/>
    <w:rsid w:val="005412BD"/>
    <w:rsid w:val="005445A1"/>
    <w:rsid w:val="00546C79"/>
    <w:rsid w:val="00551D98"/>
    <w:rsid w:val="005678AE"/>
    <w:rsid w:val="0057272E"/>
    <w:rsid w:val="00575763"/>
    <w:rsid w:val="00583024"/>
    <w:rsid w:val="00583A96"/>
    <w:rsid w:val="005A58B7"/>
    <w:rsid w:val="005B17D9"/>
    <w:rsid w:val="005B2669"/>
    <w:rsid w:val="005B76BF"/>
    <w:rsid w:val="005D6784"/>
    <w:rsid w:val="005D6FA6"/>
    <w:rsid w:val="005E624D"/>
    <w:rsid w:val="006036D1"/>
    <w:rsid w:val="00605D1B"/>
    <w:rsid w:val="0061166E"/>
    <w:rsid w:val="006127F7"/>
    <w:rsid w:val="00622D16"/>
    <w:rsid w:val="00630381"/>
    <w:rsid w:val="00632DCD"/>
    <w:rsid w:val="0063521C"/>
    <w:rsid w:val="0064488B"/>
    <w:rsid w:val="0065028D"/>
    <w:rsid w:val="006508F7"/>
    <w:rsid w:val="00657D60"/>
    <w:rsid w:val="00667F8C"/>
    <w:rsid w:val="006821A9"/>
    <w:rsid w:val="006A262A"/>
    <w:rsid w:val="006B0DB7"/>
    <w:rsid w:val="006B5DCA"/>
    <w:rsid w:val="006C2194"/>
    <w:rsid w:val="006D011D"/>
    <w:rsid w:val="006D4E3C"/>
    <w:rsid w:val="006D650E"/>
    <w:rsid w:val="006D73E3"/>
    <w:rsid w:val="006F0D59"/>
    <w:rsid w:val="00706C3E"/>
    <w:rsid w:val="00712DD4"/>
    <w:rsid w:val="0071431F"/>
    <w:rsid w:val="00734603"/>
    <w:rsid w:val="007376EF"/>
    <w:rsid w:val="00753A29"/>
    <w:rsid w:val="007611AD"/>
    <w:rsid w:val="00781FBB"/>
    <w:rsid w:val="0079346A"/>
    <w:rsid w:val="007967B7"/>
    <w:rsid w:val="007A2CDA"/>
    <w:rsid w:val="007B7C1E"/>
    <w:rsid w:val="007B7EE9"/>
    <w:rsid w:val="007D3135"/>
    <w:rsid w:val="007D4862"/>
    <w:rsid w:val="007E01FE"/>
    <w:rsid w:val="00802BBD"/>
    <w:rsid w:val="00805702"/>
    <w:rsid w:val="008227EF"/>
    <w:rsid w:val="00822ED8"/>
    <w:rsid w:val="00825EFC"/>
    <w:rsid w:val="00831C62"/>
    <w:rsid w:val="008343CC"/>
    <w:rsid w:val="00857214"/>
    <w:rsid w:val="00864F96"/>
    <w:rsid w:val="00872D3C"/>
    <w:rsid w:val="00884EF2"/>
    <w:rsid w:val="008912F8"/>
    <w:rsid w:val="008C2272"/>
    <w:rsid w:val="008C68D0"/>
    <w:rsid w:val="008D4B17"/>
    <w:rsid w:val="008E48AB"/>
    <w:rsid w:val="008F0E8F"/>
    <w:rsid w:val="009053BD"/>
    <w:rsid w:val="00912474"/>
    <w:rsid w:val="00934AC4"/>
    <w:rsid w:val="00945D14"/>
    <w:rsid w:val="009602DE"/>
    <w:rsid w:val="00991841"/>
    <w:rsid w:val="00994923"/>
    <w:rsid w:val="00996100"/>
    <w:rsid w:val="009A1284"/>
    <w:rsid w:val="009A3FCE"/>
    <w:rsid w:val="009A4C03"/>
    <w:rsid w:val="009A6D8E"/>
    <w:rsid w:val="009D1E9F"/>
    <w:rsid w:val="009E5323"/>
    <w:rsid w:val="009E6B40"/>
    <w:rsid w:val="009F0716"/>
    <w:rsid w:val="009F08C2"/>
    <w:rsid w:val="009F24BB"/>
    <w:rsid w:val="009F5E90"/>
    <w:rsid w:val="00A141A5"/>
    <w:rsid w:val="00A25B46"/>
    <w:rsid w:val="00A42583"/>
    <w:rsid w:val="00A44E3F"/>
    <w:rsid w:val="00A82094"/>
    <w:rsid w:val="00AB22B1"/>
    <w:rsid w:val="00AC64D5"/>
    <w:rsid w:val="00AC6EFC"/>
    <w:rsid w:val="00AD32FF"/>
    <w:rsid w:val="00AE4F2D"/>
    <w:rsid w:val="00AF536F"/>
    <w:rsid w:val="00B2151D"/>
    <w:rsid w:val="00B32028"/>
    <w:rsid w:val="00B36DCB"/>
    <w:rsid w:val="00B46451"/>
    <w:rsid w:val="00B51AA7"/>
    <w:rsid w:val="00B70511"/>
    <w:rsid w:val="00B7768C"/>
    <w:rsid w:val="00BA4155"/>
    <w:rsid w:val="00BA4D86"/>
    <w:rsid w:val="00BB32C1"/>
    <w:rsid w:val="00BB6571"/>
    <w:rsid w:val="00BC1136"/>
    <w:rsid w:val="00BC525C"/>
    <w:rsid w:val="00BC7906"/>
    <w:rsid w:val="00BD4B04"/>
    <w:rsid w:val="00BF0EC5"/>
    <w:rsid w:val="00BF2010"/>
    <w:rsid w:val="00BF3499"/>
    <w:rsid w:val="00C06021"/>
    <w:rsid w:val="00C06856"/>
    <w:rsid w:val="00C15941"/>
    <w:rsid w:val="00C23481"/>
    <w:rsid w:val="00C24F94"/>
    <w:rsid w:val="00C27A0D"/>
    <w:rsid w:val="00C3533E"/>
    <w:rsid w:val="00C74B4B"/>
    <w:rsid w:val="00C8454B"/>
    <w:rsid w:val="00C97C4C"/>
    <w:rsid w:val="00CD48AA"/>
    <w:rsid w:val="00CD7BEE"/>
    <w:rsid w:val="00CD7F62"/>
    <w:rsid w:val="00CE1CAC"/>
    <w:rsid w:val="00CE2E4C"/>
    <w:rsid w:val="00CE3DDB"/>
    <w:rsid w:val="00CF0379"/>
    <w:rsid w:val="00CF5B70"/>
    <w:rsid w:val="00CF66B9"/>
    <w:rsid w:val="00D01449"/>
    <w:rsid w:val="00D228A1"/>
    <w:rsid w:val="00D358D7"/>
    <w:rsid w:val="00D35F5B"/>
    <w:rsid w:val="00D3756B"/>
    <w:rsid w:val="00D4322E"/>
    <w:rsid w:val="00D46E38"/>
    <w:rsid w:val="00D50B17"/>
    <w:rsid w:val="00D568E3"/>
    <w:rsid w:val="00D60016"/>
    <w:rsid w:val="00D666D0"/>
    <w:rsid w:val="00D9679C"/>
    <w:rsid w:val="00DB16AA"/>
    <w:rsid w:val="00DB3CF4"/>
    <w:rsid w:val="00DB5A78"/>
    <w:rsid w:val="00DD03DF"/>
    <w:rsid w:val="00DD42D5"/>
    <w:rsid w:val="00DF4F2B"/>
    <w:rsid w:val="00DF5DB7"/>
    <w:rsid w:val="00E148EE"/>
    <w:rsid w:val="00E217AF"/>
    <w:rsid w:val="00E21A7C"/>
    <w:rsid w:val="00E25556"/>
    <w:rsid w:val="00E3605F"/>
    <w:rsid w:val="00E52907"/>
    <w:rsid w:val="00E663AC"/>
    <w:rsid w:val="00E84CDE"/>
    <w:rsid w:val="00E90569"/>
    <w:rsid w:val="00E970DF"/>
    <w:rsid w:val="00EA5FCE"/>
    <w:rsid w:val="00EA6C23"/>
    <w:rsid w:val="00EC2B6F"/>
    <w:rsid w:val="00EC625C"/>
    <w:rsid w:val="00ED4D04"/>
    <w:rsid w:val="00ED755E"/>
    <w:rsid w:val="00EE44C7"/>
    <w:rsid w:val="00EE73CD"/>
    <w:rsid w:val="00F023B3"/>
    <w:rsid w:val="00F31CFC"/>
    <w:rsid w:val="00F35D18"/>
    <w:rsid w:val="00F37369"/>
    <w:rsid w:val="00F4562D"/>
    <w:rsid w:val="00F4786D"/>
    <w:rsid w:val="00F55D0B"/>
    <w:rsid w:val="00F6535A"/>
    <w:rsid w:val="00F65419"/>
    <w:rsid w:val="00F6566A"/>
    <w:rsid w:val="00F677B5"/>
    <w:rsid w:val="00F923C3"/>
    <w:rsid w:val="00FA18C8"/>
    <w:rsid w:val="00FB0B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96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Char"/>
    <w:basedOn w:val="Normal"/>
    <w:link w:val="FootnoteTextChar"/>
    <w:uiPriority w:val="99"/>
    <w:semiHidden/>
    <w:rsid w:val="00127F83"/>
    <w:rPr>
      <w:sz w:val="20"/>
      <w:szCs w:val="20"/>
    </w:rPr>
  </w:style>
  <w:style w:type="character" w:styleId="FootnoteReference">
    <w:name w:val="footnote reference"/>
    <w:uiPriority w:val="99"/>
    <w:semiHidden/>
    <w:rsid w:val="00127F83"/>
    <w:rPr>
      <w:vertAlign w:val="superscript"/>
    </w:rPr>
  </w:style>
  <w:style w:type="character" w:styleId="Hyperlink">
    <w:name w:val="Hyperlink"/>
    <w:rsid w:val="00C15941"/>
    <w:rPr>
      <w:color w:val="0000FF"/>
      <w:u w:val="single"/>
    </w:rPr>
  </w:style>
  <w:style w:type="character" w:customStyle="1" w:styleId="FootnoteTextChar">
    <w:name w:val="Footnote Text Char"/>
    <w:aliases w:val=" Char Char"/>
    <w:link w:val="FootnoteText"/>
    <w:uiPriority w:val="99"/>
    <w:semiHidden/>
    <w:rsid w:val="00BA4155"/>
    <w:rPr>
      <w:lang w:val="en-GB" w:eastAsia="en-US" w:bidi="ar-SA"/>
    </w:rPr>
  </w:style>
  <w:style w:type="character" w:styleId="CommentReference">
    <w:name w:val="annotation reference"/>
    <w:semiHidden/>
    <w:rsid w:val="00487F83"/>
    <w:rPr>
      <w:sz w:val="16"/>
      <w:szCs w:val="16"/>
    </w:rPr>
  </w:style>
  <w:style w:type="paragraph" w:styleId="CommentText">
    <w:name w:val="annotation text"/>
    <w:basedOn w:val="Normal"/>
    <w:semiHidden/>
    <w:rsid w:val="00487F83"/>
    <w:rPr>
      <w:sz w:val="20"/>
      <w:szCs w:val="20"/>
    </w:rPr>
  </w:style>
  <w:style w:type="paragraph" w:styleId="CommentSubject">
    <w:name w:val="annotation subject"/>
    <w:basedOn w:val="CommentText"/>
    <w:next w:val="CommentText"/>
    <w:semiHidden/>
    <w:rsid w:val="00487F83"/>
    <w:rPr>
      <w:b/>
      <w:bCs/>
    </w:rPr>
  </w:style>
  <w:style w:type="paragraph" w:styleId="BalloonText">
    <w:name w:val="Balloon Text"/>
    <w:basedOn w:val="Normal"/>
    <w:semiHidden/>
    <w:rsid w:val="00487F83"/>
    <w:rPr>
      <w:rFonts w:ascii="Tahoma" w:hAnsi="Tahoma" w:cs="Tahoma"/>
      <w:sz w:val="16"/>
      <w:szCs w:val="16"/>
    </w:rPr>
  </w:style>
  <w:style w:type="paragraph" w:styleId="Footer">
    <w:name w:val="footer"/>
    <w:basedOn w:val="Normal"/>
    <w:rsid w:val="008C2272"/>
    <w:pPr>
      <w:tabs>
        <w:tab w:val="center" w:pos="4320"/>
        <w:tab w:val="right" w:pos="8640"/>
      </w:tabs>
    </w:pPr>
  </w:style>
  <w:style w:type="character" w:styleId="PageNumber">
    <w:name w:val="page number"/>
    <w:basedOn w:val="DefaultParagraphFont"/>
    <w:rsid w:val="008C2272"/>
  </w:style>
  <w:style w:type="paragraph" w:styleId="Revision">
    <w:name w:val="Revision"/>
    <w:hidden/>
    <w:uiPriority w:val="99"/>
    <w:semiHidden/>
    <w:rsid w:val="00025BBF"/>
    <w:rPr>
      <w:sz w:val="24"/>
      <w:szCs w:val="24"/>
      <w:lang w:eastAsia="en-US"/>
    </w:rPr>
  </w:style>
  <w:style w:type="paragraph" w:styleId="Header">
    <w:name w:val="header"/>
    <w:basedOn w:val="Normal"/>
    <w:link w:val="HeaderChar"/>
    <w:uiPriority w:val="99"/>
    <w:unhideWhenUsed/>
    <w:rsid w:val="00A141A5"/>
    <w:pPr>
      <w:tabs>
        <w:tab w:val="center" w:pos="4680"/>
        <w:tab w:val="right" w:pos="9360"/>
      </w:tabs>
    </w:pPr>
    <w:rPr>
      <w:lang/>
    </w:rPr>
  </w:style>
  <w:style w:type="character" w:customStyle="1" w:styleId="HeaderChar">
    <w:name w:val="Header Char"/>
    <w:link w:val="Header"/>
    <w:uiPriority w:val="99"/>
    <w:rsid w:val="00A141A5"/>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444F-359D-4E53-8D49-F6461D50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PROPHE data by Region</vt:lpstr>
    </vt:vector>
  </TitlesOfParts>
  <Company>TOSHIBA</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PROPHE data by Region</dc:title>
  <dc:creator>Robin Middlehurst</dc:creator>
  <cp:lastModifiedBy>Bahram</cp:lastModifiedBy>
  <cp:revision>2</cp:revision>
  <cp:lastPrinted>2011-02-21T12:05:00Z</cp:lastPrinted>
  <dcterms:created xsi:type="dcterms:W3CDTF">2011-05-05T14:46:00Z</dcterms:created>
  <dcterms:modified xsi:type="dcterms:W3CDTF">2011-05-05T14:46:00Z</dcterms:modified>
</cp:coreProperties>
</file>