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8D58D" w14:textId="77777777" w:rsidR="00D42A6E" w:rsidRPr="006C5B94" w:rsidRDefault="005266FC" w:rsidP="006A7F23">
      <w:pPr>
        <w:pStyle w:val="Title"/>
      </w:pPr>
      <w:bookmarkStart w:id="0" w:name="_GoBack"/>
      <w:bookmarkEnd w:id="0"/>
      <w:r w:rsidRPr="006C5B94">
        <w:t>A comparison of higher e</w:t>
      </w:r>
      <w:r w:rsidR="0064778E" w:rsidRPr="006C5B94">
        <w:t xml:space="preserve">ducation funding in England and </w:t>
      </w:r>
      <w:r w:rsidR="006A7F23" w:rsidRPr="006C5B94">
        <w:t>Australia</w:t>
      </w:r>
      <w:r w:rsidR="0064778E" w:rsidRPr="006C5B94">
        <w:t xml:space="preserve">: </w:t>
      </w:r>
      <w:r w:rsidR="00CF464D" w:rsidRPr="006C5B94">
        <w:t>what can we learn?</w:t>
      </w:r>
    </w:p>
    <w:p w14:paraId="4FD52CDB" w14:textId="77777777" w:rsidR="003240E2" w:rsidRDefault="005072F8">
      <w:pPr>
        <w:rPr>
          <w:rFonts w:asciiTheme="majorHAnsi" w:eastAsiaTheme="majorEastAsia" w:hAnsiTheme="majorHAnsi" w:cstheme="majorBidi"/>
          <w:b/>
          <w:bCs/>
          <w:color w:val="365F91" w:themeColor="accent1" w:themeShade="BF"/>
          <w:sz w:val="28"/>
          <w:szCs w:val="28"/>
        </w:rPr>
      </w:pPr>
      <w:r w:rsidRPr="006C5B94">
        <w:rPr>
          <w:rFonts w:asciiTheme="majorHAnsi" w:eastAsiaTheme="majorEastAsia" w:hAnsiTheme="majorHAnsi" w:cstheme="majorBidi"/>
          <w:b/>
          <w:bCs/>
          <w:color w:val="365F91" w:themeColor="accent1" w:themeShade="BF"/>
          <w:sz w:val="28"/>
          <w:szCs w:val="28"/>
        </w:rPr>
        <w:t>A HEPI report</w:t>
      </w:r>
      <w:r w:rsidR="003240E2" w:rsidRPr="006C5B94">
        <w:rPr>
          <w:rFonts w:asciiTheme="majorHAnsi" w:eastAsiaTheme="majorEastAsia" w:hAnsiTheme="majorHAnsi" w:cstheme="majorBidi"/>
          <w:b/>
          <w:bCs/>
          <w:color w:val="365F91" w:themeColor="accent1" w:themeShade="BF"/>
          <w:sz w:val="28"/>
          <w:szCs w:val="28"/>
        </w:rPr>
        <w:t xml:space="preserve"> by Libby Hackett</w:t>
      </w:r>
    </w:p>
    <w:p w14:paraId="27F90E52" w14:textId="1D45B072" w:rsidR="003240E2" w:rsidRPr="006C5B94" w:rsidRDefault="00CA3D65">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April 2014</w:t>
      </w:r>
    </w:p>
    <w:p w14:paraId="18A7282C"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5FBCE54B"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6CB548C2"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01B52481"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1D461D3E"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25DC85BB"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180315E0"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496AFC07"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28538797"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278566AD"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43C0C4E0"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554DB0E5"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20883422"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2444C842" w14:textId="77777777" w:rsidR="003240E2" w:rsidRPr="006C5B94" w:rsidRDefault="003240E2">
      <w:pPr>
        <w:rPr>
          <w:rFonts w:asciiTheme="majorHAnsi" w:eastAsiaTheme="majorEastAsia" w:hAnsiTheme="majorHAnsi" w:cstheme="majorBidi"/>
          <w:b/>
          <w:bCs/>
          <w:color w:val="365F91" w:themeColor="accent1" w:themeShade="BF"/>
          <w:sz w:val="28"/>
          <w:szCs w:val="28"/>
        </w:rPr>
      </w:pPr>
    </w:p>
    <w:p w14:paraId="7DC33F86" w14:textId="77777777" w:rsidR="003240E2" w:rsidRPr="006C5B94" w:rsidRDefault="003240E2" w:rsidP="003240E2">
      <w:r w:rsidRPr="006C5B94">
        <w:t xml:space="preserve">About the author: </w:t>
      </w:r>
    </w:p>
    <w:p w14:paraId="4668F6AF" w14:textId="62B4D618" w:rsidR="003240E2" w:rsidRPr="006C5B94" w:rsidRDefault="003240E2" w:rsidP="003240E2">
      <w:r w:rsidRPr="006C5B94">
        <w:t xml:space="preserve">Libby Hackett is Chief Executive of University Alliance (UK) and a </w:t>
      </w:r>
      <w:r w:rsidR="00F95A70">
        <w:t xml:space="preserve">visiting </w:t>
      </w:r>
      <w:r w:rsidR="002A676B">
        <w:t>Senior Research Fellow in higher ed</w:t>
      </w:r>
      <w:r w:rsidRPr="006C5B94">
        <w:t>ucation</w:t>
      </w:r>
      <w:r w:rsidR="002A676B">
        <w:t xml:space="preserve"> policy</w:t>
      </w:r>
      <w:r w:rsidRPr="006C5B94">
        <w:t xml:space="preserve"> at the University of the West of England. Libby has published extensively on higher education supply and demand, the economic demand for graduates and the impact of fees, including previous HEPI publications.</w:t>
      </w:r>
    </w:p>
    <w:sdt>
      <w:sdtPr>
        <w:rPr>
          <w:rFonts w:asciiTheme="minorHAnsi" w:eastAsiaTheme="minorHAnsi" w:hAnsiTheme="minorHAnsi" w:cstheme="minorBidi"/>
          <w:b w:val="0"/>
          <w:bCs w:val="0"/>
          <w:color w:val="auto"/>
          <w:sz w:val="22"/>
          <w:szCs w:val="22"/>
          <w:lang w:val="en-GB" w:eastAsia="en-US"/>
        </w:rPr>
        <w:id w:val="-564030429"/>
        <w:docPartObj>
          <w:docPartGallery w:val="Table of Contents"/>
          <w:docPartUnique/>
        </w:docPartObj>
      </w:sdtPr>
      <w:sdtEndPr>
        <w:rPr>
          <w:noProof/>
        </w:rPr>
      </w:sdtEndPr>
      <w:sdtContent>
        <w:p w14:paraId="43CC6CEB" w14:textId="77777777" w:rsidR="009E6D02" w:rsidRPr="006C5B94" w:rsidRDefault="005372FE" w:rsidP="005372FE">
          <w:pPr>
            <w:pStyle w:val="TOCHeading"/>
            <w:rPr>
              <w:lang w:val="en-GB"/>
            </w:rPr>
          </w:pPr>
          <w:r w:rsidRPr="006C5B94">
            <w:rPr>
              <w:lang w:val="en-GB"/>
            </w:rPr>
            <w:t>Contents</w:t>
          </w:r>
        </w:p>
        <w:p w14:paraId="5702978A" w14:textId="77777777" w:rsidR="00D754B5" w:rsidRDefault="00743C39">
          <w:pPr>
            <w:pStyle w:val="TOC1"/>
            <w:tabs>
              <w:tab w:val="right" w:leader="dot" w:pos="9038"/>
            </w:tabs>
            <w:rPr>
              <w:rFonts w:eastAsiaTheme="minorEastAsia"/>
              <w:noProof/>
              <w:sz w:val="24"/>
              <w:szCs w:val="24"/>
              <w:lang w:val="en-US" w:eastAsia="ja-JP"/>
            </w:rPr>
          </w:pPr>
          <w:r w:rsidRPr="006C5B94">
            <w:fldChar w:fldCharType="begin"/>
          </w:r>
          <w:r w:rsidRPr="006C5B94">
            <w:instrText xml:space="preserve"> TOC \o "1-3" \h \z \u </w:instrText>
          </w:r>
          <w:r w:rsidRPr="006C5B94">
            <w:fldChar w:fldCharType="separate"/>
          </w:r>
          <w:r w:rsidR="00D754B5">
            <w:rPr>
              <w:noProof/>
            </w:rPr>
            <w:t>Executive Summary and lessons to learn for both England and Australia</w:t>
          </w:r>
          <w:r w:rsidR="00D754B5">
            <w:rPr>
              <w:noProof/>
            </w:rPr>
            <w:tab/>
          </w:r>
          <w:r w:rsidR="00D754B5">
            <w:rPr>
              <w:noProof/>
            </w:rPr>
            <w:fldChar w:fldCharType="begin"/>
          </w:r>
          <w:r w:rsidR="00D754B5">
            <w:rPr>
              <w:noProof/>
            </w:rPr>
            <w:instrText xml:space="preserve"> PAGEREF _Toc259883088 \h </w:instrText>
          </w:r>
          <w:r w:rsidR="00D754B5">
            <w:rPr>
              <w:noProof/>
            </w:rPr>
          </w:r>
          <w:r w:rsidR="00D754B5">
            <w:rPr>
              <w:noProof/>
            </w:rPr>
            <w:fldChar w:fldCharType="separate"/>
          </w:r>
          <w:r w:rsidR="00D754B5">
            <w:rPr>
              <w:noProof/>
            </w:rPr>
            <w:t>2</w:t>
          </w:r>
          <w:r w:rsidR="00D754B5">
            <w:rPr>
              <w:noProof/>
            </w:rPr>
            <w:fldChar w:fldCharType="end"/>
          </w:r>
        </w:p>
        <w:p w14:paraId="197C7089" w14:textId="77777777" w:rsidR="00D754B5" w:rsidRDefault="00D754B5">
          <w:pPr>
            <w:pStyle w:val="TOC1"/>
            <w:tabs>
              <w:tab w:val="right" w:leader="dot" w:pos="9038"/>
            </w:tabs>
            <w:rPr>
              <w:rFonts w:eastAsiaTheme="minorEastAsia"/>
              <w:noProof/>
              <w:sz w:val="24"/>
              <w:szCs w:val="24"/>
              <w:lang w:val="en-US" w:eastAsia="ja-JP"/>
            </w:rPr>
          </w:pPr>
          <w:r>
            <w:rPr>
              <w:noProof/>
            </w:rPr>
            <w:t>Acknowledgements</w:t>
          </w:r>
          <w:r>
            <w:rPr>
              <w:noProof/>
            </w:rPr>
            <w:tab/>
          </w:r>
          <w:r>
            <w:rPr>
              <w:noProof/>
            </w:rPr>
            <w:fldChar w:fldCharType="begin"/>
          </w:r>
          <w:r>
            <w:rPr>
              <w:noProof/>
            </w:rPr>
            <w:instrText xml:space="preserve"> PAGEREF _Toc259883089 \h </w:instrText>
          </w:r>
          <w:r>
            <w:rPr>
              <w:noProof/>
            </w:rPr>
          </w:r>
          <w:r>
            <w:rPr>
              <w:noProof/>
            </w:rPr>
            <w:fldChar w:fldCharType="separate"/>
          </w:r>
          <w:r>
            <w:rPr>
              <w:noProof/>
            </w:rPr>
            <w:t>6</w:t>
          </w:r>
          <w:r>
            <w:rPr>
              <w:noProof/>
            </w:rPr>
            <w:fldChar w:fldCharType="end"/>
          </w:r>
        </w:p>
        <w:p w14:paraId="55F604B8" w14:textId="77777777" w:rsidR="00D754B5" w:rsidRDefault="00D754B5">
          <w:pPr>
            <w:pStyle w:val="TOC1"/>
            <w:tabs>
              <w:tab w:val="right" w:leader="dot" w:pos="9038"/>
            </w:tabs>
            <w:rPr>
              <w:rFonts w:eastAsiaTheme="minorEastAsia"/>
              <w:noProof/>
              <w:sz w:val="24"/>
              <w:szCs w:val="24"/>
              <w:lang w:val="en-US" w:eastAsia="ja-JP"/>
            </w:rPr>
          </w:pPr>
          <w:r>
            <w:rPr>
              <w:noProof/>
            </w:rPr>
            <w:t>Chapter 1/ Why make this comparison?</w:t>
          </w:r>
          <w:r>
            <w:rPr>
              <w:noProof/>
            </w:rPr>
            <w:tab/>
          </w:r>
          <w:r>
            <w:rPr>
              <w:noProof/>
            </w:rPr>
            <w:fldChar w:fldCharType="begin"/>
          </w:r>
          <w:r>
            <w:rPr>
              <w:noProof/>
            </w:rPr>
            <w:instrText xml:space="preserve"> PAGEREF _Toc259883090 \h </w:instrText>
          </w:r>
          <w:r>
            <w:rPr>
              <w:noProof/>
            </w:rPr>
          </w:r>
          <w:r>
            <w:rPr>
              <w:noProof/>
            </w:rPr>
            <w:fldChar w:fldCharType="separate"/>
          </w:r>
          <w:r>
            <w:rPr>
              <w:noProof/>
            </w:rPr>
            <w:t>7</w:t>
          </w:r>
          <w:r>
            <w:rPr>
              <w:noProof/>
            </w:rPr>
            <w:fldChar w:fldCharType="end"/>
          </w:r>
        </w:p>
        <w:p w14:paraId="5A1FF596" w14:textId="77777777" w:rsidR="00D754B5" w:rsidRDefault="00D754B5">
          <w:pPr>
            <w:pStyle w:val="TOC1"/>
            <w:tabs>
              <w:tab w:val="right" w:leader="dot" w:pos="9038"/>
            </w:tabs>
            <w:rPr>
              <w:rFonts w:eastAsiaTheme="minorEastAsia"/>
              <w:noProof/>
              <w:sz w:val="24"/>
              <w:szCs w:val="24"/>
              <w:lang w:val="en-US" w:eastAsia="ja-JP"/>
            </w:rPr>
          </w:pPr>
          <w:r>
            <w:rPr>
              <w:noProof/>
            </w:rPr>
            <w:t>Chapter 2/ Funding: flows of public and private investment</w:t>
          </w:r>
          <w:r>
            <w:rPr>
              <w:noProof/>
            </w:rPr>
            <w:tab/>
          </w:r>
          <w:r>
            <w:rPr>
              <w:noProof/>
            </w:rPr>
            <w:fldChar w:fldCharType="begin"/>
          </w:r>
          <w:r>
            <w:rPr>
              <w:noProof/>
            </w:rPr>
            <w:instrText xml:space="preserve"> PAGEREF _Toc259883091 \h </w:instrText>
          </w:r>
          <w:r>
            <w:rPr>
              <w:noProof/>
            </w:rPr>
          </w:r>
          <w:r>
            <w:rPr>
              <w:noProof/>
            </w:rPr>
            <w:fldChar w:fldCharType="separate"/>
          </w:r>
          <w:r>
            <w:rPr>
              <w:noProof/>
            </w:rPr>
            <w:t>9</w:t>
          </w:r>
          <w:r>
            <w:rPr>
              <w:noProof/>
            </w:rPr>
            <w:fldChar w:fldCharType="end"/>
          </w:r>
        </w:p>
        <w:p w14:paraId="171D672B" w14:textId="77777777" w:rsidR="00D754B5" w:rsidRDefault="00D754B5">
          <w:pPr>
            <w:pStyle w:val="TOC2"/>
            <w:tabs>
              <w:tab w:val="right" w:leader="dot" w:pos="9038"/>
            </w:tabs>
            <w:rPr>
              <w:rFonts w:eastAsiaTheme="minorEastAsia"/>
              <w:noProof/>
              <w:sz w:val="24"/>
              <w:szCs w:val="24"/>
              <w:lang w:val="en-US" w:eastAsia="ja-JP"/>
            </w:rPr>
          </w:pPr>
          <w:r>
            <w:rPr>
              <w:noProof/>
            </w:rPr>
            <w:t>What is the optimum balance of public: private contribution to HE?</w:t>
          </w:r>
          <w:r>
            <w:rPr>
              <w:noProof/>
            </w:rPr>
            <w:tab/>
          </w:r>
          <w:r>
            <w:rPr>
              <w:noProof/>
            </w:rPr>
            <w:fldChar w:fldCharType="begin"/>
          </w:r>
          <w:r>
            <w:rPr>
              <w:noProof/>
            </w:rPr>
            <w:instrText xml:space="preserve"> PAGEREF _Toc259883092 \h </w:instrText>
          </w:r>
          <w:r>
            <w:rPr>
              <w:noProof/>
            </w:rPr>
          </w:r>
          <w:r>
            <w:rPr>
              <w:noProof/>
            </w:rPr>
            <w:fldChar w:fldCharType="separate"/>
          </w:r>
          <w:r>
            <w:rPr>
              <w:noProof/>
            </w:rPr>
            <w:t>9</w:t>
          </w:r>
          <w:r>
            <w:rPr>
              <w:noProof/>
            </w:rPr>
            <w:fldChar w:fldCharType="end"/>
          </w:r>
        </w:p>
        <w:p w14:paraId="5E0B90C5" w14:textId="77777777" w:rsidR="00D754B5" w:rsidRDefault="00D754B5">
          <w:pPr>
            <w:pStyle w:val="TOC2"/>
            <w:tabs>
              <w:tab w:val="right" w:leader="dot" w:pos="9038"/>
            </w:tabs>
            <w:rPr>
              <w:rFonts w:eastAsiaTheme="minorEastAsia"/>
              <w:noProof/>
              <w:sz w:val="24"/>
              <w:szCs w:val="24"/>
              <w:lang w:val="en-US" w:eastAsia="ja-JP"/>
            </w:rPr>
          </w:pPr>
          <w:r>
            <w:rPr>
              <w:noProof/>
            </w:rPr>
            <w:t>Flows of public and private investment: the students’ perspective</w:t>
          </w:r>
          <w:r>
            <w:rPr>
              <w:noProof/>
            </w:rPr>
            <w:tab/>
          </w:r>
          <w:r>
            <w:rPr>
              <w:noProof/>
            </w:rPr>
            <w:fldChar w:fldCharType="begin"/>
          </w:r>
          <w:r>
            <w:rPr>
              <w:noProof/>
            </w:rPr>
            <w:instrText xml:space="preserve"> PAGEREF _Toc259883093 \h </w:instrText>
          </w:r>
          <w:r>
            <w:rPr>
              <w:noProof/>
            </w:rPr>
          </w:r>
          <w:r>
            <w:rPr>
              <w:noProof/>
            </w:rPr>
            <w:fldChar w:fldCharType="separate"/>
          </w:r>
          <w:r>
            <w:rPr>
              <w:noProof/>
            </w:rPr>
            <w:t>10</w:t>
          </w:r>
          <w:r>
            <w:rPr>
              <w:noProof/>
            </w:rPr>
            <w:fldChar w:fldCharType="end"/>
          </w:r>
        </w:p>
        <w:p w14:paraId="7CBDBF96" w14:textId="77777777" w:rsidR="00D754B5" w:rsidRDefault="00D754B5">
          <w:pPr>
            <w:pStyle w:val="TOC2"/>
            <w:tabs>
              <w:tab w:val="right" w:leader="dot" w:pos="9038"/>
            </w:tabs>
            <w:rPr>
              <w:rFonts w:eastAsiaTheme="minorEastAsia"/>
              <w:noProof/>
              <w:sz w:val="24"/>
              <w:szCs w:val="24"/>
              <w:lang w:val="en-US" w:eastAsia="ja-JP"/>
            </w:rPr>
          </w:pPr>
          <w:r>
            <w:rPr>
              <w:noProof/>
            </w:rPr>
            <w:t>Flows of public and private investment: the Government’s perspective</w:t>
          </w:r>
          <w:r>
            <w:rPr>
              <w:noProof/>
            </w:rPr>
            <w:tab/>
          </w:r>
          <w:r>
            <w:rPr>
              <w:noProof/>
            </w:rPr>
            <w:fldChar w:fldCharType="begin"/>
          </w:r>
          <w:r>
            <w:rPr>
              <w:noProof/>
            </w:rPr>
            <w:instrText xml:space="preserve"> PAGEREF _Toc259883094 \h </w:instrText>
          </w:r>
          <w:r>
            <w:rPr>
              <w:noProof/>
            </w:rPr>
          </w:r>
          <w:r>
            <w:rPr>
              <w:noProof/>
            </w:rPr>
            <w:fldChar w:fldCharType="separate"/>
          </w:r>
          <w:r>
            <w:rPr>
              <w:noProof/>
            </w:rPr>
            <w:t>14</w:t>
          </w:r>
          <w:r>
            <w:rPr>
              <w:noProof/>
            </w:rPr>
            <w:fldChar w:fldCharType="end"/>
          </w:r>
        </w:p>
        <w:p w14:paraId="166BDE86" w14:textId="77777777" w:rsidR="00D754B5" w:rsidRDefault="00D754B5">
          <w:pPr>
            <w:pStyle w:val="TOC2"/>
            <w:tabs>
              <w:tab w:val="right" w:leader="dot" w:pos="9038"/>
            </w:tabs>
            <w:rPr>
              <w:rFonts w:eastAsiaTheme="minorEastAsia"/>
              <w:noProof/>
              <w:sz w:val="24"/>
              <w:szCs w:val="24"/>
              <w:lang w:val="en-US" w:eastAsia="ja-JP"/>
            </w:rPr>
          </w:pPr>
          <w:r>
            <w:rPr>
              <w:noProof/>
            </w:rPr>
            <w:t>England: What did £9,000 fees do to the balance of private: public investment?</w:t>
          </w:r>
          <w:r>
            <w:rPr>
              <w:noProof/>
            </w:rPr>
            <w:tab/>
          </w:r>
          <w:r>
            <w:rPr>
              <w:noProof/>
            </w:rPr>
            <w:fldChar w:fldCharType="begin"/>
          </w:r>
          <w:r>
            <w:rPr>
              <w:noProof/>
            </w:rPr>
            <w:instrText xml:space="preserve"> PAGEREF _Toc259883095 \h </w:instrText>
          </w:r>
          <w:r>
            <w:rPr>
              <w:noProof/>
            </w:rPr>
          </w:r>
          <w:r>
            <w:rPr>
              <w:noProof/>
            </w:rPr>
            <w:fldChar w:fldCharType="separate"/>
          </w:r>
          <w:r>
            <w:rPr>
              <w:noProof/>
            </w:rPr>
            <w:t>16</w:t>
          </w:r>
          <w:r>
            <w:rPr>
              <w:noProof/>
            </w:rPr>
            <w:fldChar w:fldCharType="end"/>
          </w:r>
        </w:p>
        <w:p w14:paraId="43446610" w14:textId="77777777" w:rsidR="00D754B5" w:rsidRDefault="00D754B5">
          <w:pPr>
            <w:pStyle w:val="TOC2"/>
            <w:tabs>
              <w:tab w:val="right" w:leader="dot" w:pos="9038"/>
            </w:tabs>
            <w:rPr>
              <w:rFonts w:eastAsiaTheme="minorEastAsia"/>
              <w:noProof/>
              <w:sz w:val="24"/>
              <w:szCs w:val="24"/>
              <w:lang w:val="en-US" w:eastAsia="ja-JP"/>
            </w:rPr>
          </w:pPr>
          <w:r>
            <w:rPr>
              <w:noProof/>
            </w:rPr>
            <w:t>How does the private: public balance of investment compare?</w:t>
          </w:r>
          <w:r>
            <w:rPr>
              <w:noProof/>
            </w:rPr>
            <w:tab/>
          </w:r>
          <w:r>
            <w:rPr>
              <w:noProof/>
            </w:rPr>
            <w:fldChar w:fldCharType="begin"/>
          </w:r>
          <w:r>
            <w:rPr>
              <w:noProof/>
            </w:rPr>
            <w:instrText xml:space="preserve"> PAGEREF _Toc259883096 \h </w:instrText>
          </w:r>
          <w:r>
            <w:rPr>
              <w:noProof/>
            </w:rPr>
          </w:r>
          <w:r>
            <w:rPr>
              <w:noProof/>
            </w:rPr>
            <w:fldChar w:fldCharType="separate"/>
          </w:r>
          <w:r>
            <w:rPr>
              <w:noProof/>
            </w:rPr>
            <w:t>18</w:t>
          </w:r>
          <w:r>
            <w:rPr>
              <w:noProof/>
            </w:rPr>
            <w:fldChar w:fldCharType="end"/>
          </w:r>
        </w:p>
        <w:p w14:paraId="320C542C" w14:textId="77777777" w:rsidR="00D754B5" w:rsidRDefault="00D754B5">
          <w:pPr>
            <w:pStyle w:val="TOC2"/>
            <w:tabs>
              <w:tab w:val="right" w:leader="dot" w:pos="9038"/>
            </w:tabs>
            <w:rPr>
              <w:rFonts w:eastAsiaTheme="minorEastAsia"/>
              <w:noProof/>
              <w:sz w:val="24"/>
              <w:szCs w:val="24"/>
              <w:lang w:val="en-US" w:eastAsia="ja-JP"/>
            </w:rPr>
          </w:pPr>
          <w:r>
            <w:rPr>
              <w:noProof/>
            </w:rPr>
            <w:t>The structure of the Australian system in more detail</w:t>
          </w:r>
          <w:r>
            <w:rPr>
              <w:noProof/>
            </w:rPr>
            <w:tab/>
          </w:r>
          <w:r>
            <w:rPr>
              <w:noProof/>
            </w:rPr>
            <w:fldChar w:fldCharType="begin"/>
          </w:r>
          <w:r>
            <w:rPr>
              <w:noProof/>
            </w:rPr>
            <w:instrText xml:space="preserve"> PAGEREF _Toc259883097 \h </w:instrText>
          </w:r>
          <w:r>
            <w:rPr>
              <w:noProof/>
            </w:rPr>
          </w:r>
          <w:r>
            <w:rPr>
              <w:noProof/>
            </w:rPr>
            <w:fldChar w:fldCharType="separate"/>
          </w:r>
          <w:r>
            <w:rPr>
              <w:noProof/>
            </w:rPr>
            <w:t>20</w:t>
          </w:r>
          <w:r>
            <w:rPr>
              <w:noProof/>
            </w:rPr>
            <w:fldChar w:fldCharType="end"/>
          </w:r>
        </w:p>
        <w:p w14:paraId="1E05E617" w14:textId="77777777" w:rsidR="00D754B5" w:rsidRDefault="00D754B5">
          <w:pPr>
            <w:pStyle w:val="TOC1"/>
            <w:tabs>
              <w:tab w:val="right" w:leader="dot" w:pos="9038"/>
            </w:tabs>
            <w:rPr>
              <w:rFonts w:eastAsiaTheme="minorEastAsia"/>
              <w:noProof/>
              <w:sz w:val="24"/>
              <w:szCs w:val="24"/>
              <w:lang w:val="en-US" w:eastAsia="ja-JP"/>
            </w:rPr>
          </w:pPr>
          <w:r>
            <w:rPr>
              <w:noProof/>
            </w:rPr>
            <w:t>Chapter 3/ Public v. private universities in the two systems</w:t>
          </w:r>
          <w:r>
            <w:rPr>
              <w:noProof/>
            </w:rPr>
            <w:tab/>
          </w:r>
          <w:r>
            <w:rPr>
              <w:noProof/>
            </w:rPr>
            <w:fldChar w:fldCharType="begin"/>
          </w:r>
          <w:r>
            <w:rPr>
              <w:noProof/>
            </w:rPr>
            <w:instrText xml:space="preserve"> PAGEREF _Toc259883098 \h </w:instrText>
          </w:r>
          <w:r>
            <w:rPr>
              <w:noProof/>
            </w:rPr>
          </w:r>
          <w:r>
            <w:rPr>
              <w:noProof/>
            </w:rPr>
            <w:fldChar w:fldCharType="separate"/>
          </w:r>
          <w:r>
            <w:rPr>
              <w:noProof/>
            </w:rPr>
            <w:t>22</w:t>
          </w:r>
          <w:r>
            <w:rPr>
              <w:noProof/>
            </w:rPr>
            <w:fldChar w:fldCharType="end"/>
          </w:r>
        </w:p>
        <w:p w14:paraId="6358CC7B" w14:textId="77777777" w:rsidR="00D754B5" w:rsidRDefault="00D754B5">
          <w:pPr>
            <w:pStyle w:val="TOC2"/>
            <w:tabs>
              <w:tab w:val="right" w:leader="dot" w:pos="9038"/>
            </w:tabs>
            <w:rPr>
              <w:rFonts w:eastAsiaTheme="minorEastAsia"/>
              <w:noProof/>
              <w:sz w:val="24"/>
              <w:szCs w:val="24"/>
              <w:lang w:val="en-US" w:eastAsia="ja-JP"/>
            </w:rPr>
          </w:pPr>
          <w:r>
            <w:rPr>
              <w:noProof/>
            </w:rPr>
            <w:t>Treatment of for-profit providers in the English and Australian systems</w:t>
          </w:r>
          <w:r>
            <w:rPr>
              <w:noProof/>
            </w:rPr>
            <w:tab/>
          </w:r>
          <w:r>
            <w:rPr>
              <w:noProof/>
            </w:rPr>
            <w:fldChar w:fldCharType="begin"/>
          </w:r>
          <w:r>
            <w:rPr>
              <w:noProof/>
            </w:rPr>
            <w:instrText xml:space="preserve"> PAGEREF _Toc259883099 \h </w:instrText>
          </w:r>
          <w:r>
            <w:rPr>
              <w:noProof/>
            </w:rPr>
          </w:r>
          <w:r>
            <w:rPr>
              <w:noProof/>
            </w:rPr>
            <w:fldChar w:fldCharType="separate"/>
          </w:r>
          <w:r>
            <w:rPr>
              <w:noProof/>
            </w:rPr>
            <w:t>22</w:t>
          </w:r>
          <w:r>
            <w:rPr>
              <w:noProof/>
            </w:rPr>
            <w:fldChar w:fldCharType="end"/>
          </w:r>
        </w:p>
        <w:p w14:paraId="60A97980" w14:textId="77777777" w:rsidR="00D754B5" w:rsidRDefault="00D754B5">
          <w:pPr>
            <w:pStyle w:val="TOC2"/>
            <w:tabs>
              <w:tab w:val="right" w:leader="dot" w:pos="9038"/>
            </w:tabs>
            <w:rPr>
              <w:rFonts w:eastAsiaTheme="minorEastAsia"/>
              <w:noProof/>
              <w:sz w:val="24"/>
              <w:szCs w:val="24"/>
              <w:lang w:val="en-US" w:eastAsia="ja-JP"/>
            </w:rPr>
          </w:pPr>
          <w:r>
            <w:rPr>
              <w:noProof/>
            </w:rPr>
            <w:t>Funding on the basis of retention</w:t>
          </w:r>
          <w:r>
            <w:rPr>
              <w:noProof/>
            </w:rPr>
            <w:tab/>
          </w:r>
          <w:r>
            <w:rPr>
              <w:noProof/>
            </w:rPr>
            <w:fldChar w:fldCharType="begin"/>
          </w:r>
          <w:r>
            <w:rPr>
              <w:noProof/>
            </w:rPr>
            <w:instrText xml:space="preserve"> PAGEREF _Toc259883100 \h </w:instrText>
          </w:r>
          <w:r>
            <w:rPr>
              <w:noProof/>
            </w:rPr>
          </w:r>
          <w:r>
            <w:rPr>
              <w:noProof/>
            </w:rPr>
            <w:fldChar w:fldCharType="separate"/>
          </w:r>
          <w:r>
            <w:rPr>
              <w:noProof/>
            </w:rPr>
            <w:t>23</w:t>
          </w:r>
          <w:r>
            <w:rPr>
              <w:noProof/>
            </w:rPr>
            <w:fldChar w:fldCharType="end"/>
          </w:r>
        </w:p>
        <w:p w14:paraId="60A71623" w14:textId="77777777" w:rsidR="00D754B5" w:rsidRDefault="00D754B5">
          <w:pPr>
            <w:pStyle w:val="TOC1"/>
            <w:tabs>
              <w:tab w:val="right" w:leader="dot" w:pos="9038"/>
            </w:tabs>
            <w:rPr>
              <w:rFonts w:eastAsiaTheme="minorEastAsia"/>
              <w:noProof/>
              <w:sz w:val="24"/>
              <w:szCs w:val="24"/>
              <w:lang w:val="en-US" w:eastAsia="ja-JP"/>
            </w:rPr>
          </w:pPr>
          <w:r>
            <w:rPr>
              <w:noProof/>
            </w:rPr>
            <w:t>Chapter 4/ Design of fee loans</w:t>
          </w:r>
          <w:r>
            <w:rPr>
              <w:noProof/>
            </w:rPr>
            <w:tab/>
          </w:r>
          <w:r>
            <w:rPr>
              <w:noProof/>
            </w:rPr>
            <w:fldChar w:fldCharType="begin"/>
          </w:r>
          <w:r>
            <w:rPr>
              <w:noProof/>
            </w:rPr>
            <w:instrText xml:space="preserve"> PAGEREF _Toc259883101 \h </w:instrText>
          </w:r>
          <w:r>
            <w:rPr>
              <w:noProof/>
            </w:rPr>
          </w:r>
          <w:r>
            <w:rPr>
              <w:noProof/>
            </w:rPr>
            <w:fldChar w:fldCharType="separate"/>
          </w:r>
          <w:r>
            <w:rPr>
              <w:noProof/>
            </w:rPr>
            <w:t>24</w:t>
          </w:r>
          <w:r>
            <w:rPr>
              <w:noProof/>
            </w:rPr>
            <w:fldChar w:fldCharType="end"/>
          </w:r>
        </w:p>
        <w:p w14:paraId="05093979" w14:textId="77777777" w:rsidR="00D754B5" w:rsidRDefault="00D754B5">
          <w:pPr>
            <w:pStyle w:val="TOC2"/>
            <w:tabs>
              <w:tab w:val="right" w:leader="dot" w:pos="9038"/>
            </w:tabs>
            <w:rPr>
              <w:rFonts w:eastAsiaTheme="minorEastAsia"/>
              <w:noProof/>
              <w:sz w:val="24"/>
              <w:szCs w:val="24"/>
              <w:lang w:val="en-US" w:eastAsia="ja-JP"/>
            </w:rPr>
          </w:pPr>
          <w:r>
            <w:rPr>
              <w:noProof/>
            </w:rPr>
            <w:t>Understanding income contingent loans</w:t>
          </w:r>
          <w:r>
            <w:rPr>
              <w:noProof/>
            </w:rPr>
            <w:tab/>
          </w:r>
          <w:r>
            <w:rPr>
              <w:noProof/>
            </w:rPr>
            <w:fldChar w:fldCharType="begin"/>
          </w:r>
          <w:r>
            <w:rPr>
              <w:noProof/>
            </w:rPr>
            <w:instrText xml:space="preserve"> PAGEREF _Toc259883102 \h </w:instrText>
          </w:r>
          <w:r>
            <w:rPr>
              <w:noProof/>
            </w:rPr>
          </w:r>
          <w:r>
            <w:rPr>
              <w:noProof/>
            </w:rPr>
            <w:fldChar w:fldCharType="separate"/>
          </w:r>
          <w:r>
            <w:rPr>
              <w:noProof/>
            </w:rPr>
            <w:t>24</w:t>
          </w:r>
          <w:r>
            <w:rPr>
              <w:noProof/>
            </w:rPr>
            <w:fldChar w:fldCharType="end"/>
          </w:r>
        </w:p>
        <w:p w14:paraId="4DEE9AFE" w14:textId="77777777" w:rsidR="00D754B5" w:rsidRDefault="00D754B5">
          <w:pPr>
            <w:pStyle w:val="TOC2"/>
            <w:tabs>
              <w:tab w:val="right" w:leader="dot" w:pos="9038"/>
            </w:tabs>
            <w:rPr>
              <w:rFonts w:eastAsiaTheme="minorEastAsia"/>
              <w:noProof/>
              <w:sz w:val="24"/>
              <w:szCs w:val="24"/>
              <w:lang w:val="en-US" w:eastAsia="ja-JP"/>
            </w:rPr>
          </w:pPr>
          <w:r>
            <w:rPr>
              <w:noProof/>
            </w:rPr>
            <w:t>The English and Australian loan system in detail: understanding HECS-HELP and FEE-HELP</w:t>
          </w:r>
          <w:r>
            <w:rPr>
              <w:noProof/>
            </w:rPr>
            <w:tab/>
          </w:r>
          <w:r>
            <w:rPr>
              <w:noProof/>
            </w:rPr>
            <w:fldChar w:fldCharType="begin"/>
          </w:r>
          <w:r>
            <w:rPr>
              <w:noProof/>
            </w:rPr>
            <w:instrText xml:space="preserve"> PAGEREF _Toc259883103 \h </w:instrText>
          </w:r>
          <w:r>
            <w:rPr>
              <w:noProof/>
            </w:rPr>
          </w:r>
          <w:r>
            <w:rPr>
              <w:noProof/>
            </w:rPr>
            <w:fldChar w:fldCharType="separate"/>
          </w:r>
          <w:r>
            <w:rPr>
              <w:noProof/>
            </w:rPr>
            <w:t>26</w:t>
          </w:r>
          <w:r>
            <w:rPr>
              <w:noProof/>
            </w:rPr>
            <w:fldChar w:fldCharType="end"/>
          </w:r>
        </w:p>
        <w:p w14:paraId="55BCD96A" w14:textId="77777777" w:rsidR="00D754B5" w:rsidRDefault="00D754B5">
          <w:pPr>
            <w:pStyle w:val="TOC2"/>
            <w:tabs>
              <w:tab w:val="right" w:leader="dot" w:pos="9038"/>
            </w:tabs>
            <w:rPr>
              <w:rFonts w:eastAsiaTheme="minorEastAsia"/>
              <w:noProof/>
              <w:sz w:val="24"/>
              <w:szCs w:val="24"/>
              <w:lang w:val="en-US" w:eastAsia="ja-JP"/>
            </w:rPr>
          </w:pPr>
          <w:r>
            <w:rPr>
              <w:noProof/>
            </w:rPr>
            <w:t>So what does this mean for the outcomes of the loan system?</w:t>
          </w:r>
          <w:r>
            <w:rPr>
              <w:noProof/>
            </w:rPr>
            <w:tab/>
          </w:r>
          <w:r>
            <w:rPr>
              <w:noProof/>
            </w:rPr>
            <w:fldChar w:fldCharType="begin"/>
          </w:r>
          <w:r>
            <w:rPr>
              <w:noProof/>
            </w:rPr>
            <w:instrText xml:space="preserve"> PAGEREF _Toc259883104 \h </w:instrText>
          </w:r>
          <w:r>
            <w:rPr>
              <w:noProof/>
            </w:rPr>
          </w:r>
          <w:r>
            <w:rPr>
              <w:noProof/>
            </w:rPr>
            <w:fldChar w:fldCharType="separate"/>
          </w:r>
          <w:r>
            <w:rPr>
              <w:noProof/>
            </w:rPr>
            <w:t>28</w:t>
          </w:r>
          <w:r>
            <w:rPr>
              <w:noProof/>
            </w:rPr>
            <w:fldChar w:fldCharType="end"/>
          </w:r>
        </w:p>
        <w:p w14:paraId="48ED9ADD" w14:textId="77777777" w:rsidR="00D754B5" w:rsidRDefault="00D754B5">
          <w:pPr>
            <w:pStyle w:val="TOC1"/>
            <w:tabs>
              <w:tab w:val="right" w:leader="dot" w:pos="9038"/>
            </w:tabs>
            <w:rPr>
              <w:rFonts w:eastAsiaTheme="minorEastAsia"/>
              <w:noProof/>
              <w:sz w:val="24"/>
              <w:szCs w:val="24"/>
              <w:lang w:val="en-US" w:eastAsia="ja-JP"/>
            </w:rPr>
          </w:pPr>
          <w:r>
            <w:rPr>
              <w:noProof/>
            </w:rPr>
            <w:t>Chapter 5/ Student number controls</w:t>
          </w:r>
          <w:r>
            <w:rPr>
              <w:noProof/>
            </w:rPr>
            <w:tab/>
          </w:r>
          <w:r>
            <w:rPr>
              <w:noProof/>
            </w:rPr>
            <w:fldChar w:fldCharType="begin"/>
          </w:r>
          <w:r>
            <w:rPr>
              <w:noProof/>
            </w:rPr>
            <w:instrText xml:space="preserve"> PAGEREF _Toc259883105 \h </w:instrText>
          </w:r>
          <w:r>
            <w:rPr>
              <w:noProof/>
            </w:rPr>
          </w:r>
          <w:r>
            <w:rPr>
              <w:noProof/>
            </w:rPr>
            <w:fldChar w:fldCharType="separate"/>
          </w:r>
          <w:r>
            <w:rPr>
              <w:noProof/>
            </w:rPr>
            <w:t>30</w:t>
          </w:r>
          <w:r>
            <w:rPr>
              <w:noProof/>
            </w:rPr>
            <w:fldChar w:fldCharType="end"/>
          </w:r>
        </w:p>
        <w:p w14:paraId="5E5AE494" w14:textId="77777777" w:rsidR="00D754B5" w:rsidRDefault="00D754B5">
          <w:pPr>
            <w:pStyle w:val="TOC2"/>
            <w:tabs>
              <w:tab w:val="right" w:leader="dot" w:pos="9038"/>
            </w:tabs>
            <w:rPr>
              <w:rFonts w:eastAsiaTheme="minorEastAsia"/>
              <w:noProof/>
              <w:sz w:val="24"/>
              <w:szCs w:val="24"/>
              <w:lang w:val="en-US" w:eastAsia="ja-JP"/>
            </w:rPr>
          </w:pPr>
          <w:r>
            <w:rPr>
              <w:noProof/>
            </w:rPr>
            <w:t>Understanding ‘demand driven’ policy in Australia</w:t>
          </w:r>
          <w:r>
            <w:rPr>
              <w:noProof/>
            </w:rPr>
            <w:tab/>
          </w:r>
          <w:r>
            <w:rPr>
              <w:noProof/>
            </w:rPr>
            <w:fldChar w:fldCharType="begin"/>
          </w:r>
          <w:r>
            <w:rPr>
              <w:noProof/>
            </w:rPr>
            <w:instrText xml:space="preserve"> PAGEREF _Toc259883106 \h </w:instrText>
          </w:r>
          <w:r>
            <w:rPr>
              <w:noProof/>
            </w:rPr>
          </w:r>
          <w:r>
            <w:rPr>
              <w:noProof/>
            </w:rPr>
            <w:fldChar w:fldCharType="separate"/>
          </w:r>
          <w:r>
            <w:rPr>
              <w:noProof/>
            </w:rPr>
            <w:t>30</w:t>
          </w:r>
          <w:r>
            <w:rPr>
              <w:noProof/>
            </w:rPr>
            <w:fldChar w:fldCharType="end"/>
          </w:r>
        </w:p>
        <w:p w14:paraId="5FFFE8DE" w14:textId="77777777" w:rsidR="00D754B5" w:rsidRDefault="00D754B5">
          <w:pPr>
            <w:pStyle w:val="TOC2"/>
            <w:tabs>
              <w:tab w:val="right" w:leader="dot" w:pos="9038"/>
            </w:tabs>
            <w:rPr>
              <w:rFonts w:eastAsiaTheme="minorEastAsia"/>
              <w:noProof/>
              <w:sz w:val="24"/>
              <w:szCs w:val="24"/>
              <w:lang w:val="en-US" w:eastAsia="ja-JP"/>
            </w:rPr>
          </w:pPr>
          <w:r>
            <w:rPr>
              <w:noProof/>
            </w:rPr>
            <w:t>Why England might fare differently following the removal of number controls in 2015-16</w:t>
          </w:r>
          <w:r>
            <w:rPr>
              <w:noProof/>
            </w:rPr>
            <w:tab/>
          </w:r>
          <w:r>
            <w:rPr>
              <w:noProof/>
            </w:rPr>
            <w:fldChar w:fldCharType="begin"/>
          </w:r>
          <w:r>
            <w:rPr>
              <w:noProof/>
            </w:rPr>
            <w:instrText xml:space="preserve"> PAGEREF _Toc259883107 \h </w:instrText>
          </w:r>
          <w:r>
            <w:rPr>
              <w:noProof/>
            </w:rPr>
          </w:r>
          <w:r>
            <w:rPr>
              <w:noProof/>
            </w:rPr>
            <w:fldChar w:fldCharType="separate"/>
          </w:r>
          <w:r>
            <w:rPr>
              <w:noProof/>
            </w:rPr>
            <w:t>31</w:t>
          </w:r>
          <w:r>
            <w:rPr>
              <w:noProof/>
            </w:rPr>
            <w:fldChar w:fldCharType="end"/>
          </w:r>
        </w:p>
        <w:p w14:paraId="77956416" w14:textId="77777777" w:rsidR="00D754B5" w:rsidRDefault="00D754B5">
          <w:pPr>
            <w:pStyle w:val="TOC1"/>
            <w:tabs>
              <w:tab w:val="right" w:leader="dot" w:pos="9038"/>
            </w:tabs>
            <w:rPr>
              <w:rFonts w:eastAsiaTheme="minorEastAsia"/>
              <w:noProof/>
              <w:sz w:val="24"/>
              <w:szCs w:val="24"/>
              <w:lang w:val="en-US" w:eastAsia="ja-JP"/>
            </w:rPr>
          </w:pPr>
          <w:r>
            <w:rPr>
              <w:noProof/>
            </w:rPr>
            <w:t>Chapter 6/ Fee variation, transparency and language</w:t>
          </w:r>
          <w:r>
            <w:rPr>
              <w:noProof/>
            </w:rPr>
            <w:tab/>
          </w:r>
          <w:r>
            <w:rPr>
              <w:noProof/>
            </w:rPr>
            <w:fldChar w:fldCharType="begin"/>
          </w:r>
          <w:r>
            <w:rPr>
              <w:noProof/>
            </w:rPr>
            <w:instrText xml:space="preserve"> PAGEREF _Toc259883108 \h </w:instrText>
          </w:r>
          <w:r>
            <w:rPr>
              <w:noProof/>
            </w:rPr>
          </w:r>
          <w:r>
            <w:rPr>
              <w:noProof/>
            </w:rPr>
            <w:fldChar w:fldCharType="separate"/>
          </w:r>
          <w:r>
            <w:rPr>
              <w:noProof/>
            </w:rPr>
            <w:t>33</w:t>
          </w:r>
          <w:r>
            <w:rPr>
              <w:noProof/>
            </w:rPr>
            <w:fldChar w:fldCharType="end"/>
          </w:r>
        </w:p>
        <w:p w14:paraId="392D9F39" w14:textId="77777777" w:rsidR="00D754B5" w:rsidRDefault="00D754B5">
          <w:pPr>
            <w:pStyle w:val="TOC2"/>
            <w:tabs>
              <w:tab w:val="right" w:leader="dot" w:pos="9038"/>
            </w:tabs>
            <w:rPr>
              <w:rFonts w:eastAsiaTheme="minorEastAsia"/>
              <w:noProof/>
              <w:sz w:val="24"/>
              <w:szCs w:val="24"/>
              <w:lang w:val="en-US" w:eastAsia="ja-JP"/>
            </w:rPr>
          </w:pPr>
          <w:r>
            <w:rPr>
              <w:noProof/>
            </w:rPr>
            <w:t>Fee variation</w:t>
          </w:r>
          <w:r>
            <w:rPr>
              <w:noProof/>
            </w:rPr>
            <w:tab/>
          </w:r>
          <w:r>
            <w:rPr>
              <w:noProof/>
            </w:rPr>
            <w:fldChar w:fldCharType="begin"/>
          </w:r>
          <w:r>
            <w:rPr>
              <w:noProof/>
            </w:rPr>
            <w:instrText xml:space="preserve"> PAGEREF _Toc259883109 \h </w:instrText>
          </w:r>
          <w:r>
            <w:rPr>
              <w:noProof/>
            </w:rPr>
          </w:r>
          <w:r>
            <w:rPr>
              <w:noProof/>
            </w:rPr>
            <w:fldChar w:fldCharType="separate"/>
          </w:r>
          <w:r>
            <w:rPr>
              <w:noProof/>
            </w:rPr>
            <w:t>33</w:t>
          </w:r>
          <w:r>
            <w:rPr>
              <w:noProof/>
            </w:rPr>
            <w:fldChar w:fldCharType="end"/>
          </w:r>
        </w:p>
        <w:p w14:paraId="264211AB" w14:textId="77777777" w:rsidR="00D754B5" w:rsidRDefault="00D754B5">
          <w:pPr>
            <w:pStyle w:val="TOC2"/>
            <w:tabs>
              <w:tab w:val="right" w:leader="dot" w:pos="9038"/>
            </w:tabs>
            <w:rPr>
              <w:rFonts w:eastAsiaTheme="minorEastAsia"/>
              <w:noProof/>
              <w:sz w:val="24"/>
              <w:szCs w:val="24"/>
              <w:lang w:val="en-US" w:eastAsia="ja-JP"/>
            </w:rPr>
          </w:pPr>
          <w:r>
            <w:rPr>
              <w:noProof/>
            </w:rPr>
            <w:t>Transparency</w:t>
          </w:r>
          <w:r>
            <w:rPr>
              <w:noProof/>
            </w:rPr>
            <w:tab/>
          </w:r>
          <w:r>
            <w:rPr>
              <w:noProof/>
            </w:rPr>
            <w:fldChar w:fldCharType="begin"/>
          </w:r>
          <w:r>
            <w:rPr>
              <w:noProof/>
            </w:rPr>
            <w:instrText xml:space="preserve"> PAGEREF _Toc259883110 \h </w:instrText>
          </w:r>
          <w:r>
            <w:rPr>
              <w:noProof/>
            </w:rPr>
          </w:r>
          <w:r>
            <w:rPr>
              <w:noProof/>
            </w:rPr>
            <w:fldChar w:fldCharType="separate"/>
          </w:r>
          <w:r>
            <w:rPr>
              <w:noProof/>
            </w:rPr>
            <w:t>34</w:t>
          </w:r>
          <w:r>
            <w:rPr>
              <w:noProof/>
            </w:rPr>
            <w:fldChar w:fldCharType="end"/>
          </w:r>
        </w:p>
        <w:p w14:paraId="4FAC9D4B" w14:textId="77777777" w:rsidR="00D754B5" w:rsidRDefault="00D754B5">
          <w:pPr>
            <w:pStyle w:val="TOC2"/>
            <w:tabs>
              <w:tab w:val="right" w:leader="dot" w:pos="9038"/>
            </w:tabs>
            <w:rPr>
              <w:rFonts w:eastAsiaTheme="minorEastAsia"/>
              <w:noProof/>
              <w:sz w:val="24"/>
              <w:szCs w:val="24"/>
              <w:lang w:val="en-US" w:eastAsia="ja-JP"/>
            </w:rPr>
          </w:pPr>
          <w:r>
            <w:rPr>
              <w:noProof/>
            </w:rPr>
            <w:t>Language</w:t>
          </w:r>
          <w:r>
            <w:rPr>
              <w:noProof/>
            </w:rPr>
            <w:tab/>
          </w:r>
          <w:r>
            <w:rPr>
              <w:noProof/>
            </w:rPr>
            <w:fldChar w:fldCharType="begin"/>
          </w:r>
          <w:r>
            <w:rPr>
              <w:noProof/>
            </w:rPr>
            <w:instrText xml:space="preserve"> PAGEREF _Toc259883111 \h </w:instrText>
          </w:r>
          <w:r>
            <w:rPr>
              <w:noProof/>
            </w:rPr>
          </w:r>
          <w:r>
            <w:rPr>
              <w:noProof/>
            </w:rPr>
            <w:fldChar w:fldCharType="separate"/>
          </w:r>
          <w:r>
            <w:rPr>
              <w:noProof/>
            </w:rPr>
            <w:t>35</w:t>
          </w:r>
          <w:r>
            <w:rPr>
              <w:noProof/>
            </w:rPr>
            <w:fldChar w:fldCharType="end"/>
          </w:r>
        </w:p>
        <w:p w14:paraId="2C1B2DB9" w14:textId="77777777" w:rsidR="00D754B5" w:rsidRDefault="00D754B5">
          <w:pPr>
            <w:pStyle w:val="TOC1"/>
            <w:tabs>
              <w:tab w:val="right" w:leader="dot" w:pos="9038"/>
            </w:tabs>
            <w:rPr>
              <w:rFonts w:eastAsiaTheme="minorEastAsia"/>
              <w:noProof/>
              <w:sz w:val="24"/>
              <w:szCs w:val="24"/>
              <w:lang w:val="en-US" w:eastAsia="ja-JP"/>
            </w:rPr>
          </w:pPr>
          <w:r>
            <w:rPr>
              <w:noProof/>
            </w:rPr>
            <w:t>Chapter 7/ Regulation</w:t>
          </w:r>
          <w:r>
            <w:rPr>
              <w:noProof/>
            </w:rPr>
            <w:tab/>
          </w:r>
          <w:r>
            <w:rPr>
              <w:noProof/>
            </w:rPr>
            <w:fldChar w:fldCharType="begin"/>
          </w:r>
          <w:r>
            <w:rPr>
              <w:noProof/>
            </w:rPr>
            <w:instrText xml:space="preserve"> PAGEREF _Toc259883112 \h </w:instrText>
          </w:r>
          <w:r>
            <w:rPr>
              <w:noProof/>
            </w:rPr>
          </w:r>
          <w:r>
            <w:rPr>
              <w:noProof/>
            </w:rPr>
            <w:fldChar w:fldCharType="separate"/>
          </w:r>
          <w:r>
            <w:rPr>
              <w:noProof/>
            </w:rPr>
            <w:t>37</w:t>
          </w:r>
          <w:r>
            <w:rPr>
              <w:noProof/>
            </w:rPr>
            <w:fldChar w:fldCharType="end"/>
          </w:r>
        </w:p>
        <w:p w14:paraId="29B5E621" w14:textId="77777777" w:rsidR="00D754B5" w:rsidRDefault="00D754B5">
          <w:pPr>
            <w:pStyle w:val="TOC2"/>
            <w:tabs>
              <w:tab w:val="right" w:leader="dot" w:pos="9038"/>
            </w:tabs>
            <w:rPr>
              <w:rFonts w:eastAsiaTheme="minorEastAsia"/>
              <w:noProof/>
              <w:sz w:val="24"/>
              <w:szCs w:val="24"/>
              <w:lang w:val="en-US" w:eastAsia="ja-JP"/>
            </w:rPr>
          </w:pPr>
          <w:r>
            <w:rPr>
              <w:noProof/>
            </w:rPr>
            <w:t>RTOs and the VET sector in Australia – what not to do</w:t>
          </w:r>
          <w:r>
            <w:rPr>
              <w:noProof/>
            </w:rPr>
            <w:tab/>
          </w:r>
          <w:r>
            <w:rPr>
              <w:noProof/>
            </w:rPr>
            <w:fldChar w:fldCharType="begin"/>
          </w:r>
          <w:r>
            <w:rPr>
              <w:noProof/>
            </w:rPr>
            <w:instrText xml:space="preserve"> PAGEREF _Toc259883113 \h </w:instrText>
          </w:r>
          <w:r>
            <w:rPr>
              <w:noProof/>
            </w:rPr>
          </w:r>
          <w:r>
            <w:rPr>
              <w:noProof/>
            </w:rPr>
            <w:fldChar w:fldCharType="separate"/>
          </w:r>
          <w:r>
            <w:rPr>
              <w:noProof/>
            </w:rPr>
            <w:t>37</w:t>
          </w:r>
          <w:r>
            <w:rPr>
              <w:noProof/>
            </w:rPr>
            <w:fldChar w:fldCharType="end"/>
          </w:r>
        </w:p>
        <w:p w14:paraId="424A4440" w14:textId="77777777" w:rsidR="00D754B5" w:rsidRDefault="00D754B5">
          <w:pPr>
            <w:pStyle w:val="TOC2"/>
            <w:tabs>
              <w:tab w:val="right" w:leader="dot" w:pos="9038"/>
            </w:tabs>
            <w:rPr>
              <w:rFonts w:eastAsiaTheme="minorEastAsia"/>
              <w:noProof/>
              <w:sz w:val="24"/>
              <w:szCs w:val="24"/>
              <w:lang w:val="en-US" w:eastAsia="ja-JP"/>
            </w:rPr>
          </w:pPr>
          <w:r>
            <w:rPr>
              <w:noProof/>
            </w:rPr>
            <w:t>Alternative providers in England – more than you might think</w:t>
          </w:r>
          <w:r>
            <w:rPr>
              <w:noProof/>
            </w:rPr>
            <w:tab/>
          </w:r>
          <w:r>
            <w:rPr>
              <w:noProof/>
            </w:rPr>
            <w:fldChar w:fldCharType="begin"/>
          </w:r>
          <w:r>
            <w:rPr>
              <w:noProof/>
            </w:rPr>
            <w:instrText xml:space="preserve"> PAGEREF _Toc259883114 \h </w:instrText>
          </w:r>
          <w:r>
            <w:rPr>
              <w:noProof/>
            </w:rPr>
          </w:r>
          <w:r>
            <w:rPr>
              <w:noProof/>
            </w:rPr>
            <w:fldChar w:fldCharType="separate"/>
          </w:r>
          <w:r>
            <w:rPr>
              <w:noProof/>
            </w:rPr>
            <w:t>38</w:t>
          </w:r>
          <w:r>
            <w:rPr>
              <w:noProof/>
            </w:rPr>
            <w:fldChar w:fldCharType="end"/>
          </w:r>
        </w:p>
        <w:p w14:paraId="362910EF" w14:textId="77777777" w:rsidR="00D754B5" w:rsidRDefault="00D754B5">
          <w:pPr>
            <w:pStyle w:val="TOC2"/>
            <w:tabs>
              <w:tab w:val="right" w:leader="dot" w:pos="9038"/>
            </w:tabs>
            <w:rPr>
              <w:rFonts w:eastAsiaTheme="minorEastAsia"/>
              <w:noProof/>
              <w:sz w:val="24"/>
              <w:szCs w:val="24"/>
              <w:lang w:val="en-US" w:eastAsia="ja-JP"/>
            </w:rPr>
          </w:pPr>
          <w:r>
            <w:rPr>
              <w:noProof/>
            </w:rPr>
            <w:t>TEQSA – is this HEFCE and QAA combined?</w:t>
          </w:r>
          <w:r>
            <w:rPr>
              <w:noProof/>
            </w:rPr>
            <w:tab/>
          </w:r>
          <w:r>
            <w:rPr>
              <w:noProof/>
            </w:rPr>
            <w:fldChar w:fldCharType="begin"/>
          </w:r>
          <w:r>
            <w:rPr>
              <w:noProof/>
            </w:rPr>
            <w:instrText xml:space="preserve"> PAGEREF _Toc259883115 \h </w:instrText>
          </w:r>
          <w:r>
            <w:rPr>
              <w:noProof/>
            </w:rPr>
          </w:r>
          <w:r>
            <w:rPr>
              <w:noProof/>
            </w:rPr>
            <w:fldChar w:fldCharType="separate"/>
          </w:r>
          <w:r>
            <w:rPr>
              <w:noProof/>
            </w:rPr>
            <w:t>39</w:t>
          </w:r>
          <w:r>
            <w:rPr>
              <w:noProof/>
            </w:rPr>
            <w:fldChar w:fldCharType="end"/>
          </w:r>
        </w:p>
        <w:p w14:paraId="607B77D0" w14:textId="77777777" w:rsidR="00D754B5" w:rsidRDefault="00D754B5">
          <w:pPr>
            <w:pStyle w:val="TOC2"/>
            <w:tabs>
              <w:tab w:val="right" w:leader="dot" w:pos="9038"/>
            </w:tabs>
            <w:rPr>
              <w:rFonts w:eastAsiaTheme="minorEastAsia"/>
              <w:noProof/>
              <w:sz w:val="24"/>
              <w:szCs w:val="24"/>
              <w:lang w:val="en-US" w:eastAsia="ja-JP"/>
            </w:rPr>
          </w:pPr>
          <w:r>
            <w:rPr>
              <w:noProof/>
            </w:rPr>
            <w:t>Is co-regulation a better approach?</w:t>
          </w:r>
          <w:r>
            <w:rPr>
              <w:noProof/>
            </w:rPr>
            <w:tab/>
          </w:r>
          <w:r>
            <w:rPr>
              <w:noProof/>
            </w:rPr>
            <w:fldChar w:fldCharType="begin"/>
          </w:r>
          <w:r>
            <w:rPr>
              <w:noProof/>
            </w:rPr>
            <w:instrText xml:space="preserve"> PAGEREF _Toc259883116 \h </w:instrText>
          </w:r>
          <w:r>
            <w:rPr>
              <w:noProof/>
            </w:rPr>
          </w:r>
          <w:r>
            <w:rPr>
              <w:noProof/>
            </w:rPr>
            <w:fldChar w:fldCharType="separate"/>
          </w:r>
          <w:r>
            <w:rPr>
              <w:noProof/>
            </w:rPr>
            <w:t>41</w:t>
          </w:r>
          <w:r>
            <w:rPr>
              <w:noProof/>
            </w:rPr>
            <w:fldChar w:fldCharType="end"/>
          </w:r>
        </w:p>
        <w:p w14:paraId="7BB06257" w14:textId="77777777" w:rsidR="00D754B5" w:rsidRDefault="00D754B5">
          <w:pPr>
            <w:pStyle w:val="TOC1"/>
            <w:tabs>
              <w:tab w:val="right" w:leader="dot" w:pos="9038"/>
            </w:tabs>
            <w:rPr>
              <w:rFonts w:eastAsiaTheme="minorEastAsia"/>
              <w:noProof/>
              <w:sz w:val="24"/>
              <w:szCs w:val="24"/>
              <w:lang w:val="en-US" w:eastAsia="ja-JP"/>
            </w:rPr>
          </w:pPr>
          <w:r>
            <w:rPr>
              <w:noProof/>
            </w:rPr>
            <w:t>Chapter 8/ Areas that deserve further comparison</w:t>
          </w:r>
          <w:r>
            <w:rPr>
              <w:noProof/>
            </w:rPr>
            <w:tab/>
          </w:r>
          <w:r>
            <w:rPr>
              <w:noProof/>
            </w:rPr>
            <w:fldChar w:fldCharType="begin"/>
          </w:r>
          <w:r>
            <w:rPr>
              <w:noProof/>
            </w:rPr>
            <w:instrText xml:space="preserve"> PAGEREF _Toc259883117 \h </w:instrText>
          </w:r>
          <w:r>
            <w:rPr>
              <w:noProof/>
            </w:rPr>
          </w:r>
          <w:r>
            <w:rPr>
              <w:noProof/>
            </w:rPr>
            <w:fldChar w:fldCharType="separate"/>
          </w:r>
          <w:r>
            <w:rPr>
              <w:noProof/>
            </w:rPr>
            <w:t>42</w:t>
          </w:r>
          <w:r>
            <w:rPr>
              <w:noProof/>
            </w:rPr>
            <w:fldChar w:fldCharType="end"/>
          </w:r>
        </w:p>
        <w:p w14:paraId="38B9A682" w14:textId="77777777" w:rsidR="00D754B5" w:rsidRDefault="00D754B5">
          <w:pPr>
            <w:pStyle w:val="TOC1"/>
            <w:tabs>
              <w:tab w:val="right" w:leader="dot" w:pos="9038"/>
            </w:tabs>
            <w:rPr>
              <w:rFonts w:eastAsiaTheme="minorEastAsia"/>
              <w:noProof/>
              <w:sz w:val="24"/>
              <w:szCs w:val="24"/>
              <w:lang w:val="en-US" w:eastAsia="ja-JP"/>
            </w:rPr>
          </w:pPr>
          <w:r>
            <w:rPr>
              <w:noProof/>
            </w:rPr>
            <w:t>Bibliography</w:t>
          </w:r>
          <w:r>
            <w:rPr>
              <w:noProof/>
            </w:rPr>
            <w:tab/>
          </w:r>
          <w:r>
            <w:rPr>
              <w:noProof/>
            </w:rPr>
            <w:fldChar w:fldCharType="begin"/>
          </w:r>
          <w:r>
            <w:rPr>
              <w:noProof/>
            </w:rPr>
            <w:instrText xml:space="preserve"> PAGEREF _Toc259883118 \h </w:instrText>
          </w:r>
          <w:r>
            <w:rPr>
              <w:noProof/>
            </w:rPr>
          </w:r>
          <w:r>
            <w:rPr>
              <w:noProof/>
            </w:rPr>
            <w:fldChar w:fldCharType="separate"/>
          </w:r>
          <w:r>
            <w:rPr>
              <w:noProof/>
            </w:rPr>
            <w:t>43</w:t>
          </w:r>
          <w:r>
            <w:rPr>
              <w:noProof/>
            </w:rPr>
            <w:fldChar w:fldCharType="end"/>
          </w:r>
        </w:p>
        <w:p w14:paraId="4535894A" w14:textId="77777777" w:rsidR="00D754B5" w:rsidRDefault="00D754B5">
          <w:pPr>
            <w:pStyle w:val="TOC1"/>
            <w:tabs>
              <w:tab w:val="right" w:leader="dot" w:pos="9038"/>
            </w:tabs>
            <w:rPr>
              <w:rFonts w:eastAsiaTheme="minorEastAsia"/>
              <w:noProof/>
              <w:sz w:val="24"/>
              <w:szCs w:val="24"/>
              <w:lang w:val="en-US" w:eastAsia="ja-JP"/>
            </w:rPr>
          </w:pPr>
          <w:r>
            <w:rPr>
              <w:noProof/>
            </w:rPr>
            <w:t>Annex 1: Australian student contribution and direct public funding</w:t>
          </w:r>
          <w:r>
            <w:rPr>
              <w:noProof/>
            </w:rPr>
            <w:tab/>
          </w:r>
          <w:r>
            <w:rPr>
              <w:noProof/>
            </w:rPr>
            <w:fldChar w:fldCharType="begin"/>
          </w:r>
          <w:r>
            <w:rPr>
              <w:noProof/>
            </w:rPr>
            <w:instrText xml:space="preserve"> PAGEREF _Toc259883119 \h </w:instrText>
          </w:r>
          <w:r>
            <w:rPr>
              <w:noProof/>
            </w:rPr>
          </w:r>
          <w:r>
            <w:rPr>
              <w:noProof/>
            </w:rPr>
            <w:fldChar w:fldCharType="separate"/>
          </w:r>
          <w:r>
            <w:rPr>
              <w:noProof/>
            </w:rPr>
            <w:t>46</w:t>
          </w:r>
          <w:r>
            <w:rPr>
              <w:noProof/>
            </w:rPr>
            <w:fldChar w:fldCharType="end"/>
          </w:r>
        </w:p>
        <w:p w14:paraId="41024D20" w14:textId="77777777" w:rsidR="00743C39" w:rsidRPr="006C5B94" w:rsidRDefault="00743C39">
          <w:r w:rsidRPr="006C5B94">
            <w:rPr>
              <w:b/>
              <w:bCs/>
              <w:noProof/>
            </w:rPr>
            <w:fldChar w:fldCharType="end"/>
          </w:r>
        </w:p>
      </w:sdtContent>
    </w:sdt>
    <w:p w14:paraId="1055A3B6" w14:textId="492F0612" w:rsidR="005C05AC" w:rsidRDefault="00305055" w:rsidP="00153877">
      <w:pPr>
        <w:pStyle w:val="Heading1"/>
      </w:pPr>
      <w:bookmarkStart w:id="1" w:name="_Toc259883088"/>
      <w:r>
        <w:lastRenderedPageBreak/>
        <w:t xml:space="preserve">Executive </w:t>
      </w:r>
      <w:r w:rsidR="00C30570" w:rsidRPr="006C5B94">
        <w:t>Summary</w:t>
      </w:r>
      <w:r w:rsidR="0086447F">
        <w:t xml:space="preserve"> </w:t>
      </w:r>
      <w:r>
        <w:t xml:space="preserve">and </w:t>
      </w:r>
      <w:r w:rsidR="00A91235">
        <w:t>lessons to learn for both England and Australia</w:t>
      </w:r>
      <w:bookmarkEnd w:id="1"/>
    </w:p>
    <w:p w14:paraId="407643DA" w14:textId="77777777" w:rsidR="00153877" w:rsidRPr="00153877" w:rsidRDefault="00153877" w:rsidP="00153877"/>
    <w:p w14:paraId="58C52780" w14:textId="77777777" w:rsidR="00305055" w:rsidRDefault="00305055" w:rsidP="00305055">
      <w:r>
        <w:t>About two years ago I began an academic study to compare and contrast the design of the student loan systems in Australia and England. Following the introduction of £9,000 fees and with growing concerns about the high levels of non-repayment of loans in England (up to 45% now according to the Government) I soon realised the huge potential to apply some of the findings. Hopefully this HEPI report will prove a timely contribution to the important debate about the future of higher education funding and student finance in England and possibly in Australia as well.</w:t>
      </w:r>
    </w:p>
    <w:p w14:paraId="1E892D0C" w14:textId="77777777" w:rsidR="00305055" w:rsidRDefault="00305055" w:rsidP="00305055">
      <w:r>
        <w:t>The report identifies a number of lessons we can learn from our Australian cousins (and a few the other way but I shall leave those for the full report to describe). Nobody is suggesting the Australian system is perfect, or somehow ‘better’ than the English funding model, but there are a number of lessons we can take from the Australian system; particularly addressing the high and growing cost of non-repayment of student loans and the lack of fee loan access for postgraduate students and two thirds of part-time students in England.</w:t>
      </w:r>
    </w:p>
    <w:p w14:paraId="0F91ED25" w14:textId="77777777" w:rsidR="00305055" w:rsidRDefault="00305055" w:rsidP="00305055">
      <w:r>
        <w:t>The report goes into much more detail but in very brief terms, the most interesting observations are as follows:</w:t>
      </w:r>
    </w:p>
    <w:p w14:paraId="6C43585D" w14:textId="77777777" w:rsidR="00305055" w:rsidRDefault="00305055" w:rsidP="00305055">
      <w:r w:rsidRPr="00305055">
        <w:rPr>
          <w:b/>
        </w:rPr>
        <w:t>First</w:t>
      </w:r>
      <w:r>
        <w:t>, the Australian system operates a much lower level of non-repayment of student loans. Public subsidy of loans is just 25% in Australia (and this includes an interest-rate subsidy alongside non-repayment) compared to the UK’s 45%. The Australian graduate repayment system has a high earning threshold for repayment (like English system ) and a progressive, income-contingent repayment system (like England ) but once the graduate crosses the earning threshold the monthly repayments are higher.  Australian graduates make higher repayments to achieve a much shorter repayment period; just 8.4 years on average compared to over 26 years for English graduates. This has a significant impact on bringing the rate of non-repayment down in the Australian system. It also ensures that the vast majority of Australian graduates pay off their student loan before the age of 30 when, typically, they will be starting to buy houses, get married and /or have children.</w:t>
      </w:r>
    </w:p>
    <w:p w14:paraId="6EA1E344" w14:textId="77777777" w:rsidR="00305055" w:rsidRDefault="00305055" w:rsidP="00305055">
      <w:r>
        <w:t>The obvious lesson for us in England is that loan design matters; particularly the graduate repayment system. There has been a lot of attention of future graduate wages increasing the 45% non-repayment of loans (or ‘RAB’) in England but perhaps we should also look at a loan design that asks only £7.50 a week from someone earning £25,000 a year.  At this rate, no-one should be surprised that it takes over 26 years to pay back and that over 60% of students will never repay their loan in full.</w:t>
      </w:r>
    </w:p>
    <w:p w14:paraId="53988EBB" w14:textId="77777777" w:rsidR="00305055" w:rsidRDefault="00305055" w:rsidP="00305055">
      <w:r w:rsidRPr="00305055">
        <w:rPr>
          <w:b/>
        </w:rPr>
        <w:t>Second</w:t>
      </w:r>
      <w:r>
        <w:t xml:space="preserve">, the Australian system includes a loan design called FEE-HELP. The undergraduate FEE-HELP loan carries a 25% surcharge that gets added to the loan and, in effect, creates a student loan where the cost of non-repayment of loans is zero. This is a relatively small part of the Australian system but provides an excellent proof of concept that is possible to operate a student loan that does not carry public subsidy. This is worth repeating.  The undergraduate FEE-HELP loan proves that it is possible to operate a non-subsidised student loan. </w:t>
      </w:r>
    </w:p>
    <w:p w14:paraId="1EA86C7C" w14:textId="77777777" w:rsidR="00305055" w:rsidRDefault="00305055" w:rsidP="00305055">
      <w:r w:rsidRPr="00305055">
        <w:rPr>
          <w:b/>
        </w:rPr>
        <w:lastRenderedPageBreak/>
        <w:t>Third</w:t>
      </w:r>
      <w:r>
        <w:t>, unlike in England where postgraduate students and two thirds of part-time students cannot access a loan to help with the cost of their fee, FEE-HELP in Australia ensures that virtually all students can access a fee loan that is repaid after graduation.  And it gets even better.  Given the relatively low level of loan subsidy, they are able to offer a lifetime loan allocation (around $100,000) giving everyone maximum flexibility and choice to enable them to up-skill and re-train in support of a diverse and rapidly evolving job market. Given the huge cost of non-repayment of student loans in England, we are only able to offer fee loans to first-time undergraduate students – one hit and you’re done.</w:t>
      </w:r>
    </w:p>
    <w:p w14:paraId="3E568EA3" w14:textId="77777777" w:rsidR="00305055" w:rsidRDefault="00305055" w:rsidP="00305055">
      <w:r w:rsidRPr="00305055">
        <w:rPr>
          <w:b/>
        </w:rPr>
        <w:t>Fourth</w:t>
      </w:r>
      <w:r>
        <w:t xml:space="preserve">, the Australian’s called it a Higher Education Loan Programme – HELP – and developed public discourse based on the Government providing help for students to cover the cost of studying. In the UK, we used terms like ‘fees’ and ‘debt’ and wondered why students protested in the streets. </w:t>
      </w:r>
    </w:p>
    <w:p w14:paraId="19AAE8E5" w14:textId="77777777" w:rsidR="00305055" w:rsidRDefault="00305055" w:rsidP="00305055">
      <w:r>
        <w:t xml:space="preserve">Of equal significance, Australia chose to go with three fee bands rather than one fee maximum, alongside published bands of ‘core funding’ by subject. In other words, every student knows both what their contribution and the Government’s contribution is towards the cost of their course.  These funding levels are understood in the public mind-set, engendering a sense of social contract based on the shared contribution of costs. There are obvious lessons for us to learn around both language and transparency in a system where our Government now puts the vast majority of public funding for higher education into invisible loan subsidy. </w:t>
      </w:r>
    </w:p>
    <w:p w14:paraId="4CB55F53" w14:textId="77777777" w:rsidR="00305055" w:rsidRDefault="00305055" w:rsidP="00305055">
      <w:r>
        <w:t>The report finds a few more ‘lessons’ for the English system in Australia’s recent experience, for example in their recent ‘demand-led’ policy and their regulation of Alternative Providers. Both are highly relevant to current policy in England following the autumn statement in 2013 that announced the removal of student number controls from 2015-16 and the growth of alternative providers; they make for interesting reading and are covered in detail in the report.</w:t>
      </w:r>
    </w:p>
    <w:p w14:paraId="6516CD97" w14:textId="77777777" w:rsidR="00305055" w:rsidRDefault="00305055" w:rsidP="00305055">
      <w:r>
        <w:t xml:space="preserve">Given the central importance of higher education to any modern, global economy, these are big issues for our Government or any future government to get right and will undoubtedly form part of the election debate. Public and political discourse will focus on £9,000 fees, student debt and the 45% non-repayment of student loans but hopefully this report will contribute to the wider debate. A well-designed higher education and student finance system will be critical to the future of our economic and social prosperity as a nation; anything we can do to contribute to that is at the heart of the purpose of both the Higher Education Policy Institute and University Alliance.  Further proposals for a future funding system will be published by University Alliance in June as part of our </w:t>
      </w:r>
      <w:proofErr w:type="spellStart"/>
      <w:r>
        <w:t>uni_funding</w:t>
      </w:r>
      <w:proofErr w:type="spellEnd"/>
      <w:r>
        <w:t xml:space="preserve"> work. </w:t>
      </w:r>
    </w:p>
    <w:p w14:paraId="5865385C" w14:textId="77777777" w:rsidR="00305055" w:rsidRDefault="00305055" w:rsidP="005C05AC"/>
    <w:p w14:paraId="36D9FCE9" w14:textId="1A17B676" w:rsidR="00305055" w:rsidRPr="00305055" w:rsidRDefault="00305055" w:rsidP="005C05AC">
      <w:pPr>
        <w:rPr>
          <w:b/>
        </w:rPr>
      </w:pPr>
      <w:r w:rsidRPr="00305055">
        <w:rPr>
          <w:b/>
        </w:rPr>
        <w:t xml:space="preserve">Lessons </w:t>
      </w:r>
      <w:r>
        <w:rPr>
          <w:b/>
        </w:rPr>
        <w:t>to learn</w:t>
      </w:r>
    </w:p>
    <w:p w14:paraId="1415C7A8" w14:textId="0D5F9D47" w:rsidR="005C05AC" w:rsidRDefault="005C05AC" w:rsidP="005C05AC">
      <w:r>
        <w:t xml:space="preserve">1/ </w:t>
      </w:r>
      <w:r w:rsidR="00403D57">
        <w:t>Evidence would suggest</w:t>
      </w:r>
      <w:r w:rsidRPr="006C5B94">
        <w:t xml:space="preserve"> that a 50:50 balance of</w:t>
      </w:r>
      <w:r>
        <w:t xml:space="preserve"> public: private contribution may</w:t>
      </w:r>
      <w:r w:rsidRPr="006C5B94">
        <w:t xml:space="preserve"> achieve something close to optimum economic efficiency.</w:t>
      </w:r>
      <w:r w:rsidR="00F47E15">
        <w:t xml:space="preserve"> </w:t>
      </w:r>
      <w:r>
        <w:t>Even the best evidence, however, includes a considerable amount of judgement, which means this figure should only be a rough guide at best.</w:t>
      </w:r>
    </w:p>
    <w:p w14:paraId="22993A1F" w14:textId="77777777" w:rsidR="00403D57" w:rsidRPr="006C5B94" w:rsidRDefault="00403D57" w:rsidP="00403D57">
      <w:r>
        <w:t>2</w:t>
      </w:r>
      <w:r w:rsidRPr="006C5B94">
        <w:t>/ If England is</w:t>
      </w:r>
      <w:r>
        <w:t xml:space="preserve"> concerned about the upfront cost of studying for postgraduate and many part-time or second chance students, Australia is an excellent place to start</w:t>
      </w:r>
      <w:r w:rsidRPr="006C5B94">
        <w:t xml:space="preserve"> looking</w:t>
      </w:r>
      <w:r>
        <w:t>.</w:t>
      </w:r>
      <w:r w:rsidRPr="006C5B94">
        <w:t xml:space="preserve"> </w:t>
      </w:r>
      <w:r>
        <w:t>They have been able to</w:t>
      </w:r>
      <w:r w:rsidRPr="006C5B94">
        <w:t xml:space="preserve"> provide financial support for </w:t>
      </w:r>
      <w:r>
        <w:t>these students at minimal</w:t>
      </w:r>
      <w:r w:rsidRPr="006C5B94">
        <w:t xml:space="preserve"> cost to Go</w:t>
      </w:r>
      <w:r>
        <w:t xml:space="preserve">vernment; for undergraduate </w:t>
      </w:r>
      <w:r>
        <w:lastRenderedPageBreak/>
        <w:t>students that cannot access</w:t>
      </w:r>
      <w:r w:rsidR="005F471C">
        <w:t xml:space="preserve"> publicly subsidised places, a</w:t>
      </w:r>
      <w:r>
        <w:t xml:space="preserve"> loan is available at virtually zero cost to Government.</w:t>
      </w:r>
    </w:p>
    <w:p w14:paraId="6B5772AD" w14:textId="3AEC5DF8" w:rsidR="00403D57" w:rsidRDefault="00403D57" w:rsidP="00403D57">
      <w:r>
        <w:t>3</w:t>
      </w:r>
      <w:r w:rsidRPr="00F043C9">
        <w:t xml:space="preserve">/ It is actually the </w:t>
      </w:r>
      <w:r>
        <w:t>English</w:t>
      </w:r>
      <w:r w:rsidRPr="00F043C9">
        <w:t xml:space="preserve"> system that is closer to achieving the optimum level of 50:50 public: private</w:t>
      </w:r>
      <w:r w:rsidR="009C439B">
        <w:t xml:space="preserve"> share of contribution overall.</w:t>
      </w:r>
      <w:r w:rsidR="00F47E15">
        <w:t xml:space="preserve"> </w:t>
      </w:r>
      <w:r w:rsidR="009C439B">
        <w:t>The</w:t>
      </w:r>
      <w:r w:rsidRPr="00F043C9">
        <w:t xml:space="preserve"> lack of transparency in the English system</w:t>
      </w:r>
      <w:r w:rsidR="009C439B">
        <w:t>, however,</w:t>
      </w:r>
      <w:r w:rsidRPr="00F043C9">
        <w:t xml:space="preserve"> means that there is almost zero public awareness of this balance of contribution, with most students assuming they are paying the full cost of their studies at £9,000.</w:t>
      </w:r>
    </w:p>
    <w:p w14:paraId="14D758A0" w14:textId="77777777" w:rsidR="00591238" w:rsidRPr="00591238" w:rsidRDefault="00591238" w:rsidP="00591238">
      <w:r w:rsidRPr="00591238">
        <w:t xml:space="preserve">4/ The important lesson here for those in Australia who are looking to liberalise fees for the purpose of raising funding to universities is that the trebling of fees to £9,000 in England did not bring in much additional resource to English universities overall – and brought reductions for some. The English experience suggests that any increase in the cost of public loan subsidy is likely to result in a matched reduction in core public funding for teaching. </w:t>
      </w:r>
      <w:r w:rsidR="007A0528" w:rsidRPr="00591238">
        <w:t xml:space="preserve">The Australian HECS-HELP fee loan carries a Government subsidy, so the same logic is likely to apply. </w:t>
      </w:r>
      <w:r w:rsidRPr="00591238">
        <w:t>Those in Australia who are seeking to raise or fully liberalise the fee level should be wary of the consequence for their base funding.</w:t>
      </w:r>
    </w:p>
    <w:p w14:paraId="246FBCAE" w14:textId="77777777" w:rsidR="00591238" w:rsidRPr="006C5B94" w:rsidRDefault="00591238" w:rsidP="00591238">
      <w:pPr>
        <w:rPr>
          <w:bCs/>
        </w:rPr>
      </w:pPr>
      <w:r w:rsidRPr="006C5B94">
        <w:t>5/ Given public reaction to £9,000 fees in England, including student riots, the lesson here for England might be that direct funding for teaching is a more transparent method of public investment in HE that can more easily facilitate a social contract based on a practical demonstration of shared investment.</w:t>
      </w:r>
    </w:p>
    <w:p w14:paraId="6DA62EC8" w14:textId="2F6AFEBC" w:rsidR="00591238" w:rsidRDefault="00591238" w:rsidP="00591238">
      <w:r>
        <w:t>6/ The Australian model of a lifetime loan allocation for their FEE-HELP loan system is an important and progressive step towards a more flexible, mar</w:t>
      </w:r>
      <w:r w:rsidR="00B06F29">
        <w:t>ket-driven system that England sh</w:t>
      </w:r>
      <w:r>
        <w:t>ould learn from.</w:t>
      </w:r>
    </w:p>
    <w:p w14:paraId="1B5DAB1D" w14:textId="3F47DF25" w:rsidR="00403D57" w:rsidRPr="006C5B94" w:rsidRDefault="00591238" w:rsidP="00591238">
      <w:r>
        <w:t>7/ Given the Government’s commitment to increasing market forces in higher education in England, it is helpful to observe the Australian system</w:t>
      </w:r>
      <w:r w:rsidR="005F65AF">
        <w:t xml:space="preserve"> in this regard.</w:t>
      </w:r>
      <w:r w:rsidR="00F47E15">
        <w:t xml:space="preserve"> </w:t>
      </w:r>
      <w:r w:rsidR="005F65AF">
        <w:t>The Australian system</w:t>
      </w:r>
      <w:r w:rsidR="008139E3">
        <w:t xml:space="preserve"> </w:t>
      </w:r>
      <w:r w:rsidR="005F65AF">
        <w:t xml:space="preserve">benefits from operating publicly-supported higher education alongside a more </w:t>
      </w:r>
      <w:proofErr w:type="spellStart"/>
      <w:r w:rsidR="005F65AF">
        <w:t>marketised</w:t>
      </w:r>
      <w:proofErr w:type="spellEnd"/>
      <w:r w:rsidR="005F65AF">
        <w:t xml:space="preserve"> system that carries little or no public subsidy; and yet still offers fee loans to </w:t>
      </w:r>
      <w:r w:rsidR="002A676B">
        <w:t xml:space="preserve">nearly </w:t>
      </w:r>
      <w:r w:rsidR="005F65AF">
        <w:t>all students</w:t>
      </w:r>
      <w:r>
        <w:t xml:space="preserve">. </w:t>
      </w:r>
    </w:p>
    <w:p w14:paraId="737A4622" w14:textId="392D1702" w:rsidR="005C05AC" w:rsidRDefault="00591238" w:rsidP="00C54877">
      <w:pPr>
        <w:rPr>
          <w:color w:val="0070C0"/>
        </w:rPr>
      </w:pPr>
      <w:r>
        <w:t>8</w:t>
      </w:r>
      <w:r w:rsidRPr="006C5B94">
        <w:t xml:space="preserve">/ For England, </w:t>
      </w:r>
      <w:r w:rsidR="00CA3D65">
        <w:t>possibly the most important lessons can be learnt from the undergraduate FEE-HELP loan</w:t>
      </w:r>
      <w:r w:rsidR="00D12C7D">
        <w:t xml:space="preserve"> design</w:t>
      </w:r>
      <w:r w:rsidR="00CA3D65">
        <w:t xml:space="preserve"> in particular; a Government fee loan system that carries little or no public subsidy.</w:t>
      </w:r>
      <w:r w:rsidR="00F47E15">
        <w:t xml:space="preserve"> </w:t>
      </w:r>
      <w:r w:rsidRPr="006C5B94">
        <w:t xml:space="preserve">And for Australia, some considerations about the benefits of </w:t>
      </w:r>
      <w:r>
        <w:t xml:space="preserve">a </w:t>
      </w:r>
      <w:r w:rsidRPr="006C5B94">
        <w:t xml:space="preserve">funding </w:t>
      </w:r>
      <w:r>
        <w:t>system that is more responsive to</w:t>
      </w:r>
      <w:r w:rsidRPr="006C5B94">
        <w:t xml:space="preserve"> </w:t>
      </w:r>
      <w:r>
        <w:t>retention</w:t>
      </w:r>
      <w:r w:rsidRPr="006C5B94">
        <w:t>.</w:t>
      </w:r>
    </w:p>
    <w:p w14:paraId="62EAE582" w14:textId="6CBA110D" w:rsidR="00373E3A" w:rsidRPr="006C5B94" w:rsidRDefault="00373E3A" w:rsidP="00373E3A">
      <w:pPr>
        <w:rPr>
          <w:bCs/>
        </w:rPr>
      </w:pPr>
      <w:r>
        <w:t>9/ For English observers that are concerned about</w:t>
      </w:r>
      <w:r w:rsidR="00546F48">
        <w:rPr>
          <w:bCs/>
        </w:rPr>
        <w:t xml:space="preserve"> the 45</w:t>
      </w:r>
      <w:r>
        <w:rPr>
          <w:bCs/>
        </w:rPr>
        <w:t>% public subsidy on student loans, a vital lesson is that i</w:t>
      </w:r>
      <w:r>
        <w:t>t is not better employment prospects that are allowing Australian graduates to pay back their loans faster (8 years on average, compared to our 26 year); it is lower debt levels and a better designed repayment system – something England needs to learn from.</w:t>
      </w:r>
      <w:r w:rsidR="00F47E15">
        <w:t xml:space="preserve"> </w:t>
      </w:r>
    </w:p>
    <w:p w14:paraId="1EE3335D" w14:textId="492CD0F3" w:rsidR="001435F0" w:rsidRPr="006C5B94" w:rsidRDefault="00373E3A" w:rsidP="001435F0">
      <w:pPr>
        <w:rPr>
          <w:bCs/>
        </w:rPr>
      </w:pPr>
      <w:r>
        <w:t>10</w:t>
      </w:r>
      <w:r w:rsidR="00752670">
        <w:t xml:space="preserve">/ </w:t>
      </w:r>
      <w:r w:rsidR="001435F0">
        <w:t>The Australian system is distinct in having a tougher, shorter repayment period once over the earnings threshold. For most graduates, this means an effective – and still affordable - means of getting their loan paid off in full before they reach 30.</w:t>
      </w:r>
      <w:r w:rsidR="001435F0">
        <w:rPr>
          <w:bCs/>
        </w:rPr>
        <w:t xml:space="preserve"> It also means a lower level of public subsidy (or RAB) on student loans for the Government.</w:t>
      </w:r>
    </w:p>
    <w:p w14:paraId="485045A6" w14:textId="4945C082" w:rsidR="00752670" w:rsidRPr="006C5B94" w:rsidRDefault="00CF1A8A" w:rsidP="00C54877">
      <w:pPr>
        <w:rPr>
          <w:bCs/>
        </w:rPr>
      </w:pPr>
      <w:r>
        <w:t>11</w:t>
      </w:r>
      <w:r w:rsidR="00752670" w:rsidRPr="006C5B94">
        <w:t xml:space="preserve">/ </w:t>
      </w:r>
      <w:r w:rsidR="00752670">
        <w:t>FEE-HELP</w:t>
      </w:r>
      <w:r w:rsidR="00752670" w:rsidRPr="006C5B94">
        <w:t xml:space="preserve"> loans have enabled the Australian Government to do two really important things that the </w:t>
      </w:r>
      <w:r w:rsidR="00752670">
        <w:rPr>
          <w:bCs/>
        </w:rPr>
        <w:t>English system</w:t>
      </w:r>
      <w:r w:rsidR="00752670" w:rsidRPr="006C5B94">
        <w:t xml:space="preserve"> is not able to </w:t>
      </w:r>
      <w:r w:rsidR="00752670">
        <w:rPr>
          <w:bCs/>
        </w:rPr>
        <w:t>afford</w:t>
      </w:r>
      <w:r w:rsidR="00752670" w:rsidRPr="006C5B94">
        <w:t>:</w:t>
      </w:r>
      <w:r w:rsidR="00605200">
        <w:t xml:space="preserve"> first,</w:t>
      </w:r>
      <w:r w:rsidR="00752670" w:rsidRPr="006C5B94">
        <w:t xml:space="preserve"> offer a fee loan to every student</w:t>
      </w:r>
      <w:r w:rsidR="00262B9E">
        <w:t xml:space="preserve"> and</w:t>
      </w:r>
      <w:r w:rsidR="00605200">
        <w:t xml:space="preserve"> second, </w:t>
      </w:r>
      <w:r w:rsidR="00752670" w:rsidRPr="006C5B94">
        <w:t>of</w:t>
      </w:r>
      <w:r w:rsidR="00605200">
        <w:t>fer a lifetime loan allocation;</w:t>
      </w:r>
      <w:r w:rsidR="00752670" w:rsidRPr="006C5B94">
        <w:t xml:space="preserve"> allowing students to re-enter the system and re-train throughout their career. This has to be the primary lesson to learn from the Australian system for England. </w:t>
      </w:r>
    </w:p>
    <w:p w14:paraId="4A8CD40F" w14:textId="3023E94E" w:rsidR="00C54877" w:rsidRPr="006C5B94" w:rsidRDefault="00CF1A8A" w:rsidP="00C54877">
      <w:pPr>
        <w:rPr>
          <w:bCs/>
        </w:rPr>
      </w:pPr>
      <w:r>
        <w:lastRenderedPageBreak/>
        <w:t>12</w:t>
      </w:r>
      <w:r w:rsidR="00C54877" w:rsidRPr="006C5B94">
        <w:t xml:space="preserve">/ The English system already has levers in place to manage quality (funding on the basis of completion, robust retention measures, co-regulation of standards and student information) and price (fee controls). The lesson for England to learn is that a non-subsidised Government fee loan could facilitate the expansion of new providers and new types of provision without carrying considerable public subsidy. A </w:t>
      </w:r>
      <w:r w:rsidR="00C54877">
        <w:t>FEE-HELP type approach would</w:t>
      </w:r>
      <w:r w:rsidR="00C54877" w:rsidRPr="006C5B94">
        <w:t xml:space="preserve"> considerably reduce</w:t>
      </w:r>
      <w:r w:rsidR="00D12C7D">
        <w:t xml:space="preserve"> the risk to the public purse, whilst enabling</w:t>
      </w:r>
      <w:r w:rsidR="00C54877" w:rsidRPr="006C5B94">
        <w:t xml:space="preserve"> for-profit providers to grow.</w:t>
      </w:r>
      <w:r w:rsidR="00F47E15">
        <w:t xml:space="preserve"> </w:t>
      </w:r>
    </w:p>
    <w:p w14:paraId="17B02CBA" w14:textId="45C756D4" w:rsidR="00C54877" w:rsidRPr="006C5B94" w:rsidRDefault="00CF1A8A" w:rsidP="00C54877">
      <w:pPr>
        <w:rPr>
          <w:bCs/>
        </w:rPr>
      </w:pPr>
      <w:r>
        <w:t>13</w:t>
      </w:r>
      <w:r w:rsidR="00C54877" w:rsidRPr="006C5B94">
        <w:t>/ The lesson for England here is that transparency matters in the fundi</w:t>
      </w:r>
      <w:r w:rsidR="00C54877">
        <w:t xml:space="preserve">ng system – particularly if you aim </w:t>
      </w:r>
      <w:r w:rsidR="00C54877" w:rsidRPr="006C5B94">
        <w:t xml:space="preserve">to build a social contract </w:t>
      </w:r>
      <w:r w:rsidR="00C54877">
        <w:t xml:space="preserve">on </w:t>
      </w:r>
      <w:r w:rsidR="00C54877" w:rsidRPr="006C5B94">
        <w:t xml:space="preserve">the idea of a shared contribution towards the cost of gaining a degree. </w:t>
      </w:r>
    </w:p>
    <w:p w14:paraId="5CB096E9" w14:textId="34A3021E" w:rsidR="00C54877" w:rsidRPr="006C5B94" w:rsidRDefault="00CF1A8A" w:rsidP="00C54877">
      <w:r>
        <w:t>14</w:t>
      </w:r>
      <w:r w:rsidR="00C54877" w:rsidRPr="006C5B94">
        <w:t>/ The lesson for England here is that language matters in the fundi</w:t>
      </w:r>
      <w:r w:rsidR="00C54877">
        <w:t xml:space="preserve">ng system – particularly if you aim </w:t>
      </w:r>
      <w:r w:rsidR="00C54877" w:rsidRPr="006C5B94">
        <w:t xml:space="preserve">to build a social contract </w:t>
      </w:r>
      <w:r w:rsidR="00C54877">
        <w:t>on</w:t>
      </w:r>
      <w:r w:rsidR="00C54877" w:rsidRPr="006C5B94">
        <w:t xml:space="preserve"> the idea of a shared contribution towards the cost of gaining a degree.</w:t>
      </w:r>
    </w:p>
    <w:p w14:paraId="7D9A6373" w14:textId="2F004ED8" w:rsidR="00C54877" w:rsidRPr="00C54877" w:rsidRDefault="00CF1A8A" w:rsidP="00C54877">
      <w:r>
        <w:t>15</w:t>
      </w:r>
      <w:r w:rsidR="00C54877" w:rsidRPr="00C54877">
        <w:t xml:space="preserve">/ The problem, and the salient lesson for England as well as the Australian HE system, is that the minimum threshold for entry to the market for new providers was set far too low. A regulator cannot be expected to regulate thousands of providers that are flooding into a new market where the doors are wide open. Many of the states staggered payments to providers on the basis of retention but this did not help. The really important lesson for England is that it is far more important to establish and enforce appropriate minimum standards for entry into the market when managing a growing and diversifying market. </w:t>
      </w:r>
    </w:p>
    <w:p w14:paraId="26E627D1" w14:textId="623252AF" w:rsidR="00C54877" w:rsidRPr="00C54877" w:rsidRDefault="00CF1A8A" w:rsidP="00C54877">
      <w:r>
        <w:t>16</w:t>
      </w:r>
      <w:r w:rsidR="00C54877" w:rsidRPr="00C54877">
        <w:t xml:space="preserve">/ This is where the Australian model of TEQSA has something to offer the English system. As a national regulatory body, TEQSA has regulatory responsibility for all HE providers, public or private, receiving public funding or otherwise. </w:t>
      </w:r>
    </w:p>
    <w:p w14:paraId="66924C46" w14:textId="6FAD3C09" w:rsidR="00C54877" w:rsidRPr="00C54877" w:rsidRDefault="00CF1A8A" w:rsidP="00C54877">
      <w:r>
        <w:t>17</w:t>
      </w:r>
      <w:r w:rsidR="00C54877" w:rsidRPr="00C54877">
        <w:t xml:space="preserve">/ Furthermore, TEQSA is responsible for establishing and maintaining a National Register of Higher Education Providers. Given recent student visa scandals with private providers – often English language providers – a National Register of HE Providers could be helpful in making more sensible visa rules. For example, England could return to an automatic </w:t>
      </w:r>
      <w:r w:rsidR="00262B9E">
        <w:t xml:space="preserve">two </w:t>
      </w:r>
      <w:r w:rsidR="00C54877" w:rsidRPr="00C54877">
        <w:t>year right to stay and work for all graduates from those institutions on the National Register of HE Providers. This would put England back in line with Australia, Canada and other international competitors rather than the complicated and off-putting system we have at present.</w:t>
      </w:r>
    </w:p>
    <w:p w14:paraId="158500FC" w14:textId="0501C65F" w:rsidR="00C54877" w:rsidRPr="00C54877" w:rsidRDefault="00CF1A8A" w:rsidP="00C54877">
      <w:r>
        <w:t>18</w:t>
      </w:r>
      <w:r w:rsidR="00C54877" w:rsidRPr="00C54877">
        <w:t>/ In an English system that is about to experience further growth, TEQSA provides a useful example of a national regulator that has proportionate regulatory engagement with all HE providers, whether receiving public funding, fee loans or otherwise.</w:t>
      </w:r>
      <w:r w:rsidR="00F47E15">
        <w:t xml:space="preserve"> </w:t>
      </w:r>
      <w:r w:rsidR="00C54877" w:rsidRPr="00C54877">
        <w:t xml:space="preserve">TEQSA take a differentiated, risk-based approach rather than a ‘level playing field’ approach. Australia also looks to the original providers / accrediting body directly to uphold standards at franchise providers or face sanction itself – an important lesson for England with the rampant growth of franchise providers. This is a model that HEFCE could adopt without, necessarily, having to change the position or co-regulatory function of QAA but it would require </w:t>
      </w:r>
      <w:r w:rsidR="00C54877">
        <w:t>changes to primary legislation.</w:t>
      </w:r>
    </w:p>
    <w:p w14:paraId="2A837813" w14:textId="1344966E" w:rsidR="00C54877" w:rsidRPr="00C54877" w:rsidRDefault="00CF1A8A" w:rsidP="00C54877">
      <w:r>
        <w:t>19</w:t>
      </w:r>
      <w:r w:rsidR="00C54877" w:rsidRPr="00C54877">
        <w:t>/ From the Australian perspective, perhaps there is something for Australia to learn from the UK’s approach to co-regulation of standards – a method that seems to be a little more harmonious but, so far, equally effective at ensuring standards and protecting students.</w:t>
      </w:r>
    </w:p>
    <w:p w14:paraId="0B17ABC4" w14:textId="77777777" w:rsidR="000140E1" w:rsidRPr="006C5B94" w:rsidRDefault="000140E1" w:rsidP="006A7F23">
      <w:pPr>
        <w:pStyle w:val="Heading1"/>
      </w:pPr>
      <w:bookmarkStart w:id="2" w:name="_Toc259883089"/>
      <w:r w:rsidRPr="006C5B94">
        <w:lastRenderedPageBreak/>
        <w:t>Acknowledgements</w:t>
      </w:r>
      <w:bookmarkEnd w:id="2"/>
      <w:r w:rsidRPr="006C5B94">
        <w:t xml:space="preserve"> </w:t>
      </w:r>
    </w:p>
    <w:p w14:paraId="26253654" w14:textId="77777777" w:rsidR="00E36EA2" w:rsidRPr="006C5B94" w:rsidRDefault="00E36EA2"/>
    <w:p w14:paraId="7CA1E9DC" w14:textId="77777777" w:rsidR="0007686E" w:rsidRPr="006C5B94" w:rsidRDefault="0007686E">
      <w:r w:rsidRPr="006C5B94">
        <w:t>I would like to thank the following colleagues in Australia for t</w:t>
      </w:r>
      <w:r w:rsidR="006C5B94" w:rsidRPr="006C5B94">
        <w:t>heir generosity</w:t>
      </w:r>
      <w:r w:rsidRPr="006C5B94">
        <w:t>, expertise and a shared passion for the advancement of higher education for the public good:</w:t>
      </w:r>
    </w:p>
    <w:p w14:paraId="6A95A9B6" w14:textId="77777777" w:rsidR="0007686E" w:rsidRPr="006C5B94" w:rsidRDefault="0007686E" w:rsidP="00E36EA2">
      <w:pPr>
        <w:pStyle w:val="ListParagraph"/>
        <w:numPr>
          <w:ilvl w:val="0"/>
          <w:numId w:val="15"/>
        </w:numPr>
      </w:pPr>
      <w:r w:rsidRPr="006C5B94">
        <w:t>Vicki Thomson, Executive Director of the Australian Technology Network of universities (ATN)</w:t>
      </w:r>
      <w:r w:rsidR="00E36EA2" w:rsidRPr="006C5B94">
        <w:t>;</w:t>
      </w:r>
    </w:p>
    <w:p w14:paraId="0A9C90A6" w14:textId="77777777" w:rsidR="0007686E" w:rsidRPr="006C5B94" w:rsidRDefault="0007686E" w:rsidP="00E36EA2">
      <w:pPr>
        <w:pStyle w:val="ListParagraph"/>
        <w:numPr>
          <w:ilvl w:val="0"/>
          <w:numId w:val="15"/>
        </w:numPr>
      </w:pPr>
      <w:r w:rsidRPr="006C5B94">
        <w:t>Professor Bruce Chapman, Crawford School of Public Policy, Australian National University (ANU)</w:t>
      </w:r>
      <w:r w:rsidR="00E36EA2" w:rsidRPr="006C5B94">
        <w:t>;</w:t>
      </w:r>
    </w:p>
    <w:p w14:paraId="3365E881" w14:textId="77777777" w:rsidR="0007686E" w:rsidRPr="006C5B94" w:rsidRDefault="00153877" w:rsidP="00E36EA2">
      <w:pPr>
        <w:pStyle w:val="ListParagraph"/>
        <w:numPr>
          <w:ilvl w:val="0"/>
          <w:numId w:val="15"/>
        </w:numPr>
      </w:pPr>
      <w:r>
        <w:t xml:space="preserve">Dr </w:t>
      </w:r>
      <w:r w:rsidR="0007686E" w:rsidRPr="006C5B94">
        <w:t>Andrew Herd and colleagues at the Department for Education, Canberra</w:t>
      </w:r>
      <w:r w:rsidR="00E36EA2" w:rsidRPr="006C5B94">
        <w:t>;</w:t>
      </w:r>
    </w:p>
    <w:p w14:paraId="6795592E" w14:textId="77777777" w:rsidR="0007686E" w:rsidRPr="006C5B94" w:rsidRDefault="00153877" w:rsidP="00ED2E7F">
      <w:pPr>
        <w:pStyle w:val="ListParagraph"/>
        <w:numPr>
          <w:ilvl w:val="0"/>
          <w:numId w:val="15"/>
        </w:numPr>
      </w:pPr>
      <w:r>
        <w:t xml:space="preserve">Professor </w:t>
      </w:r>
      <w:proofErr w:type="spellStart"/>
      <w:r w:rsidR="0007686E" w:rsidRPr="006C5B94">
        <w:t>Leesa</w:t>
      </w:r>
      <w:proofErr w:type="spellEnd"/>
      <w:r w:rsidR="0007686E" w:rsidRPr="006C5B94">
        <w:t xml:space="preserve"> </w:t>
      </w:r>
      <w:proofErr w:type="spellStart"/>
      <w:r w:rsidR="0007686E" w:rsidRPr="006C5B94">
        <w:t>Wheelahan</w:t>
      </w:r>
      <w:proofErr w:type="spellEnd"/>
      <w:r w:rsidR="0007686E" w:rsidRPr="006C5B94">
        <w:t xml:space="preserve">, </w:t>
      </w:r>
      <w:r w:rsidR="00ED2E7F">
        <w:t xml:space="preserve">former </w:t>
      </w:r>
      <w:r w:rsidR="0007686E" w:rsidRPr="006C5B94">
        <w:t>Associate Professor at the LH Martin Institute for Tertiary Education Leadership and Management, University of Melbourne</w:t>
      </w:r>
      <w:r w:rsidR="00ED2E7F">
        <w:t xml:space="preserve">, now </w:t>
      </w:r>
      <w:r w:rsidR="00ED2E7F" w:rsidRPr="00ED2E7F">
        <w:t>the William G. Davis Chair in Community College Leadersh</w:t>
      </w:r>
      <w:r w:rsidR="00ED2E7F">
        <w:t>ip at the University of Toronto</w:t>
      </w:r>
      <w:r w:rsidR="00E36EA2" w:rsidRPr="006C5B94">
        <w:t>;</w:t>
      </w:r>
    </w:p>
    <w:p w14:paraId="678B1C04" w14:textId="77777777" w:rsidR="0007686E" w:rsidRPr="006C5B94" w:rsidRDefault="00153877" w:rsidP="00E36EA2">
      <w:pPr>
        <w:pStyle w:val="ListParagraph"/>
        <w:numPr>
          <w:ilvl w:val="0"/>
          <w:numId w:val="15"/>
        </w:numPr>
      </w:pPr>
      <w:r>
        <w:t xml:space="preserve">Dr </w:t>
      </w:r>
      <w:r w:rsidR="0007686E" w:rsidRPr="006C5B94">
        <w:t xml:space="preserve">Gavin </w:t>
      </w:r>
      <w:proofErr w:type="spellStart"/>
      <w:r w:rsidR="0007686E" w:rsidRPr="006C5B94">
        <w:t>Moodie</w:t>
      </w:r>
      <w:proofErr w:type="spellEnd"/>
      <w:r w:rsidR="0007686E" w:rsidRPr="006C5B94">
        <w:t xml:space="preserve">, </w:t>
      </w:r>
      <w:r w:rsidR="00ED2E7F">
        <w:t>Adjunct Professor and higher education policy expert</w:t>
      </w:r>
      <w:r w:rsidR="0007686E" w:rsidRPr="006C5B94">
        <w:t>, RMIT</w:t>
      </w:r>
      <w:r w:rsidR="00E36EA2" w:rsidRPr="006C5B94">
        <w:t xml:space="preserve">; </w:t>
      </w:r>
    </w:p>
    <w:p w14:paraId="5EBEAB47" w14:textId="77777777" w:rsidR="00153877" w:rsidRPr="006C5B94" w:rsidRDefault="00153877" w:rsidP="00153877">
      <w:pPr>
        <w:pStyle w:val="ListParagraph"/>
        <w:numPr>
          <w:ilvl w:val="0"/>
          <w:numId w:val="15"/>
        </w:numPr>
      </w:pPr>
      <w:r w:rsidRPr="006C5B94">
        <w:t xml:space="preserve">Dr Carol </w:t>
      </w:r>
      <w:proofErr w:type="spellStart"/>
      <w:r w:rsidRPr="006C5B94">
        <w:t>Nicoll</w:t>
      </w:r>
      <w:proofErr w:type="spellEnd"/>
      <w:r w:rsidRPr="006C5B94">
        <w:t xml:space="preserve"> and Michael Wells at the Tertiary Education Quality and Standards Agency (TEQSA);</w:t>
      </w:r>
    </w:p>
    <w:p w14:paraId="53BDBD3A" w14:textId="77777777" w:rsidR="00E36EA2" w:rsidRPr="006C5B94" w:rsidRDefault="00E36EA2" w:rsidP="00E36EA2">
      <w:pPr>
        <w:pStyle w:val="ListParagraph"/>
        <w:numPr>
          <w:ilvl w:val="0"/>
          <w:numId w:val="15"/>
        </w:numPr>
      </w:pPr>
      <w:r w:rsidRPr="006C5B94">
        <w:t xml:space="preserve">Belinda Robinson and colleagues at Universities Australia; and </w:t>
      </w:r>
    </w:p>
    <w:p w14:paraId="31112C45" w14:textId="77777777" w:rsidR="00E36EA2" w:rsidRPr="006C5B94" w:rsidRDefault="00933299" w:rsidP="00E36EA2">
      <w:pPr>
        <w:pStyle w:val="ListParagraph"/>
        <w:numPr>
          <w:ilvl w:val="0"/>
          <w:numId w:val="15"/>
        </w:numPr>
      </w:pPr>
      <w:r w:rsidRPr="006C5B94">
        <w:t xml:space="preserve">Professor S Bruce </w:t>
      </w:r>
      <w:proofErr w:type="spellStart"/>
      <w:r w:rsidRPr="006C5B94">
        <w:t>Dowton</w:t>
      </w:r>
      <w:proofErr w:type="spellEnd"/>
      <w:r w:rsidRPr="006C5B94">
        <w:t>, Vice Chancellor of Macquarie University.</w:t>
      </w:r>
    </w:p>
    <w:p w14:paraId="7ADC1081" w14:textId="77777777" w:rsidR="0007686E" w:rsidRPr="006C5B94" w:rsidRDefault="0007686E">
      <w:r w:rsidRPr="006C5B94">
        <w:t>My sincere thanks also go to colleagues in the UK</w:t>
      </w:r>
      <w:r w:rsidR="00E97218" w:rsidRPr="006C5B94">
        <w:t xml:space="preserve"> for their </w:t>
      </w:r>
      <w:r w:rsidR="006C5B94">
        <w:t xml:space="preserve">expert advice, </w:t>
      </w:r>
      <w:r w:rsidR="00E97218" w:rsidRPr="006C5B94">
        <w:t>time and support</w:t>
      </w:r>
      <w:r w:rsidRPr="006C5B94">
        <w:t>, particularly:</w:t>
      </w:r>
    </w:p>
    <w:p w14:paraId="677222F7" w14:textId="77777777" w:rsidR="00E97218" w:rsidRPr="006C5B94" w:rsidRDefault="00547381" w:rsidP="00E97218">
      <w:pPr>
        <w:pStyle w:val="ListParagraph"/>
        <w:numPr>
          <w:ilvl w:val="0"/>
          <w:numId w:val="16"/>
        </w:numPr>
      </w:pPr>
      <w:r>
        <w:t>Professor Nicholas</w:t>
      </w:r>
      <w:r w:rsidR="00710C43" w:rsidRPr="006C5B94">
        <w:t xml:space="preserve"> Barr, London School of Economics</w:t>
      </w:r>
    </w:p>
    <w:p w14:paraId="20B4528C" w14:textId="77777777" w:rsidR="00710C43" w:rsidRDefault="00710C43" w:rsidP="00710C43">
      <w:pPr>
        <w:pStyle w:val="ListParagraph"/>
        <w:numPr>
          <w:ilvl w:val="0"/>
          <w:numId w:val="16"/>
        </w:numPr>
      </w:pPr>
      <w:r w:rsidRPr="006C5B94">
        <w:t>Dr Richard Waller, Associate Professor of the Sociology of Education, University of the West of England (UWE)</w:t>
      </w:r>
    </w:p>
    <w:p w14:paraId="4E0B1D6B" w14:textId="53E8BB8F" w:rsidR="00CD38F7" w:rsidRPr="006C5B94" w:rsidRDefault="00CD38F7" w:rsidP="00710C43">
      <w:pPr>
        <w:pStyle w:val="ListParagraph"/>
        <w:numPr>
          <w:ilvl w:val="0"/>
          <w:numId w:val="16"/>
        </w:numPr>
      </w:pPr>
      <w:r>
        <w:t>Chris Millward, Yvonne Hawkins and colleagues at the Higher Education Funding Council for England (HEFCE)</w:t>
      </w:r>
    </w:p>
    <w:p w14:paraId="40CF7F27" w14:textId="6D0834A5" w:rsidR="0007686E" w:rsidRPr="006C5B94" w:rsidRDefault="007C1868">
      <w:r>
        <w:t>And of course my thanks go to Nick Hillman, Director of the Higher Education Policy Institute (HEPI) in the UK, for supporting, improving and publishing this report.</w:t>
      </w:r>
    </w:p>
    <w:p w14:paraId="734DE124" w14:textId="77777777" w:rsidR="0007686E" w:rsidRPr="006C5B94" w:rsidRDefault="0007686E">
      <w:pPr>
        <w:rPr>
          <w:rFonts w:asciiTheme="majorHAnsi" w:eastAsiaTheme="majorEastAsia" w:hAnsiTheme="majorHAnsi" w:cstheme="majorBidi"/>
          <w:b/>
          <w:bCs/>
          <w:color w:val="365F91" w:themeColor="accent1" w:themeShade="BF"/>
          <w:sz w:val="28"/>
          <w:szCs w:val="28"/>
        </w:rPr>
      </w:pPr>
      <w:r w:rsidRPr="006C5B94">
        <w:br w:type="page"/>
      </w:r>
    </w:p>
    <w:p w14:paraId="0DC32A73" w14:textId="77777777" w:rsidR="006A7F23" w:rsidRPr="006C5B94" w:rsidRDefault="006A7F23" w:rsidP="003D14B6">
      <w:pPr>
        <w:pStyle w:val="Heading1"/>
      </w:pPr>
      <w:bookmarkStart w:id="3" w:name="_Toc259883090"/>
      <w:r w:rsidRPr="006C5B94">
        <w:lastRenderedPageBreak/>
        <w:t>Chapter 1/ Why make this comparison?</w:t>
      </w:r>
      <w:bookmarkEnd w:id="3"/>
    </w:p>
    <w:p w14:paraId="134047BC" w14:textId="48FE248C" w:rsidR="00A77452" w:rsidRPr="006C5B94" w:rsidRDefault="00C90C8B" w:rsidP="00BE332C">
      <w:r w:rsidRPr="006C5B94">
        <w:t>F</w:t>
      </w:r>
      <w:r w:rsidR="009C1E3D" w:rsidRPr="006C5B94">
        <w:t>irst</w:t>
      </w:r>
      <w:r w:rsidR="00041580">
        <w:t>,</w:t>
      </w:r>
      <w:r w:rsidR="009C1E3D" w:rsidRPr="006C5B94">
        <w:t xml:space="preserve"> why bother </w:t>
      </w:r>
      <w:r w:rsidR="005257F5">
        <w:t>comparing</w:t>
      </w:r>
      <w:r w:rsidR="00D41189" w:rsidRPr="006C5B94">
        <w:t xml:space="preserve"> the English</w:t>
      </w:r>
      <w:r w:rsidR="009C1E3D" w:rsidRPr="006C5B94">
        <w:t xml:space="preserve"> and Australian higher education </w:t>
      </w:r>
      <w:r w:rsidR="00156370" w:rsidRPr="006C5B94">
        <w:t xml:space="preserve">funding </w:t>
      </w:r>
      <w:r w:rsidR="009C1E3D" w:rsidRPr="006C5B94">
        <w:t>system</w:t>
      </w:r>
      <w:r w:rsidR="00824351">
        <w:t>s</w:t>
      </w:r>
      <w:r w:rsidR="009C1E3D" w:rsidRPr="006C5B94">
        <w:t>?</w:t>
      </w:r>
      <w:r w:rsidR="00F47E15">
        <w:t xml:space="preserve"> </w:t>
      </w:r>
      <w:r w:rsidR="009C1E3D" w:rsidRPr="006C5B94">
        <w:t xml:space="preserve">Well, beyond </w:t>
      </w:r>
      <w:r w:rsidR="00A77452" w:rsidRPr="006C5B94">
        <w:t>this being just an</w:t>
      </w:r>
      <w:r w:rsidR="009C1E3D" w:rsidRPr="006C5B94">
        <w:t xml:space="preserve"> intellectual </w:t>
      </w:r>
      <w:r w:rsidR="00A77452" w:rsidRPr="006C5B94">
        <w:t>exercise, there are some really interesting policy changes recently on both sides that warrant closer investigation</w:t>
      </w:r>
      <w:r w:rsidR="007547F1" w:rsidRPr="006C5B94">
        <w:t xml:space="preserve"> and may even allow practical application</w:t>
      </w:r>
      <w:r w:rsidR="00A77452" w:rsidRPr="006C5B94">
        <w:t xml:space="preserve">. </w:t>
      </w:r>
      <w:r w:rsidR="007547F1" w:rsidRPr="006C5B94">
        <w:t>Just as those involved in Australian</w:t>
      </w:r>
      <w:r w:rsidR="005257F5">
        <w:t xml:space="preserve"> higher education</w:t>
      </w:r>
      <w:r w:rsidR="007547F1" w:rsidRPr="006C5B94">
        <w:t xml:space="preserve"> </w:t>
      </w:r>
      <w:r w:rsidR="005257F5">
        <w:t>(</w:t>
      </w:r>
      <w:r w:rsidR="007547F1" w:rsidRPr="006C5B94">
        <w:t>HE</w:t>
      </w:r>
      <w:r w:rsidR="005257F5">
        <w:t>)</w:t>
      </w:r>
      <w:r w:rsidR="007547F1" w:rsidRPr="006C5B94">
        <w:t xml:space="preserve"> have been keen to observe what</w:t>
      </w:r>
      <w:r w:rsidR="008E20F5" w:rsidRPr="006C5B94">
        <w:t xml:space="preserve"> lessons they can learn from England’s trebling of undergraduate fees to £9,000</w:t>
      </w:r>
      <w:r w:rsidR="00156370" w:rsidRPr="006C5B94">
        <w:t xml:space="preserve"> (</w:t>
      </w:r>
      <w:r w:rsidR="007547F1" w:rsidRPr="006C5B94">
        <w:t xml:space="preserve">a major acceleration of previous trends), it is </w:t>
      </w:r>
      <w:r w:rsidR="00BF4A06">
        <w:t>helpful for us to examine the Australian system</w:t>
      </w:r>
      <w:r w:rsidR="007547F1" w:rsidRPr="006C5B94">
        <w:t xml:space="preserve"> to learn lesso</w:t>
      </w:r>
      <w:r w:rsidR="00E67815">
        <w:t>ns from their recent ‘demand driven</w:t>
      </w:r>
      <w:r w:rsidR="007547F1" w:rsidRPr="006C5B94">
        <w:t>’ policy where they lifted the cap on places</w:t>
      </w:r>
      <w:r w:rsidR="00824351">
        <w:t>. In additional the Australian system is notable for</w:t>
      </w:r>
      <w:r w:rsidR="007547F1" w:rsidRPr="006C5B94">
        <w:t xml:space="preserve"> their remarkable achievement of designing a Government loan system</w:t>
      </w:r>
      <w:r w:rsidR="00824351">
        <w:t xml:space="preserve"> (undergraduate FEE-HELP)</w:t>
      </w:r>
      <w:r w:rsidR="005257F5">
        <w:t xml:space="preserve"> that carries virtually no </w:t>
      </w:r>
      <w:r w:rsidR="008E20F5" w:rsidRPr="006C5B94">
        <w:t>public subsidy</w:t>
      </w:r>
      <w:r w:rsidR="007547F1" w:rsidRPr="006C5B94">
        <w:t xml:space="preserve"> </w:t>
      </w:r>
      <w:r w:rsidR="00824351">
        <w:t>and is available to</w:t>
      </w:r>
      <w:r w:rsidR="007547F1" w:rsidRPr="006C5B94">
        <w:t xml:space="preserve"> those students </w:t>
      </w:r>
      <w:r w:rsidR="005257F5">
        <w:t>who</w:t>
      </w:r>
      <w:r w:rsidR="007547F1" w:rsidRPr="006C5B94">
        <w:t xml:space="preserve"> cannot access subsidised</w:t>
      </w:r>
      <w:r w:rsidR="00824351">
        <w:t xml:space="preserve"> places with subsidised</w:t>
      </w:r>
      <w:r w:rsidR="007547F1" w:rsidRPr="006C5B94">
        <w:t xml:space="preserve"> </w:t>
      </w:r>
      <w:r w:rsidR="00D8240A" w:rsidRPr="006C5B94">
        <w:t xml:space="preserve">fee </w:t>
      </w:r>
      <w:r w:rsidR="007547F1" w:rsidRPr="006C5B94">
        <w:t>loans</w:t>
      </w:r>
      <w:r w:rsidR="00C30570" w:rsidRPr="006C5B94">
        <w:t xml:space="preserve">. </w:t>
      </w:r>
      <w:r w:rsidR="00A77452" w:rsidRPr="006C5B94">
        <w:t>Given the</w:t>
      </w:r>
      <w:r w:rsidR="00936FCF" w:rsidRPr="006C5B94">
        <w:t xml:space="preserve"> </w:t>
      </w:r>
      <w:r w:rsidR="00C30570" w:rsidRPr="006C5B94">
        <w:t>calls</w:t>
      </w:r>
      <w:r w:rsidR="00936FCF" w:rsidRPr="006C5B94">
        <w:t xml:space="preserve"> in Australia to liberalise the fee cap</w:t>
      </w:r>
      <w:r w:rsidR="00A77452" w:rsidRPr="006C5B94">
        <w:t xml:space="preserve"> recent</w:t>
      </w:r>
      <w:r w:rsidR="005257F5">
        <w:t>ly</w:t>
      </w:r>
      <w:r w:rsidR="00A77452" w:rsidRPr="006C5B94">
        <w:t xml:space="preserve"> and</w:t>
      </w:r>
      <w:r w:rsidR="00936FCF" w:rsidRPr="006C5B94">
        <w:t xml:space="preserve">, in </w:t>
      </w:r>
      <w:r w:rsidR="00D41189" w:rsidRPr="006C5B94">
        <w:t>England</w:t>
      </w:r>
      <w:r w:rsidR="00936FCF" w:rsidRPr="006C5B94">
        <w:t>,</w:t>
      </w:r>
      <w:r w:rsidR="00A77452" w:rsidRPr="006C5B94">
        <w:t xml:space="preserve"> </w:t>
      </w:r>
      <w:r w:rsidR="00936FCF" w:rsidRPr="006C5B94">
        <w:t>the</w:t>
      </w:r>
      <w:r w:rsidR="00C30570" w:rsidRPr="006C5B94">
        <w:t xml:space="preserve"> Coalition’s historic</w:t>
      </w:r>
      <w:r w:rsidR="00936FCF" w:rsidRPr="006C5B94">
        <w:t xml:space="preserve"> </w:t>
      </w:r>
      <w:r w:rsidR="00A77452" w:rsidRPr="006C5B94">
        <w:t>announcement</w:t>
      </w:r>
      <w:r w:rsidR="00936FCF" w:rsidRPr="006C5B94">
        <w:t xml:space="preserve"> </w:t>
      </w:r>
      <w:r w:rsidR="00A77452" w:rsidRPr="006C5B94">
        <w:t xml:space="preserve">to remove student number controls (SNC) </w:t>
      </w:r>
      <w:r w:rsidR="00C30570" w:rsidRPr="006C5B94">
        <w:t>alongside</w:t>
      </w:r>
      <w:r w:rsidR="00A77452" w:rsidRPr="006C5B94">
        <w:t xml:space="preserve"> our </w:t>
      </w:r>
      <w:r w:rsidR="00824351">
        <w:t>rising</w:t>
      </w:r>
      <w:r w:rsidR="00A77452" w:rsidRPr="006C5B94">
        <w:t xml:space="preserve"> </w:t>
      </w:r>
      <w:r w:rsidR="008E20F5" w:rsidRPr="006C5B94">
        <w:t>fee subsidy</w:t>
      </w:r>
      <w:r w:rsidR="00A77452" w:rsidRPr="006C5B94">
        <w:t xml:space="preserve"> charge, </w:t>
      </w:r>
      <w:r w:rsidR="00C30570" w:rsidRPr="006C5B94">
        <w:t>it is important we take a very close look</w:t>
      </w:r>
      <w:r w:rsidR="00A77452" w:rsidRPr="006C5B94">
        <w:t>.</w:t>
      </w:r>
    </w:p>
    <w:p w14:paraId="240CB57D" w14:textId="58CCEF11" w:rsidR="00804EBE" w:rsidRPr="006C5B94" w:rsidRDefault="00936FCF" w:rsidP="00BE332C">
      <w:r w:rsidRPr="006C5B94">
        <w:t>Second: is such a comparison</w:t>
      </w:r>
      <w:r w:rsidR="00A77452" w:rsidRPr="006C5B94">
        <w:t xml:space="preserve"> valid</w:t>
      </w:r>
      <w:r w:rsidRPr="006C5B94">
        <w:t>?</w:t>
      </w:r>
      <w:r w:rsidR="00A77452" w:rsidRPr="006C5B94">
        <w:t xml:space="preserve"> </w:t>
      </w:r>
      <w:r w:rsidRPr="006C5B94">
        <w:t>My</w:t>
      </w:r>
      <w:r w:rsidR="00A77452" w:rsidRPr="006C5B94">
        <w:t xml:space="preserve"> answer </w:t>
      </w:r>
      <w:r w:rsidRPr="006C5B94">
        <w:t>would be</w:t>
      </w:r>
      <w:r w:rsidR="00A77452" w:rsidRPr="006C5B94">
        <w:t xml:space="preserve"> a resounding ‘yes’ – more so than any other system I have ever looked at in </w:t>
      </w:r>
      <w:r w:rsidR="005257F5">
        <w:t>comparison</w:t>
      </w:r>
      <w:r w:rsidR="00A77452" w:rsidRPr="006C5B94">
        <w:t xml:space="preserve"> to the </w:t>
      </w:r>
      <w:r w:rsidR="00D41189" w:rsidRPr="006C5B94">
        <w:t>English</w:t>
      </w:r>
      <w:r w:rsidR="00A77452" w:rsidRPr="006C5B94">
        <w:t xml:space="preserve"> system.</w:t>
      </w:r>
      <w:r w:rsidRPr="006C5B94">
        <w:t xml:space="preserve"> Both Australia and </w:t>
      </w:r>
      <w:r w:rsidR="00D41189" w:rsidRPr="006C5B94">
        <w:t>England</w:t>
      </w:r>
      <w:r w:rsidR="00BE332C" w:rsidRPr="006C5B94">
        <w:t xml:space="preserve"> have a mass higher education system</w:t>
      </w:r>
      <w:r w:rsidR="00C92D43" w:rsidRPr="006C5B94">
        <w:t xml:space="preserve"> </w:t>
      </w:r>
      <w:sdt>
        <w:sdtPr>
          <w:id w:val="-1689976502"/>
          <w:citation/>
        </w:sdtPr>
        <w:sdtEndPr/>
        <w:sdtContent>
          <w:r w:rsidR="00C92D43" w:rsidRPr="006C5B94">
            <w:fldChar w:fldCharType="begin"/>
          </w:r>
          <w:r w:rsidR="00C92D43" w:rsidRPr="006C5B94">
            <w:instrText xml:space="preserve"> CITATION Tro74 \l 2057 </w:instrText>
          </w:r>
          <w:r w:rsidR="00C92D43" w:rsidRPr="006C5B94">
            <w:fldChar w:fldCharType="separate"/>
          </w:r>
          <w:r w:rsidR="00C92D43" w:rsidRPr="006C5B94">
            <w:rPr>
              <w:noProof/>
            </w:rPr>
            <w:t>(Trow M. , 1974)</w:t>
          </w:r>
          <w:r w:rsidR="00C92D43" w:rsidRPr="006C5B94">
            <w:fldChar w:fldCharType="end"/>
          </w:r>
        </w:sdtContent>
      </w:sdt>
      <w:r w:rsidR="00142B9B" w:rsidRPr="006C5B94">
        <w:t>, based on similar waves of expansion since the 1950s</w:t>
      </w:r>
      <w:sdt>
        <w:sdtPr>
          <w:id w:val="1385135447"/>
          <w:citation/>
        </w:sdtPr>
        <w:sdtEndPr/>
        <w:sdtContent>
          <w:r w:rsidR="00142B9B" w:rsidRPr="006C5B94">
            <w:fldChar w:fldCharType="begin"/>
          </w:r>
          <w:r w:rsidR="00142B9B" w:rsidRPr="006C5B94">
            <w:instrText xml:space="preserve">CITATION Whe10 \l 2057 </w:instrText>
          </w:r>
          <w:r w:rsidR="00142B9B" w:rsidRPr="006C5B94">
            <w:fldChar w:fldCharType="separate"/>
          </w:r>
          <w:r w:rsidR="00142B9B" w:rsidRPr="006C5B94">
            <w:rPr>
              <w:noProof/>
            </w:rPr>
            <w:t xml:space="preserve"> (Wheelahan, 2010)</w:t>
          </w:r>
          <w:r w:rsidR="00142B9B" w:rsidRPr="006C5B94">
            <w:fldChar w:fldCharType="end"/>
          </w:r>
        </w:sdtContent>
      </w:sdt>
      <w:r w:rsidR="00142B9B" w:rsidRPr="006C5B94">
        <w:t>. These two countries also have a broadly similar</w:t>
      </w:r>
      <w:r w:rsidR="00BE332C" w:rsidRPr="006C5B94">
        <w:t xml:space="preserve"> balance of public and private contribution with similar funding structures, quality assurance frameworks and participation rates</w:t>
      </w:r>
      <w:r w:rsidR="00DF1770" w:rsidRPr="006C5B94">
        <w:t xml:space="preserve"> (see Chapter 2)</w:t>
      </w:r>
      <w:r w:rsidR="00BE332C" w:rsidRPr="006C5B94">
        <w:t>. Th</w:t>
      </w:r>
      <w:r w:rsidR="00DF1770" w:rsidRPr="006C5B94">
        <w:t>e Australians might have, just,</w:t>
      </w:r>
      <w:r w:rsidR="00BE332C" w:rsidRPr="006C5B94">
        <w:t xml:space="preserve"> beaten us in introducing income contingent loans</w:t>
      </w:r>
      <w:r w:rsidR="00E17B4D" w:rsidRPr="006C5B94">
        <w:t xml:space="preserve"> in 1989</w:t>
      </w:r>
      <w:r w:rsidR="00BE332C" w:rsidRPr="006C5B94">
        <w:t xml:space="preserve"> but our fee and loan system</w:t>
      </w:r>
      <w:r w:rsidR="00262B9E">
        <w:t>s</w:t>
      </w:r>
      <w:r w:rsidR="00BE332C" w:rsidRPr="006C5B94">
        <w:t xml:space="preserve"> have been developed almost in parallel over the past 20 years or so.</w:t>
      </w:r>
      <w:r w:rsidR="00F47E15">
        <w:t xml:space="preserve"> </w:t>
      </w:r>
      <w:r w:rsidR="007A628B" w:rsidRPr="006C5B94">
        <w:t>Even the academic architecture supporting both systems developed almost in parallel thanks</w:t>
      </w:r>
      <w:r w:rsidR="008E20F5" w:rsidRPr="006C5B94">
        <w:t xml:space="preserve"> in large part</w:t>
      </w:r>
      <w:r w:rsidR="00547381">
        <w:t xml:space="preserve"> to Professor Nicholas</w:t>
      </w:r>
      <w:r w:rsidR="007A628B" w:rsidRPr="006C5B94">
        <w:t xml:space="preserve"> Barr at the LSE in London</w:t>
      </w:r>
      <w:r w:rsidR="0028606C" w:rsidRPr="006C5B94">
        <w:rPr>
          <w:rStyle w:val="FootnoteReference"/>
        </w:rPr>
        <w:footnoteReference w:id="1"/>
      </w:r>
      <w:r w:rsidR="007A628B" w:rsidRPr="006C5B94">
        <w:t xml:space="preserve"> and Professor Bruce Chapman at the ANU in Canberra</w:t>
      </w:r>
      <w:r w:rsidR="0028606C" w:rsidRPr="006C5B94">
        <w:rPr>
          <w:rStyle w:val="FootnoteReference"/>
        </w:rPr>
        <w:footnoteReference w:id="2"/>
      </w:r>
      <w:r w:rsidR="007A628B" w:rsidRPr="006C5B94">
        <w:t xml:space="preserve">. </w:t>
      </w:r>
    </w:p>
    <w:p w14:paraId="169B4D1C" w14:textId="7F923F13" w:rsidR="00C30570" w:rsidRPr="006C5B94" w:rsidRDefault="007A628B" w:rsidP="00C30570">
      <w:r w:rsidRPr="006C5B94">
        <w:t>T</w:t>
      </w:r>
      <w:r w:rsidR="00C30570" w:rsidRPr="006C5B94">
        <w:t xml:space="preserve">he case for </w:t>
      </w:r>
      <w:r w:rsidR="005257F5">
        <w:t>comparing</w:t>
      </w:r>
      <w:r w:rsidR="00CF464D" w:rsidRPr="006C5B94">
        <w:t xml:space="preserve"> England</w:t>
      </w:r>
      <w:r w:rsidR="00734E4E" w:rsidRPr="006C5B94">
        <w:t xml:space="preserve"> and Australia </w:t>
      </w:r>
      <w:r w:rsidR="00C30570" w:rsidRPr="006C5B94">
        <w:t>has already been established in academic literature by</w:t>
      </w:r>
      <w:r w:rsidR="00547381">
        <w:t xml:space="preserve"> Nicholas</w:t>
      </w:r>
      <w:r w:rsidR="00653E76" w:rsidRPr="006C5B94">
        <w:t xml:space="preserve"> Barr and others (Barr, 199</w:t>
      </w:r>
      <w:r w:rsidR="00C30570" w:rsidRPr="006C5B94">
        <w:t>8).</w:t>
      </w:r>
      <w:r w:rsidR="00262B9E">
        <w:t xml:space="preserve"> </w:t>
      </w:r>
      <w:r w:rsidR="00C30570" w:rsidRPr="006C5B94">
        <w:t xml:space="preserve">These comparisons, however, need to be undertaken with a great deal of care. Context is everything. </w:t>
      </w:r>
      <w:r w:rsidR="00804EBE" w:rsidRPr="006C5B94">
        <w:t>Alon</w:t>
      </w:r>
      <w:r w:rsidR="005257F5">
        <w:t>gside the difference in size, population (Australia’s landmass is similar to the US but it’s population is just 42% of the UK’s) and let’s not forget climate,</w:t>
      </w:r>
      <w:r w:rsidR="00804EBE" w:rsidRPr="006C5B94">
        <w:t xml:space="preserve"> the two countries have </w:t>
      </w:r>
      <w:r w:rsidR="005257F5">
        <w:t xml:space="preserve">also </w:t>
      </w:r>
      <w:r w:rsidR="00804EBE" w:rsidRPr="006C5B94">
        <w:t>had very different experiences of the global recession</w:t>
      </w:r>
      <w:r w:rsidR="00097CBA" w:rsidRPr="006C5B94">
        <w:t>; a</w:t>
      </w:r>
      <w:r w:rsidR="00C30570" w:rsidRPr="006C5B94">
        <w:t xml:space="preserve"> huge mining boom</w:t>
      </w:r>
      <w:r w:rsidR="005257F5">
        <w:t xml:space="preserve"> and major, early Government stimulus </w:t>
      </w:r>
      <w:r w:rsidR="00097CBA" w:rsidRPr="006C5B94">
        <w:t>has largely</w:t>
      </w:r>
      <w:r w:rsidR="00804EBE" w:rsidRPr="006C5B94">
        <w:t xml:space="preserve"> protected the </w:t>
      </w:r>
      <w:r w:rsidR="00C30570" w:rsidRPr="006C5B94">
        <w:t xml:space="preserve">Australian economy </w:t>
      </w:r>
      <w:r w:rsidR="00804EBE" w:rsidRPr="006C5B94">
        <w:t>whil</w:t>
      </w:r>
      <w:r w:rsidR="00CF464D" w:rsidRPr="006C5B94">
        <w:t>st England</w:t>
      </w:r>
      <w:r w:rsidR="00804EBE" w:rsidRPr="006C5B94">
        <w:t xml:space="preserve"> has been experiencing an ‘era of austerity’</w:t>
      </w:r>
      <w:r w:rsidR="00C30570" w:rsidRPr="006C5B94">
        <w:t>.</w:t>
      </w:r>
      <w:r w:rsidR="00F47E15">
        <w:t xml:space="preserve"> </w:t>
      </w:r>
      <w:r w:rsidR="00804EBE" w:rsidRPr="006C5B94">
        <w:t>Any comparison of the costs or attitudes towards HE</w:t>
      </w:r>
      <w:r w:rsidR="00097CBA" w:rsidRPr="006C5B94">
        <w:t>,</w:t>
      </w:r>
      <w:r w:rsidR="00804EBE" w:rsidRPr="006C5B94">
        <w:t xml:space="preserve"> need to be </w:t>
      </w:r>
      <w:r w:rsidR="00097CBA" w:rsidRPr="006C5B94">
        <w:t>undertaken</w:t>
      </w:r>
      <w:r w:rsidR="00804EBE" w:rsidRPr="006C5B94">
        <w:t xml:space="preserve"> in this context.</w:t>
      </w:r>
    </w:p>
    <w:p w14:paraId="5EE9F6B3" w14:textId="77777777" w:rsidR="00BD043E" w:rsidRPr="006C5B94" w:rsidRDefault="00CD4A4D" w:rsidP="00BE332C">
      <w:r w:rsidRPr="006C5B94">
        <w:t xml:space="preserve">Third: am I the right person to be doing this? Well, I am a (relative) expert in </w:t>
      </w:r>
      <w:r w:rsidR="00D41189" w:rsidRPr="006C5B94">
        <w:t>the English higher education system</w:t>
      </w:r>
      <w:r w:rsidRPr="006C5B94">
        <w:t xml:space="preserve"> – particularly the funding system – and it is from this biased perspective that I will offer some obser</w:t>
      </w:r>
      <w:r w:rsidR="00D2670B" w:rsidRPr="006C5B94">
        <w:t xml:space="preserve">vations and comparisons. </w:t>
      </w:r>
      <w:r w:rsidR="00824351">
        <w:t xml:space="preserve">I have been able to identify lessons on both sides that </w:t>
      </w:r>
      <w:r w:rsidR="00824351">
        <w:lastRenderedPageBreak/>
        <w:t xml:space="preserve">could possibly address some topical issues in the respective countries. </w:t>
      </w:r>
      <w:r w:rsidR="00C30570" w:rsidRPr="006C5B94">
        <w:t>Any factual references</w:t>
      </w:r>
      <w:r w:rsidR="00D2670B" w:rsidRPr="006C5B94">
        <w:t xml:space="preserve"> </w:t>
      </w:r>
      <w:r w:rsidR="00C30570" w:rsidRPr="006C5B94">
        <w:t>to</w:t>
      </w:r>
      <w:r w:rsidR="00D2670B" w:rsidRPr="006C5B94">
        <w:t xml:space="preserve"> the Australian system have been checked by </w:t>
      </w:r>
      <w:r w:rsidR="00B66DB7" w:rsidRPr="006C5B94">
        <w:t>bona</w:t>
      </w:r>
      <w:r w:rsidR="00C90C8B" w:rsidRPr="006C5B94">
        <w:t xml:space="preserve"> </w:t>
      </w:r>
      <w:r w:rsidR="00B66DB7" w:rsidRPr="006C5B94">
        <w:t>fide Australians</w:t>
      </w:r>
      <w:r w:rsidR="00D2670B" w:rsidRPr="006C5B94">
        <w:t xml:space="preserve"> and for that I am hugely grateful. Any analysis based on these observations is my own and I take full responsibility for where I may have inadvertently gone </w:t>
      </w:r>
      <w:r w:rsidR="009238C2">
        <w:t>awr</w:t>
      </w:r>
      <w:r w:rsidR="00D2670B" w:rsidRPr="006C5B94">
        <w:t>y. This pap</w:t>
      </w:r>
      <w:r w:rsidR="00CF464D" w:rsidRPr="006C5B94">
        <w:t>er is written primarily for an English</w:t>
      </w:r>
      <w:r w:rsidR="00D2670B" w:rsidRPr="006C5B94">
        <w:t xml:space="preserve"> audience and, whilst I shall certainly identify some areas where we can learn from our Australian cousins, I </w:t>
      </w:r>
      <w:r w:rsidR="00C90C8B" w:rsidRPr="006C5B94">
        <w:t>have tried to</w:t>
      </w:r>
      <w:r w:rsidR="00D2670B" w:rsidRPr="006C5B94">
        <w:t xml:space="preserve"> be very careful in proffering any lessons for </w:t>
      </w:r>
      <w:r w:rsidR="00C90C8B" w:rsidRPr="006C5B94">
        <w:t>Australian higher education experts</w:t>
      </w:r>
      <w:r w:rsidR="00D2670B" w:rsidRPr="006C5B94">
        <w:t xml:space="preserve"> to learn from our system.</w:t>
      </w:r>
    </w:p>
    <w:p w14:paraId="1B296087" w14:textId="77777777" w:rsidR="001B102C" w:rsidRDefault="001B102C">
      <w:pPr>
        <w:rPr>
          <w:rFonts w:asciiTheme="majorHAnsi" w:eastAsiaTheme="majorEastAsia" w:hAnsiTheme="majorHAnsi" w:cstheme="majorBidi"/>
          <w:b/>
          <w:bCs/>
          <w:color w:val="365F91" w:themeColor="accent1" w:themeShade="BF"/>
          <w:sz w:val="28"/>
          <w:szCs w:val="28"/>
        </w:rPr>
      </w:pPr>
      <w:r>
        <w:br w:type="page"/>
      </w:r>
    </w:p>
    <w:p w14:paraId="50AA0E76" w14:textId="13220513" w:rsidR="006A7F23" w:rsidRPr="006C5B94" w:rsidRDefault="006A7F23" w:rsidP="00061EF3">
      <w:pPr>
        <w:pStyle w:val="Heading1"/>
      </w:pPr>
      <w:bookmarkStart w:id="4" w:name="_Toc259883091"/>
      <w:r w:rsidRPr="006C5B94">
        <w:lastRenderedPageBreak/>
        <w:t>Chapter 2</w:t>
      </w:r>
      <w:r w:rsidR="004976B3" w:rsidRPr="006C5B94">
        <w:t xml:space="preserve">/ </w:t>
      </w:r>
      <w:r w:rsidR="000B0194" w:rsidRPr="006C5B94">
        <w:t xml:space="preserve">Funding: </w:t>
      </w:r>
      <w:r w:rsidR="009732C1" w:rsidRPr="006C5B94">
        <w:t>flows of public and private investment</w:t>
      </w:r>
      <w:bookmarkEnd w:id="4"/>
    </w:p>
    <w:p w14:paraId="26F9B21D" w14:textId="151C5165" w:rsidR="00D923B3" w:rsidRPr="006C5B94" w:rsidRDefault="00D923B3" w:rsidP="00D923B3">
      <w:r w:rsidRPr="006C5B94">
        <w:t xml:space="preserve">With </w:t>
      </w:r>
      <w:r w:rsidR="00D41189" w:rsidRPr="006C5B94">
        <w:t>England</w:t>
      </w:r>
      <w:r w:rsidRPr="006C5B94">
        <w:t xml:space="preserve"> and Australia both firmly in the category of mass higher education, the question of how to finance higher education is both an important and highly politicised debate.</w:t>
      </w:r>
      <w:r w:rsidR="00F47E15">
        <w:t xml:space="preserve"> </w:t>
      </w:r>
      <w:r w:rsidRPr="006C5B94">
        <w:t xml:space="preserve">With </w:t>
      </w:r>
      <w:r w:rsidR="00F164FA" w:rsidRPr="006C5B94">
        <w:t>around</w:t>
      </w:r>
      <w:r w:rsidRPr="006C5B94">
        <w:t xml:space="preserve"> 40% of the young population now </w:t>
      </w:r>
      <w:r w:rsidR="00F164FA" w:rsidRPr="006C5B94">
        <w:t xml:space="preserve">gaining a </w:t>
      </w:r>
      <w:r w:rsidRPr="006C5B94">
        <w:t>higher education</w:t>
      </w:r>
      <w:r w:rsidR="00F164FA" w:rsidRPr="006C5B94">
        <w:t xml:space="preserve"> qualification</w:t>
      </w:r>
      <w:r w:rsidRPr="006C5B94">
        <w:t xml:space="preserve"> in both countries</w:t>
      </w:r>
      <w:r w:rsidR="00F164FA" w:rsidRPr="006C5B94">
        <w:rPr>
          <w:rStyle w:val="FootnoteReference"/>
        </w:rPr>
        <w:footnoteReference w:id="3"/>
      </w:r>
      <w:r w:rsidRPr="006C5B94">
        <w:t>, both the timescale of expansion and the underlying method of financing the system through the introduction of income-contingent loans have been sufficiently similar to enable meaningful co</w:t>
      </w:r>
      <w:r w:rsidR="00D41189" w:rsidRPr="006C5B94">
        <w:t>mparison of the</w:t>
      </w:r>
      <w:r w:rsidRPr="006C5B94">
        <w:t xml:space="preserve"> English</w:t>
      </w:r>
      <w:r w:rsidR="00D41189" w:rsidRPr="006C5B94">
        <w:t xml:space="preserve"> </w:t>
      </w:r>
      <w:r w:rsidRPr="006C5B94">
        <w:t>and Australian systems, whilst being sufficiently different to learn lessons from such a comparison, as demonstrated by previous studies</w:t>
      </w:r>
      <w:sdt>
        <w:sdtPr>
          <w:id w:val="988207283"/>
          <w:citation/>
        </w:sdtPr>
        <w:sdtEndPr/>
        <w:sdtContent>
          <w:r w:rsidRPr="006C5B94">
            <w:fldChar w:fldCharType="begin"/>
          </w:r>
          <w:r w:rsidRPr="006C5B94">
            <w:instrText xml:space="preserve">CITATION Bar98 \t  \l 2057 </w:instrText>
          </w:r>
          <w:r w:rsidRPr="006C5B94">
            <w:fldChar w:fldCharType="separate"/>
          </w:r>
          <w:r w:rsidR="00653E76" w:rsidRPr="006C5B94">
            <w:rPr>
              <w:noProof/>
            </w:rPr>
            <w:t xml:space="preserve"> (Barr, 1998)</w:t>
          </w:r>
          <w:r w:rsidRPr="006C5B94">
            <w:fldChar w:fldCharType="end"/>
          </w:r>
        </w:sdtContent>
      </w:sdt>
      <w:r w:rsidRPr="006C5B94">
        <w:t xml:space="preserve">. </w:t>
      </w:r>
    </w:p>
    <w:p w14:paraId="5432D5EE" w14:textId="58BAE627" w:rsidR="00D923B3" w:rsidRPr="006C5B94" w:rsidRDefault="00D923B3" w:rsidP="00D923B3">
      <w:r w:rsidRPr="006C5B94">
        <w:t xml:space="preserve">This report </w:t>
      </w:r>
      <w:r w:rsidR="00F3038B">
        <w:t>assumes that it is</w:t>
      </w:r>
      <w:r w:rsidRPr="006C5B94">
        <w:t xml:space="preserve"> good for the higher educati</w:t>
      </w:r>
      <w:r w:rsidR="00F3038B">
        <w:t>on system to expand for three</w:t>
      </w:r>
      <w:r w:rsidRPr="006C5B94">
        <w:t xml:space="preserve"> purposes</w:t>
      </w:r>
      <w:r w:rsidR="00F3038B">
        <w:t>:</w:t>
      </w:r>
      <w:r w:rsidR="00F47E15">
        <w:t xml:space="preserve"> </w:t>
      </w:r>
      <w:r w:rsidRPr="006C5B94">
        <w:t xml:space="preserve">increasing future economic output </w:t>
      </w:r>
      <w:sdt>
        <w:sdtPr>
          <w:id w:val="1938250589"/>
          <w:citation/>
        </w:sdtPr>
        <w:sdtEndPr/>
        <w:sdtContent>
          <w:r w:rsidRPr="006C5B94">
            <w:fldChar w:fldCharType="begin"/>
          </w:r>
          <w:r w:rsidRPr="006C5B94">
            <w:instrText xml:space="preserve"> CITATION OEC12 \l 2057 </w:instrText>
          </w:r>
          <w:r w:rsidRPr="006C5B94">
            <w:fldChar w:fldCharType="separate"/>
          </w:r>
          <w:r w:rsidR="00653E76" w:rsidRPr="006C5B94">
            <w:rPr>
              <w:noProof/>
            </w:rPr>
            <w:t>(OECD, 2012)</w:t>
          </w:r>
          <w:r w:rsidRPr="006C5B94">
            <w:fldChar w:fldCharType="end"/>
          </w:r>
        </w:sdtContent>
      </w:sdt>
      <w:r w:rsidR="00F3038B">
        <w:t>;</w:t>
      </w:r>
      <w:r w:rsidRPr="006C5B94">
        <w:t xml:space="preserve"> to meet growing demand for higher education</w:t>
      </w:r>
      <w:sdt>
        <w:sdtPr>
          <w:id w:val="626588361"/>
          <w:citation/>
        </w:sdtPr>
        <w:sdtEndPr/>
        <w:sdtContent>
          <w:r w:rsidRPr="006C5B94">
            <w:fldChar w:fldCharType="begin"/>
          </w:r>
          <w:r w:rsidRPr="006C5B94">
            <w:instrText xml:space="preserve">CITATION Ali13 \t  \l 2057 </w:instrText>
          </w:r>
          <w:r w:rsidRPr="006C5B94">
            <w:fldChar w:fldCharType="separate"/>
          </w:r>
          <w:r w:rsidR="00653E76" w:rsidRPr="006C5B94">
            <w:rPr>
              <w:noProof/>
            </w:rPr>
            <w:t xml:space="preserve"> (Johnston &amp; Barr, 2013)</w:t>
          </w:r>
          <w:r w:rsidRPr="006C5B94">
            <w:fldChar w:fldCharType="end"/>
          </w:r>
        </w:sdtContent>
      </w:sdt>
      <w:r w:rsidR="00F3038B">
        <w:t>; and to widen access to higher education</w:t>
      </w:r>
      <w:r w:rsidRPr="006C5B94">
        <w:t>.</w:t>
      </w:r>
      <w:r w:rsidR="00F47E15">
        <w:t xml:space="preserve"> </w:t>
      </w:r>
      <w:r w:rsidRPr="006C5B94">
        <w:t xml:space="preserve">Although this view is by no means universally accepted </w:t>
      </w:r>
      <w:sdt>
        <w:sdtPr>
          <w:id w:val="2013179090"/>
          <w:citation/>
        </w:sdtPr>
        <w:sdtEndPr/>
        <w:sdtContent>
          <w:r w:rsidRPr="006C5B94">
            <w:fldChar w:fldCharType="begin"/>
          </w:r>
          <w:r w:rsidRPr="006C5B94">
            <w:instrText xml:space="preserve"> CITATION Wol01 \l 2057 </w:instrText>
          </w:r>
          <w:r w:rsidRPr="006C5B94">
            <w:fldChar w:fldCharType="separate"/>
          </w:r>
          <w:r w:rsidR="00653E76" w:rsidRPr="006C5B94">
            <w:rPr>
              <w:noProof/>
            </w:rPr>
            <w:t>(Wolf, 2001)</w:t>
          </w:r>
          <w:r w:rsidRPr="006C5B94">
            <w:fldChar w:fldCharType="end"/>
          </w:r>
        </w:sdtContent>
      </w:sdt>
      <w:r w:rsidRPr="006C5B94">
        <w:t xml:space="preserve"> </w:t>
      </w:r>
      <w:r w:rsidR="00A12AC3" w:rsidRPr="006C5B94">
        <w:t>it is widely recognised</w:t>
      </w:r>
      <w:r w:rsidRPr="006C5B94">
        <w:t xml:space="preserve"> that “knowledge-based economies require high levels of human capital, which influences a large number of economic outcomes and boosts long-term productivity”</w:t>
      </w:r>
      <w:sdt>
        <w:sdtPr>
          <w:id w:val="-826903382"/>
          <w:citation/>
        </w:sdtPr>
        <w:sdtEndPr/>
        <w:sdtContent>
          <w:r w:rsidRPr="006C5B94">
            <w:fldChar w:fldCharType="begin"/>
          </w:r>
          <w:r w:rsidRPr="006C5B94">
            <w:instrText xml:space="preserve">CITATION Arm111 \t  \l 2057 </w:instrText>
          </w:r>
          <w:r w:rsidRPr="006C5B94">
            <w:fldChar w:fldCharType="separate"/>
          </w:r>
          <w:r w:rsidR="00653E76" w:rsidRPr="006C5B94">
            <w:rPr>
              <w:noProof/>
            </w:rPr>
            <w:t xml:space="preserve"> (Armstrong &amp; Batten, 2011)</w:t>
          </w:r>
          <w:r w:rsidRPr="006C5B94">
            <w:fldChar w:fldCharType="end"/>
          </w:r>
        </w:sdtContent>
      </w:sdt>
      <w:r w:rsidRPr="006C5B94">
        <w:t>.</w:t>
      </w:r>
    </w:p>
    <w:p w14:paraId="3D45EBAB" w14:textId="77777777" w:rsidR="00692212" w:rsidRPr="006C5B94" w:rsidRDefault="00692212" w:rsidP="00692212">
      <w:pPr>
        <w:pStyle w:val="Heading2"/>
      </w:pPr>
      <w:bookmarkStart w:id="5" w:name="_Toc259883092"/>
      <w:r w:rsidRPr="006C5B94">
        <w:t>What is the optimum balance of public: private contribution to HE?</w:t>
      </w:r>
      <w:bookmarkEnd w:id="5"/>
    </w:p>
    <w:p w14:paraId="3E6EE1A7" w14:textId="77777777" w:rsidR="00692212" w:rsidRPr="006C5B94" w:rsidRDefault="00692212" w:rsidP="00692212">
      <w:pPr>
        <w:spacing w:after="0" w:line="240" w:lineRule="auto"/>
      </w:pPr>
    </w:p>
    <w:p w14:paraId="3ED3980A" w14:textId="77777777" w:rsidR="00692212" w:rsidRPr="006C5B94" w:rsidRDefault="00E144DD" w:rsidP="00646D92">
      <w:r>
        <w:t xml:space="preserve">In examining the flows of private and public funding in both countries, it is important </w:t>
      </w:r>
      <w:r w:rsidR="00F3038B">
        <w:t>to</w:t>
      </w:r>
      <w:r>
        <w:t xml:space="preserve"> first consider whether there is an optimum balance of public: private contribution that both countries should be aiming for. </w:t>
      </w:r>
      <w:r w:rsidR="00692212" w:rsidRPr="006C5B94">
        <w:t>It is widely recogn</w:t>
      </w:r>
      <w:r w:rsidR="00F553F9">
        <w:t>ised that there are considerable</w:t>
      </w:r>
      <w:r w:rsidR="00692212" w:rsidRPr="006C5B94">
        <w:t xml:space="preserve"> private and public benefits to higher education. The question of what the balance of contribution should be in an ideal system to match the balance of private and public benefit is an almost impossible question to answer, although many have tried. The difficulty is primarily </w:t>
      </w:r>
      <w:r w:rsidR="00F553F9">
        <w:t>because of</w:t>
      </w:r>
      <w:r w:rsidR="00692212" w:rsidRPr="006C5B94">
        <w:t xml:space="preserve"> the complexity of attempting to estimate the public benefit – although the private benefit carries its own complexities such as the considerable variation underly</w:t>
      </w:r>
      <w:r w:rsidR="00646D92">
        <w:t xml:space="preserve">ing average figures. </w:t>
      </w:r>
    </w:p>
    <w:p w14:paraId="567C7F57" w14:textId="601B0559" w:rsidR="00692212" w:rsidRPr="006C5B94" w:rsidRDefault="00692212" w:rsidP="00F553F9">
      <w:r w:rsidRPr="006C5B94">
        <w:t xml:space="preserve">Private rates of return have been researched extensively (see </w:t>
      </w:r>
      <w:sdt>
        <w:sdtPr>
          <w:id w:val="-1556547861"/>
          <w:citation/>
        </w:sdtPr>
        <w:sdtEndPr/>
        <w:sdtContent>
          <w:r w:rsidRPr="006C5B94">
            <w:fldChar w:fldCharType="begin"/>
          </w:r>
          <w:r w:rsidRPr="006C5B94">
            <w:instrText xml:space="preserve"> CITATION Che021 \l 2057 </w:instrText>
          </w:r>
          <w:r w:rsidRPr="006C5B94">
            <w:fldChar w:fldCharType="separate"/>
          </w:r>
          <w:r w:rsidRPr="006C5B94">
            <w:t>(Chevalier et al. 2002)</w:t>
          </w:r>
          <w:r w:rsidRPr="006C5B94">
            <w:fldChar w:fldCharType="end"/>
          </w:r>
        </w:sdtContent>
      </w:sdt>
      <w:r w:rsidRPr="006C5B94">
        <w:t xml:space="preserve"> for an excellent summary of the literature in this area) and have received a great deal of attention in both countries because of their use </w:t>
      </w:r>
      <w:r w:rsidR="00F3038B">
        <w:t>in justifying</w:t>
      </w:r>
      <w:r w:rsidRPr="006C5B94">
        <w:t xml:space="preserve"> increased private contribution through higher deferred fee payments. </w:t>
      </w:r>
      <w:r w:rsidR="00F95A70">
        <w:t xml:space="preserve">Andrew Norton at the Grattan Institute has published extensively from the Australian perspective. </w:t>
      </w:r>
      <w:r w:rsidRPr="006C5B94">
        <w:t>The estimation of the social benefits of higher education have, historicall</w:t>
      </w:r>
      <w:r w:rsidR="00F553F9">
        <w:t xml:space="preserve">y, been much harder to quantify; </w:t>
      </w:r>
      <w:r w:rsidRPr="006C5B94">
        <w:t>particularly the non-market be</w:t>
      </w:r>
      <w:r w:rsidR="00F553F9">
        <w:t>nefits.</w:t>
      </w:r>
    </w:p>
    <w:p w14:paraId="012DFFEE" w14:textId="77777777" w:rsidR="00692212" w:rsidRPr="006C5B94" w:rsidRDefault="00692212" w:rsidP="00692212">
      <w:pPr>
        <w:spacing w:after="0" w:line="240" w:lineRule="auto"/>
        <w:ind w:left="720"/>
      </w:pPr>
      <w:r w:rsidRPr="006C5B94">
        <w:t xml:space="preserve">A public good or service is “neither </w:t>
      </w:r>
      <w:proofErr w:type="spellStart"/>
      <w:r w:rsidRPr="006C5B94">
        <w:t>rivalrous</w:t>
      </w:r>
      <w:proofErr w:type="spellEnd"/>
      <w:r w:rsidRPr="006C5B94">
        <w:t xml:space="preserve"> in consumption, nor excludable in ownership, and is available to all. […] one of the largest social benefits unique to higher education is from the wider diffusion of new knowledge. </w:t>
      </w:r>
    </w:p>
    <w:p w14:paraId="5CC00056" w14:textId="77777777" w:rsidR="00692212" w:rsidRPr="006C5B94" w:rsidRDefault="00692212" w:rsidP="00692212">
      <w:pPr>
        <w:spacing w:after="0" w:line="240" w:lineRule="auto"/>
        <w:ind w:left="720"/>
      </w:pPr>
    </w:p>
    <w:p w14:paraId="4CD9C9E5" w14:textId="73568969" w:rsidR="00692212" w:rsidRPr="006C5B94" w:rsidRDefault="00692212" w:rsidP="00692212">
      <w:pPr>
        <w:spacing w:after="0" w:line="240" w:lineRule="auto"/>
        <w:ind w:left="720"/>
      </w:pPr>
      <w:r w:rsidRPr="006C5B94">
        <w:t xml:space="preserve"> It is the omission of the non-market benefits that causes standard narrow social rate of return estimates to be most seriously understated.”</w:t>
      </w:r>
      <w:r w:rsidR="00F47E15">
        <w:t xml:space="preserve"> </w:t>
      </w:r>
    </w:p>
    <w:p w14:paraId="5A2335A6" w14:textId="77777777" w:rsidR="00692212" w:rsidRPr="006C5B94" w:rsidRDefault="00692212" w:rsidP="00692212">
      <w:pPr>
        <w:spacing w:after="0" w:line="240" w:lineRule="auto"/>
        <w:ind w:left="6480" w:firstLine="720"/>
      </w:pPr>
      <w:r w:rsidRPr="006C5B94">
        <w:t xml:space="preserve"> </w:t>
      </w:r>
      <w:sdt>
        <w:sdtPr>
          <w:id w:val="1753705747"/>
          <w:citation/>
        </w:sdtPr>
        <w:sdtEndPr/>
        <w:sdtContent>
          <w:r w:rsidRPr="006C5B94">
            <w:fldChar w:fldCharType="begin"/>
          </w:r>
          <w:r w:rsidRPr="006C5B94">
            <w:instrText xml:space="preserve"> CITATION McM09 \l 2057 </w:instrText>
          </w:r>
          <w:r w:rsidRPr="006C5B94">
            <w:fldChar w:fldCharType="separate"/>
          </w:r>
          <w:r w:rsidRPr="006C5B94">
            <w:t>(McMahon 2009)</w:t>
          </w:r>
          <w:r w:rsidRPr="006C5B94">
            <w:fldChar w:fldCharType="end"/>
          </w:r>
        </w:sdtContent>
      </w:sdt>
    </w:p>
    <w:p w14:paraId="13CE0AE2" w14:textId="77777777" w:rsidR="00692212" w:rsidRPr="006C5B94" w:rsidRDefault="00692212" w:rsidP="00692212">
      <w:pPr>
        <w:spacing w:after="0" w:line="240" w:lineRule="auto"/>
      </w:pPr>
    </w:p>
    <w:p w14:paraId="628430F4" w14:textId="09B4F1E4" w:rsidR="00F553F9" w:rsidRDefault="00692212" w:rsidP="00646D92">
      <w:r w:rsidRPr="006C5B94">
        <w:t>As human capital theory and endogenous growth theory have achieved major advances, so has the analysis of the social benefits or social returns to higher education.</w:t>
      </w:r>
      <w:r w:rsidR="00F47E15">
        <w:t xml:space="preserve"> </w:t>
      </w:r>
      <w:r w:rsidR="00F553F9" w:rsidRPr="006C5B94">
        <w:t xml:space="preserve">Based on international comparisons of data across OECD countries, </w:t>
      </w:r>
      <w:sdt>
        <w:sdtPr>
          <w:id w:val="-543526101"/>
          <w:citation/>
        </w:sdtPr>
        <w:sdtEndPr/>
        <w:sdtContent>
          <w:r w:rsidR="00F553F9" w:rsidRPr="006C5B94">
            <w:fldChar w:fldCharType="begin"/>
          </w:r>
          <w:r w:rsidR="00F553F9" w:rsidRPr="006C5B94">
            <w:instrText xml:space="preserve"> CITATION Sch10 \l 2057 </w:instrText>
          </w:r>
          <w:r w:rsidR="00F553F9" w:rsidRPr="006C5B94">
            <w:fldChar w:fldCharType="separate"/>
          </w:r>
          <w:r w:rsidR="00F553F9" w:rsidRPr="006C5B94">
            <w:t>(Schleicher 2010)</w:t>
          </w:r>
          <w:r w:rsidR="00F553F9" w:rsidRPr="006C5B94">
            <w:fldChar w:fldCharType="end"/>
          </w:r>
        </w:sdtContent>
      </w:sdt>
      <w:r w:rsidR="00F553F9" w:rsidRPr="006C5B94">
        <w:t xml:space="preserve"> has found that the UK Government </w:t>
      </w:r>
      <w:r w:rsidR="00F553F9" w:rsidRPr="006C5B94">
        <w:lastRenderedPageBreak/>
        <w:t>benefits to the tune of $95,000 (US) per graduate, just in increased tax and social contributions. He found that the public long-term gains in higher education are almost 3 times the size of the investment in the UK. This is still likely to include an underestim</w:t>
      </w:r>
      <w:r w:rsidR="00F553F9">
        <w:t>ate of the non-market benefits.</w:t>
      </w:r>
    </w:p>
    <w:p w14:paraId="0456EAF8" w14:textId="1562C890" w:rsidR="00692212" w:rsidRPr="006C5B94" w:rsidRDefault="00692212" w:rsidP="00F553F9">
      <w:r w:rsidRPr="006C5B94">
        <w:t>Critical studies were built on by</w:t>
      </w:r>
      <w:r w:rsidR="00A11417">
        <w:t xml:space="preserve"> </w:t>
      </w:r>
      <w:r w:rsidR="00F95A70">
        <w:t>McMahon</w:t>
      </w:r>
      <w:r w:rsidRPr="006C5B94">
        <w:t xml:space="preserve"> </w:t>
      </w:r>
      <w:sdt>
        <w:sdtPr>
          <w:id w:val="1203524242"/>
          <w:citation/>
        </w:sdtPr>
        <w:sdtEndPr/>
        <w:sdtContent>
          <w:r w:rsidRPr="006C5B94">
            <w:fldChar w:fldCharType="begin"/>
          </w:r>
          <w:r w:rsidRPr="006C5B94">
            <w:instrText xml:space="preserve">CITATION McM09 \l 2057 </w:instrText>
          </w:r>
          <w:r w:rsidRPr="006C5B94">
            <w:fldChar w:fldCharType="separate"/>
          </w:r>
          <w:r w:rsidRPr="006C5B94">
            <w:t>(McMahon 2009)</w:t>
          </w:r>
          <w:r w:rsidRPr="006C5B94">
            <w:fldChar w:fldCharType="end"/>
          </w:r>
        </w:sdtContent>
      </w:sdt>
      <w:r w:rsidRPr="006C5B94">
        <w:t xml:space="preserve"> in a comprehensive and up-to-date consideration of the private and social benefits of higher education. McMahon found total externalities</w:t>
      </w:r>
      <w:r w:rsidR="00F3038B">
        <w:t xml:space="preserve"> of higher education</w:t>
      </w:r>
      <w:r w:rsidRPr="006C5B94">
        <w:t xml:space="preserve"> to be around 52% of total benefits, both mark</w:t>
      </w:r>
      <w:r w:rsidR="00F3038B">
        <w:t>et and non-market</w:t>
      </w:r>
      <w:r w:rsidRPr="006C5B94">
        <w:t>.</w:t>
      </w:r>
      <w:r w:rsidR="00F47E15">
        <w:t xml:space="preserve"> </w:t>
      </w:r>
    </w:p>
    <w:p w14:paraId="1580D5E8" w14:textId="77777777" w:rsidR="00692212" w:rsidRPr="006C5B94" w:rsidRDefault="00692212" w:rsidP="00692212">
      <w:pPr>
        <w:spacing w:after="0" w:line="240" w:lineRule="auto"/>
        <w:ind w:left="720"/>
      </w:pPr>
      <w:r w:rsidRPr="006C5B94">
        <w:t xml:space="preserve">The estimate that social benefit externalities constitute about 52% of the total benefits of higher education is an approximate guide to how far the privatisation of higher education should proceed before public investment falls below the level conducive to optimum efficiency. </w:t>
      </w:r>
    </w:p>
    <w:p w14:paraId="0A9AE666" w14:textId="77777777" w:rsidR="00692212" w:rsidRPr="006C5B94" w:rsidRDefault="00692212" w:rsidP="00692212">
      <w:pPr>
        <w:spacing w:after="0" w:line="240" w:lineRule="auto"/>
      </w:pPr>
    </w:p>
    <w:p w14:paraId="7385849C" w14:textId="77777777" w:rsidR="00692212" w:rsidRDefault="00692212" w:rsidP="00646D92">
      <w:r w:rsidRPr="006C5B94">
        <w:t xml:space="preserve">To be clear, this is not a social rate of return – rather an estimate of the per cent of the total benefits that are social benefit externalities. 52% is, therefore “an estimate of the per cent of the total investment in higher education that needs to be publicly financed if economic efficiency is to be achieved” </w:t>
      </w:r>
      <w:sdt>
        <w:sdtPr>
          <w:id w:val="-768625148"/>
          <w:citation/>
        </w:sdtPr>
        <w:sdtEndPr/>
        <w:sdtContent>
          <w:r w:rsidRPr="006C5B94">
            <w:fldChar w:fldCharType="begin"/>
          </w:r>
          <w:r w:rsidRPr="006C5B94">
            <w:instrText xml:space="preserve"> CITATION McM09 \l 2057 </w:instrText>
          </w:r>
          <w:r w:rsidRPr="006C5B94">
            <w:fldChar w:fldCharType="separate"/>
          </w:r>
          <w:r w:rsidRPr="006C5B94">
            <w:t>(McMahon 2009)</w:t>
          </w:r>
          <w:r w:rsidRPr="006C5B94">
            <w:fldChar w:fldCharType="end"/>
          </w:r>
        </w:sdtContent>
      </w:sdt>
      <w:r w:rsidR="00646D92">
        <w:t>.</w:t>
      </w:r>
    </w:p>
    <w:tbl>
      <w:tblPr>
        <w:tblStyle w:val="LightShading-Accent2"/>
        <w:tblW w:w="0" w:type="auto"/>
        <w:tblLook w:val="04A0" w:firstRow="1" w:lastRow="0" w:firstColumn="1" w:lastColumn="0" w:noHBand="0" w:noVBand="1"/>
      </w:tblPr>
      <w:tblGrid>
        <w:gridCol w:w="9264"/>
      </w:tblGrid>
      <w:tr w:rsidR="00F553F9" w14:paraId="7591501B" w14:textId="77777777" w:rsidTr="00F55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643D3F4B" w14:textId="0C7C3DFD" w:rsidR="00F553F9" w:rsidRPr="006C5B94" w:rsidRDefault="00F553F9" w:rsidP="00F553F9">
            <w:r>
              <w:t xml:space="preserve">1/ </w:t>
            </w:r>
            <w:r w:rsidR="00403D57">
              <w:t>Evidence would suggest</w:t>
            </w:r>
            <w:r w:rsidRPr="006C5B94">
              <w:t xml:space="preserve"> that a 50:50 balance of</w:t>
            </w:r>
            <w:r>
              <w:t xml:space="preserve"> public: private</w:t>
            </w:r>
            <w:r w:rsidR="005C05AC">
              <w:t xml:space="preserve"> contribution may</w:t>
            </w:r>
            <w:r w:rsidRPr="006C5B94">
              <w:t xml:space="preserve"> achieve something close to optimum economic efficiency.</w:t>
            </w:r>
            <w:r w:rsidR="00F47E15">
              <w:t xml:space="preserve"> </w:t>
            </w:r>
            <w:r w:rsidR="005C05AC">
              <w:t>Even the best evidence, however, includes a considerable amount of judgement, which means this figure should only be a rough guide at best.</w:t>
            </w:r>
          </w:p>
          <w:p w14:paraId="1CB20C5F" w14:textId="77777777" w:rsidR="00F553F9" w:rsidRDefault="00F553F9" w:rsidP="00646D92"/>
        </w:tc>
      </w:tr>
    </w:tbl>
    <w:p w14:paraId="62BB1378" w14:textId="77777777" w:rsidR="00F553F9" w:rsidRPr="006C5B94" w:rsidRDefault="00F553F9" w:rsidP="00646D92"/>
    <w:p w14:paraId="3DE6BF95" w14:textId="77777777" w:rsidR="00334F6B" w:rsidRPr="006C5B94" w:rsidRDefault="00871B99" w:rsidP="006A7F23">
      <w:pPr>
        <w:pStyle w:val="Heading2"/>
      </w:pPr>
      <w:bookmarkStart w:id="6" w:name="_Toc259883093"/>
      <w:r w:rsidRPr="006C5B94">
        <w:t xml:space="preserve">Flows of public and private </w:t>
      </w:r>
      <w:r w:rsidR="00CC2C6B" w:rsidRPr="006C5B94">
        <w:t>investment: the students’ perspective</w:t>
      </w:r>
      <w:bookmarkEnd w:id="6"/>
    </w:p>
    <w:p w14:paraId="58507A90" w14:textId="77777777" w:rsidR="00334F6B" w:rsidRPr="006C5B94" w:rsidRDefault="00CE35DB" w:rsidP="0032583C">
      <w:r w:rsidRPr="006C5B94">
        <w:t>This section</w:t>
      </w:r>
      <w:r w:rsidR="00334F6B" w:rsidRPr="006C5B94">
        <w:t xml:space="preserve"> focus</w:t>
      </w:r>
      <w:r w:rsidRPr="006C5B94">
        <w:t>es</w:t>
      </w:r>
      <w:r w:rsidR="00334F6B" w:rsidRPr="006C5B94">
        <w:t xml:space="preserve"> on the flow of public and private investment in higher education for different parts of the sector / different types of students in </w:t>
      </w:r>
      <w:r w:rsidR="00D41189" w:rsidRPr="006C5B94">
        <w:t>England</w:t>
      </w:r>
      <w:r w:rsidR="00334F6B" w:rsidRPr="006C5B94">
        <w:t xml:space="preserve"> and Australia. </w:t>
      </w:r>
    </w:p>
    <w:p w14:paraId="227AD270" w14:textId="34EE3338" w:rsidR="000516EA" w:rsidRPr="006C5B94" w:rsidRDefault="00347FE4" w:rsidP="0032583C">
      <w:r w:rsidRPr="006C5B94">
        <w:t xml:space="preserve">In both systems there are a couple of major lines in the sand </w:t>
      </w:r>
      <w:r w:rsidR="00F3038B">
        <w:t>based on</w:t>
      </w:r>
      <w:r w:rsidRPr="006C5B94">
        <w:t xml:space="preserve"> types of students and the type of public funding </w:t>
      </w:r>
      <w:r w:rsidR="00042B1D">
        <w:t>students</w:t>
      </w:r>
      <w:r w:rsidRPr="006C5B94">
        <w:t xml:space="preserve"> will attract and </w:t>
      </w:r>
      <w:r w:rsidR="00A11417">
        <w:t xml:space="preserve">the </w:t>
      </w:r>
      <w:r w:rsidRPr="006C5B94">
        <w:t xml:space="preserve">student support </w:t>
      </w:r>
      <w:r w:rsidR="00042B1D">
        <w:t>they</w:t>
      </w:r>
      <w:r w:rsidRPr="006C5B94">
        <w:t xml:space="preserve"> can access.</w:t>
      </w:r>
      <w:r w:rsidR="00F47E15">
        <w:t xml:space="preserve"> </w:t>
      </w:r>
      <w:r w:rsidR="000516EA" w:rsidRPr="006C5B94">
        <w:t>These have consequences for</w:t>
      </w:r>
      <w:r w:rsidR="00A11417">
        <w:t xml:space="preserve"> </w:t>
      </w:r>
      <w:r w:rsidR="000516EA" w:rsidRPr="006C5B94">
        <w:t>students</w:t>
      </w:r>
      <w:r w:rsidR="00A11417">
        <w:t>,</w:t>
      </w:r>
      <w:r w:rsidR="000516EA" w:rsidRPr="006C5B94">
        <w:t xml:space="preserve"> as well as for the flow of both public and private investment in HE. </w:t>
      </w:r>
    </w:p>
    <w:p w14:paraId="5CE7CA48" w14:textId="0CD3D064" w:rsidR="00BC7D82" w:rsidRDefault="000516EA" w:rsidP="0032583C">
      <w:r w:rsidRPr="006C5B94">
        <w:t xml:space="preserve">Figures 1 and 2 below describe the allocation of funding from the perspective of the student in </w:t>
      </w:r>
      <w:r w:rsidR="00D41189" w:rsidRPr="006C5B94">
        <w:t>England</w:t>
      </w:r>
      <w:r w:rsidRPr="006C5B94">
        <w:t xml:space="preserve"> and Australia respectively. In </w:t>
      </w:r>
      <w:r w:rsidR="00D41189" w:rsidRPr="006C5B94">
        <w:t>England</w:t>
      </w:r>
      <w:r w:rsidR="00BC7D82">
        <w:t xml:space="preserve"> (Figure 1)</w:t>
      </w:r>
      <w:r w:rsidRPr="006C5B94">
        <w:t xml:space="preserve"> </w:t>
      </w:r>
      <w:r w:rsidR="00347FE4" w:rsidRPr="006C5B94">
        <w:t>t</w:t>
      </w:r>
      <w:r w:rsidRPr="006C5B94">
        <w:t xml:space="preserve">he primary distinction </w:t>
      </w:r>
      <w:r w:rsidR="00F3038B">
        <w:t>in</w:t>
      </w:r>
      <w:r w:rsidRPr="006C5B94">
        <w:t xml:space="preserve"> the allocation of public funding (including access to publicly subsidised fee loans) is</w:t>
      </w:r>
      <w:r w:rsidR="00347FE4" w:rsidRPr="006C5B94">
        <w:t xml:space="preserve"> whether you </w:t>
      </w:r>
      <w:r w:rsidRPr="006C5B94">
        <w:t>are a first time</w:t>
      </w:r>
      <w:r w:rsidR="00347FE4" w:rsidRPr="006C5B94">
        <w:t xml:space="preserve"> undergraduate entrant</w:t>
      </w:r>
      <w:r w:rsidR="00AA6E5F" w:rsidRPr="006C5B94">
        <w:t xml:space="preserve">; </w:t>
      </w:r>
      <w:r w:rsidR="00347FE4" w:rsidRPr="006C5B94">
        <w:t>i.e. whether this is your first degree.</w:t>
      </w:r>
      <w:r w:rsidR="00F47E15">
        <w:t xml:space="preserve"> </w:t>
      </w:r>
      <w:r w:rsidRPr="006C5B94">
        <w:t>If yes,</w:t>
      </w:r>
      <w:r w:rsidR="00871B99" w:rsidRPr="006C5B94">
        <w:t xml:space="preserve"> (</w:t>
      </w:r>
      <w:r w:rsidRPr="006C5B94">
        <w:t>approximately</w:t>
      </w:r>
      <w:r w:rsidR="00871B99" w:rsidRPr="006C5B94">
        <w:t xml:space="preserve"> 95% of all full-time undergraduate</w:t>
      </w:r>
      <w:r w:rsidRPr="006C5B94">
        <w:t>s and 33</w:t>
      </w:r>
      <w:r w:rsidR="00871B99" w:rsidRPr="006C5B94">
        <w:t xml:space="preserve">% of </w:t>
      </w:r>
      <w:r w:rsidRPr="006C5B94">
        <w:t xml:space="preserve">all </w:t>
      </w:r>
      <w:r w:rsidR="00871B99" w:rsidRPr="006C5B94">
        <w:t>part-time undergraduates</w:t>
      </w:r>
      <w:r w:rsidRPr="006C5B94">
        <w:rPr>
          <w:rStyle w:val="FootnoteReference"/>
        </w:rPr>
        <w:footnoteReference w:id="4"/>
      </w:r>
      <w:r w:rsidR="00871B99" w:rsidRPr="006C5B94">
        <w:t>)</w:t>
      </w:r>
      <w:r w:rsidR="00347FE4" w:rsidRPr="006C5B94">
        <w:t xml:space="preserve">, you will have access to a fee loan and your university will receive direct funding if </w:t>
      </w:r>
      <w:r w:rsidR="00F3038B">
        <w:t>you are on a high-cost course and (a much lesser amount) if you are</w:t>
      </w:r>
      <w:r w:rsidR="00347FE4" w:rsidRPr="006C5B94">
        <w:t xml:space="preserve"> from a low-income background.</w:t>
      </w:r>
      <w:r w:rsidR="00871B99" w:rsidRPr="006C5B94">
        <w:t xml:space="preserve"> If, however, you are</w:t>
      </w:r>
      <w:r w:rsidR="0017575F" w:rsidRPr="006C5B94">
        <w:t xml:space="preserve"> re-training in a different area</w:t>
      </w:r>
      <w:r w:rsidR="00AA6E5F" w:rsidRPr="006C5B94">
        <w:t>,</w:t>
      </w:r>
      <w:r w:rsidR="0017575F" w:rsidRPr="006C5B94">
        <w:t xml:space="preserve"> studying at</w:t>
      </w:r>
      <w:r w:rsidRPr="006C5B94">
        <w:t xml:space="preserve"> less than 0.25 </w:t>
      </w:r>
      <w:r w:rsidR="00042B1D">
        <w:t>full-time equivalent (</w:t>
      </w:r>
      <w:r w:rsidRPr="006C5B94">
        <w:t>FTE</w:t>
      </w:r>
      <w:r w:rsidR="00042B1D">
        <w:t>)</w:t>
      </w:r>
      <w:r w:rsidR="0017575F" w:rsidRPr="006C5B94">
        <w:t>, or a postgraduate student you do not qualify for a fee loan and your university is much less likely to receive any direct funding for the cost of your course, meaning you are likely to be</w:t>
      </w:r>
      <w:r w:rsidR="00F3038B">
        <w:t xml:space="preserve"> on</w:t>
      </w:r>
      <w:r w:rsidR="0017575F" w:rsidRPr="006C5B94">
        <w:t xml:space="preserve"> a full fee programme where you </w:t>
      </w:r>
      <w:r w:rsidR="00BE2705" w:rsidRPr="006C5B94">
        <w:t xml:space="preserve">have to </w:t>
      </w:r>
      <w:r w:rsidR="0017575F" w:rsidRPr="006C5B94">
        <w:t xml:space="preserve">pay 100% of the </w:t>
      </w:r>
      <w:r w:rsidR="00F3038B">
        <w:t>price</w:t>
      </w:r>
      <w:r w:rsidR="0017575F" w:rsidRPr="006C5B94">
        <w:t xml:space="preserve"> of the course upfront</w:t>
      </w:r>
      <w:r w:rsidR="00BC7D82">
        <w:t xml:space="preserve"> (shown in dark blue)</w:t>
      </w:r>
      <w:r w:rsidR="0017575F" w:rsidRPr="006C5B94">
        <w:t xml:space="preserve">. </w:t>
      </w:r>
    </w:p>
    <w:p w14:paraId="434823D1" w14:textId="77777777" w:rsidR="00C135F4" w:rsidRPr="00BC7D82" w:rsidRDefault="00BC7D82" w:rsidP="0032583C">
      <w:pPr>
        <w:rPr>
          <w:b/>
          <w:sz w:val="24"/>
          <w:szCs w:val="24"/>
        </w:rPr>
      </w:pPr>
      <w:r>
        <w:rPr>
          <w:b/>
          <w:sz w:val="24"/>
          <w:szCs w:val="24"/>
        </w:rPr>
        <w:lastRenderedPageBreak/>
        <w:t xml:space="preserve">Figure 1: English </w:t>
      </w:r>
      <w:r w:rsidR="00C135F4" w:rsidRPr="00BC7D82">
        <w:rPr>
          <w:b/>
          <w:sz w:val="24"/>
          <w:szCs w:val="24"/>
        </w:rPr>
        <w:t>criteria for accessing fee loans and public funding</w:t>
      </w:r>
      <w:r w:rsidR="004A522B" w:rsidRPr="00BC7D82">
        <w:rPr>
          <w:rStyle w:val="FootnoteReference"/>
          <w:b/>
          <w:sz w:val="24"/>
          <w:szCs w:val="24"/>
        </w:rPr>
        <w:footnoteReference w:id="5"/>
      </w:r>
    </w:p>
    <w:p w14:paraId="4192E5D6" w14:textId="77777777" w:rsidR="004A522B" w:rsidRPr="006C5B94" w:rsidRDefault="00080AFB" w:rsidP="004A522B">
      <w:pPr>
        <w:ind w:left="-426"/>
        <w:rPr>
          <w:i/>
        </w:rPr>
      </w:pPr>
      <w:r w:rsidRPr="00B74735">
        <w:rPr>
          <w:rStyle w:val="BalloonTextChar"/>
          <w:noProof/>
          <w:lang w:val="en-US"/>
        </w:rPr>
        <mc:AlternateContent>
          <mc:Choice Requires="wps">
            <w:drawing>
              <wp:anchor distT="0" distB="0" distL="114300" distR="114300" simplePos="0" relativeHeight="251692032" behindDoc="0" locked="0" layoutInCell="1" allowOverlap="1" wp14:anchorId="338C547D" wp14:editId="2991FFA0">
                <wp:simplePos x="0" y="0"/>
                <wp:positionH relativeFrom="column">
                  <wp:posOffset>4091940</wp:posOffset>
                </wp:positionH>
                <wp:positionV relativeFrom="paragraph">
                  <wp:posOffset>1355725</wp:posOffset>
                </wp:positionV>
                <wp:extent cx="257175" cy="238125"/>
                <wp:effectExtent l="0" t="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7D3DC931" w14:textId="77777777" w:rsidR="00305055" w:rsidRDefault="00305055" w:rsidP="00080AFB">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22.2pt;margin-top:106.75pt;width:20.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">
                <v:textbox>
                  <w:txbxContent>
                    <w:p w14:paraId="7D3DC931" w14:textId="77777777" w:rsidR="00305055" w:rsidRDefault="00305055" w:rsidP="00080AFB">
                      <w:r>
                        <w:t>N</w:t>
                      </w:r>
                    </w:p>
                  </w:txbxContent>
                </v:textbox>
              </v:shape>
            </w:pict>
          </mc:Fallback>
        </mc:AlternateContent>
      </w:r>
      <w:r w:rsidRPr="00B74735">
        <w:rPr>
          <w:rStyle w:val="BalloonTextChar"/>
          <w:noProof/>
          <w:lang w:val="en-US"/>
        </w:rPr>
        <mc:AlternateContent>
          <mc:Choice Requires="wps">
            <w:drawing>
              <wp:anchor distT="0" distB="0" distL="114300" distR="114300" simplePos="0" relativeHeight="251694080" behindDoc="0" locked="0" layoutInCell="1" allowOverlap="1" wp14:anchorId="61086A26" wp14:editId="1ADD2985">
                <wp:simplePos x="0" y="0"/>
                <wp:positionH relativeFrom="column">
                  <wp:posOffset>4091940</wp:posOffset>
                </wp:positionH>
                <wp:positionV relativeFrom="paragraph">
                  <wp:posOffset>793750</wp:posOffset>
                </wp:positionV>
                <wp:extent cx="257175" cy="23812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5D6663C5" w14:textId="77777777" w:rsidR="00305055" w:rsidRDefault="00305055" w:rsidP="00080AFB">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22.2pt;margin-top:62.5pt;width:20.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">
                <v:textbox>
                  <w:txbxContent>
                    <w:p w14:paraId="5D6663C5" w14:textId="77777777" w:rsidR="00305055" w:rsidRDefault="00305055" w:rsidP="00080AFB">
                      <w:r>
                        <w:t>Y</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83840" behindDoc="0" locked="0" layoutInCell="1" allowOverlap="1" wp14:anchorId="318E9481" wp14:editId="45E3F3C0">
                <wp:simplePos x="0" y="0"/>
                <wp:positionH relativeFrom="column">
                  <wp:posOffset>2939415</wp:posOffset>
                </wp:positionH>
                <wp:positionV relativeFrom="paragraph">
                  <wp:posOffset>2336800</wp:posOffset>
                </wp:positionV>
                <wp:extent cx="257175" cy="23812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0CD9482C" w14:textId="77777777" w:rsidR="00305055" w:rsidRDefault="00305055" w:rsidP="00B74735">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1.45pt;margin-top:184pt;width:20.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">
                <v:textbox>
                  <w:txbxContent>
                    <w:p w14:paraId="0CD9482C" w14:textId="77777777" w:rsidR="00305055" w:rsidRDefault="00305055" w:rsidP="00B74735">
                      <w:r>
                        <w:t>N</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85888" behindDoc="0" locked="0" layoutInCell="1" allowOverlap="1" wp14:anchorId="550AF340" wp14:editId="2022CAAC">
                <wp:simplePos x="0" y="0"/>
                <wp:positionH relativeFrom="column">
                  <wp:posOffset>2939415</wp:posOffset>
                </wp:positionH>
                <wp:positionV relativeFrom="paragraph">
                  <wp:posOffset>1870075</wp:posOffset>
                </wp:positionV>
                <wp:extent cx="257175" cy="238125"/>
                <wp:effectExtent l="0" t="0" r="28575"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086B9761" w14:textId="77777777" w:rsidR="00305055" w:rsidRDefault="00305055" w:rsidP="00B74735">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31.45pt;margin-top:147.25pt;width:20.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">
                <v:textbox>
                  <w:txbxContent>
                    <w:p w14:paraId="086B9761" w14:textId="77777777" w:rsidR="00305055" w:rsidRDefault="00305055" w:rsidP="00B74735">
                      <w:r>
                        <w:t>Y</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87936" behindDoc="0" locked="0" layoutInCell="1" allowOverlap="1" wp14:anchorId="71C5FBF4" wp14:editId="535FA6D1">
                <wp:simplePos x="0" y="0"/>
                <wp:positionH relativeFrom="column">
                  <wp:posOffset>2939415</wp:posOffset>
                </wp:positionH>
                <wp:positionV relativeFrom="paragraph">
                  <wp:posOffset>1136650</wp:posOffset>
                </wp:positionV>
                <wp:extent cx="257175" cy="23812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3062D640" w14:textId="77777777" w:rsidR="00305055" w:rsidRDefault="00305055" w:rsidP="00B74735">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1.45pt;margin-top:89.5pt;width:20.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">
                <v:textbox>
                  <w:txbxContent>
                    <w:p w14:paraId="3062D640" w14:textId="77777777" w:rsidR="00305055" w:rsidRDefault="00305055" w:rsidP="00B74735">
                      <w:r>
                        <w:t>N</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89984" behindDoc="0" locked="0" layoutInCell="1" allowOverlap="1" wp14:anchorId="178F7E6A" wp14:editId="76F15DDB">
                <wp:simplePos x="0" y="0"/>
                <wp:positionH relativeFrom="column">
                  <wp:posOffset>2939415</wp:posOffset>
                </wp:positionH>
                <wp:positionV relativeFrom="paragraph">
                  <wp:posOffset>641350</wp:posOffset>
                </wp:positionV>
                <wp:extent cx="257175" cy="2381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677E2C8D" w14:textId="77777777" w:rsidR="00305055" w:rsidRDefault="00305055" w:rsidP="00B74735">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31.45pt;margin-top:50.5pt;width:20.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">
                <v:textbox>
                  <w:txbxContent>
                    <w:p w14:paraId="677E2C8D" w14:textId="77777777" w:rsidR="00305055" w:rsidRDefault="00305055" w:rsidP="00B74735">
                      <w:r>
                        <w:t>Y</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73600" behindDoc="0" locked="0" layoutInCell="1" allowOverlap="1" wp14:anchorId="24AA80FD" wp14:editId="3C232913">
                <wp:simplePos x="0" y="0"/>
                <wp:positionH relativeFrom="column">
                  <wp:posOffset>1739265</wp:posOffset>
                </wp:positionH>
                <wp:positionV relativeFrom="paragraph">
                  <wp:posOffset>898525</wp:posOffset>
                </wp:positionV>
                <wp:extent cx="257175" cy="2381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3FDC7F79" w14:textId="77777777" w:rsidR="00305055" w:rsidRDefault="00305055" w:rsidP="00B74735">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36.95pt;margin-top:70.75pt;width:20.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">
                <v:textbox>
                  <w:txbxContent>
                    <w:p w14:paraId="3FDC7F79" w14:textId="77777777" w:rsidR="00305055" w:rsidRDefault="00305055" w:rsidP="00B74735">
                      <w:r>
                        <w:t>Y</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79744" behindDoc="0" locked="0" layoutInCell="1" allowOverlap="1" wp14:anchorId="2BEB9C77" wp14:editId="08DE3D8D">
                <wp:simplePos x="0" y="0"/>
                <wp:positionH relativeFrom="column">
                  <wp:posOffset>1739265</wp:posOffset>
                </wp:positionH>
                <wp:positionV relativeFrom="paragraph">
                  <wp:posOffset>2574925</wp:posOffset>
                </wp:positionV>
                <wp:extent cx="257175" cy="238125"/>
                <wp:effectExtent l="0" t="0" r="2857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3EB67C97" w14:textId="77777777" w:rsidR="00305055" w:rsidRDefault="00305055" w:rsidP="00B74735">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6.95pt;margin-top:202.75pt;width:20.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">
                <v:textbox>
                  <w:txbxContent>
                    <w:p w14:paraId="3EB67C97" w14:textId="77777777" w:rsidR="00305055" w:rsidRDefault="00305055" w:rsidP="00B74735">
                      <w:r>
                        <w:t>N</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81792" behindDoc="0" locked="0" layoutInCell="1" allowOverlap="1" wp14:anchorId="50EC062A" wp14:editId="09B55F17">
                <wp:simplePos x="0" y="0"/>
                <wp:positionH relativeFrom="column">
                  <wp:posOffset>1739265</wp:posOffset>
                </wp:positionH>
                <wp:positionV relativeFrom="paragraph">
                  <wp:posOffset>2108200</wp:posOffset>
                </wp:positionV>
                <wp:extent cx="257175" cy="2381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36282A45" w14:textId="77777777" w:rsidR="00305055" w:rsidRDefault="00305055" w:rsidP="00B74735">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36.95pt;margin-top:166pt;width:20.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">
                <v:textbox>
                  <w:txbxContent>
                    <w:p w14:paraId="36282A45" w14:textId="77777777" w:rsidR="00305055" w:rsidRDefault="00305055" w:rsidP="00B74735">
                      <w:r>
                        <w:t>Y</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77696" behindDoc="0" locked="0" layoutInCell="1" allowOverlap="1" wp14:anchorId="0E0DA311" wp14:editId="3C356F02">
                <wp:simplePos x="0" y="0"/>
                <wp:positionH relativeFrom="column">
                  <wp:posOffset>605790</wp:posOffset>
                </wp:positionH>
                <wp:positionV relativeFrom="paragraph">
                  <wp:posOffset>2032000</wp:posOffset>
                </wp:positionV>
                <wp:extent cx="257175" cy="23812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6219B010" w14:textId="77777777" w:rsidR="00305055" w:rsidRDefault="00305055" w:rsidP="00B74735">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7.7pt;margin-top:160pt;width:20.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">
                <v:textbox>
                  <w:txbxContent>
                    <w:p w14:paraId="6219B010" w14:textId="77777777" w:rsidR="00305055" w:rsidRDefault="00305055" w:rsidP="00B74735">
                      <w:r>
                        <w:t>N</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71552" behindDoc="0" locked="0" layoutInCell="1" allowOverlap="1" wp14:anchorId="68F08387" wp14:editId="6DF2D025">
                <wp:simplePos x="0" y="0"/>
                <wp:positionH relativeFrom="column">
                  <wp:posOffset>605790</wp:posOffset>
                </wp:positionH>
                <wp:positionV relativeFrom="paragraph">
                  <wp:posOffset>1422400</wp:posOffset>
                </wp:positionV>
                <wp:extent cx="257175" cy="2381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7FDA2EB3" w14:textId="77777777" w:rsidR="00305055" w:rsidRDefault="00305055" w:rsidP="00B74735">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7.7pt;margin-top:112pt;width:20.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">
                <v:textbox>
                  <w:txbxContent>
                    <w:p w14:paraId="7FDA2EB3" w14:textId="77777777" w:rsidR="00305055" w:rsidRDefault="00305055" w:rsidP="00B74735">
                      <w:r>
                        <w:t>Y</w:t>
                      </w:r>
                    </w:p>
                  </w:txbxContent>
                </v:textbox>
              </v:shape>
            </w:pict>
          </mc:Fallback>
        </mc:AlternateContent>
      </w:r>
      <w:r w:rsidR="00DE769B" w:rsidRPr="00B74735">
        <w:rPr>
          <w:rStyle w:val="FootnoteTextChar"/>
          <w:noProof/>
          <w:lang w:val="en-US"/>
        </w:rPr>
        <mc:AlternateContent>
          <mc:Choice Requires="wps">
            <w:drawing>
              <wp:anchor distT="0" distB="0" distL="114300" distR="114300" simplePos="0" relativeHeight="251675648" behindDoc="0" locked="0" layoutInCell="1" allowOverlap="1" wp14:anchorId="1728102F" wp14:editId="77018E8C">
                <wp:simplePos x="0" y="0"/>
                <wp:positionH relativeFrom="column">
                  <wp:posOffset>1739265</wp:posOffset>
                </wp:positionH>
                <wp:positionV relativeFrom="paragraph">
                  <wp:posOffset>1355725</wp:posOffset>
                </wp:positionV>
                <wp:extent cx="257175" cy="2381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28E17CAB" w14:textId="77777777" w:rsidR="00305055" w:rsidRDefault="00305055" w:rsidP="00B74735">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36.95pt;margin-top:106.75pt;width:20.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">
                <v:textbox>
                  <w:txbxContent>
                    <w:p w14:paraId="28E17CAB" w14:textId="77777777" w:rsidR="00305055" w:rsidRDefault="00305055" w:rsidP="00B74735">
                      <w:r>
                        <w:t>N</w:t>
                      </w:r>
                    </w:p>
                  </w:txbxContent>
                </v:textbox>
              </v:shape>
            </w:pict>
          </mc:Fallback>
        </mc:AlternateContent>
      </w:r>
      <w:r w:rsidR="0017575F" w:rsidRPr="006C5B94">
        <w:rPr>
          <w:i/>
          <w:noProof/>
          <w:lang w:val="en-US"/>
        </w:rPr>
        <w:drawing>
          <wp:inline distT="0" distB="0" distL="0" distR="0" wp14:anchorId="11C688E6" wp14:editId="087E92BC">
            <wp:extent cx="5486400" cy="3200400"/>
            <wp:effectExtent l="0" t="0" r="254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B882593" w14:textId="2BBFF074" w:rsidR="005D2C20" w:rsidRPr="006C5B94" w:rsidRDefault="004A522B" w:rsidP="004A522B">
      <w:pPr>
        <w:ind w:left="-426"/>
      </w:pPr>
      <w:r w:rsidRPr="006C5B94">
        <w:t xml:space="preserve">To be clear, for students in </w:t>
      </w:r>
      <w:r w:rsidR="00D41189" w:rsidRPr="006C5B94">
        <w:t>England</w:t>
      </w:r>
      <w:r w:rsidRPr="006C5B94">
        <w:t>, if you do not qualify for a Government subsidised fee loan (</w:t>
      </w:r>
      <w:r w:rsidR="005D2C20" w:rsidRPr="006C5B94">
        <w:t>all</w:t>
      </w:r>
      <w:r w:rsidRPr="006C5B94">
        <w:t xml:space="preserve"> students in dark blue or purple</w:t>
      </w:r>
      <w:r w:rsidR="005D2C20" w:rsidRPr="006C5B94">
        <w:t xml:space="preserve"> in Figure 1</w:t>
      </w:r>
      <w:r w:rsidRPr="006C5B94">
        <w:t xml:space="preserve"> above), you have to pay the fee upfront in full. In most cases, this will be the full cost of the programme.</w:t>
      </w:r>
      <w:r w:rsidR="00F47E15">
        <w:t xml:space="preserve"> </w:t>
      </w:r>
    </w:p>
    <w:p w14:paraId="71164247" w14:textId="5EDBC1F4" w:rsidR="00137D5F" w:rsidRDefault="004A522B" w:rsidP="004A522B">
      <w:pPr>
        <w:ind w:left="-426"/>
      </w:pPr>
      <w:r w:rsidRPr="006C5B94">
        <w:t xml:space="preserve">Figure 2 </w:t>
      </w:r>
      <w:r w:rsidR="000D3C86">
        <w:t xml:space="preserve">below </w:t>
      </w:r>
      <w:r w:rsidRPr="006C5B94">
        <w:t>shows the Australian system. The major contrast from the student perspective is that</w:t>
      </w:r>
      <w:r w:rsidR="00980236" w:rsidRPr="006C5B94">
        <w:t xml:space="preserve"> HELP – the Higher Education Loan Programme – is extended to </w:t>
      </w:r>
      <w:r w:rsidR="00980236" w:rsidRPr="006C5B94">
        <w:rPr>
          <w:i/>
        </w:rPr>
        <w:t>all</w:t>
      </w:r>
      <w:r w:rsidR="00980236" w:rsidRPr="006C5B94">
        <w:t xml:space="preserve"> students.</w:t>
      </w:r>
    </w:p>
    <w:p w14:paraId="7DF9A1BD" w14:textId="765EAC4A" w:rsidR="00137D5F" w:rsidRDefault="00137D5F" w:rsidP="00137D5F">
      <w:pPr>
        <w:ind w:left="-426"/>
      </w:pPr>
      <w:r>
        <w:t xml:space="preserve">If you qualify for a Government subsidised place in Australia (one that receives direct Government funding for teaching, referred to as ‘base funding’ or ‘commonwealth funding’ – the same as HEFCE teaching funding in England) you </w:t>
      </w:r>
      <w:r w:rsidR="00A11417">
        <w:t xml:space="preserve">can </w:t>
      </w:r>
      <w:r>
        <w:t>also access a subsidised loan, called a HECS-HELP loan.</w:t>
      </w:r>
      <w:r w:rsidR="00F47E15">
        <w:t xml:space="preserve"> </w:t>
      </w:r>
      <w:r w:rsidR="000D3C86">
        <w:t>This applies to most undergraduate students and 40% of postgraduate students.</w:t>
      </w:r>
    </w:p>
    <w:p w14:paraId="21D18871" w14:textId="276C073E" w:rsidR="00AA2993" w:rsidRDefault="00980236" w:rsidP="00AA2993">
      <w:pPr>
        <w:ind w:left="-426"/>
      </w:pPr>
      <w:r w:rsidRPr="006C5B94">
        <w:t>I</w:t>
      </w:r>
      <w:r w:rsidR="004A522B" w:rsidRPr="006C5B94">
        <w:t>f you don’t quali</w:t>
      </w:r>
      <w:r w:rsidR="00137D5F">
        <w:t>fy for HECS-HELP</w:t>
      </w:r>
      <w:r w:rsidR="004A522B" w:rsidRPr="006C5B94">
        <w:t xml:space="preserve"> you</w:t>
      </w:r>
      <w:r w:rsidR="00137D5F">
        <w:t xml:space="preserve"> can,</w:t>
      </w:r>
      <w:r w:rsidR="005D2C20" w:rsidRPr="006C5B94">
        <w:t xml:space="preserve"> in </w:t>
      </w:r>
      <w:r w:rsidRPr="006C5B94">
        <w:t>nearly all</w:t>
      </w:r>
      <w:r w:rsidR="005D2C20" w:rsidRPr="006C5B94">
        <w:t xml:space="preserve"> cases</w:t>
      </w:r>
      <w:r w:rsidR="00137D5F">
        <w:t>,</w:t>
      </w:r>
      <w:r w:rsidR="005D2C20" w:rsidRPr="006C5B94">
        <w:t xml:space="preserve"> access a </w:t>
      </w:r>
      <w:r w:rsidR="00C03E5F">
        <w:t>FEE-HELP</w:t>
      </w:r>
      <w:r w:rsidR="005D2C20" w:rsidRPr="006C5B94">
        <w:t xml:space="preserve"> loan instead. </w:t>
      </w:r>
      <w:r w:rsidR="00C03E5F">
        <w:t>FEE-HELP</w:t>
      </w:r>
      <w:r w:rsidR="005D2C20" w:rsidRPr="006C5B94">
        <w:t xml:space="preserve"> is a Government</w:t>
      </w:r>
      <w:r w:rsidRPr="006C5B94">
        <w:t>-administered</w:t>
      </w:r>
      <w:r w:rsidR="005D2C20" w:rsidRPr="006C5B94">
        <w:t xml:space="preserve"> fee loan</w:t>
      </w:r>
      <w:r w:rsidRPr="006C5B94">
        <w:t xml:space="preserve"> that</w:t>
      </w:r>
      <w:r w:rsidR="00311A6D">
        <w:t xml:space="preserve"> is split into two types – undergraduate (UG) and postgraduate (PG).</w:t>
      </w:r>
      <w:r w:rsidR="00F47E15">
        <w:t xml:space="preserve"> </w:t>
      </w:r>
      <w:r w:rsidR="00311A6D">
        <w:t>All</w:t>
      </w:r>
      <w:r w:rsidR="00137D5F">
        <w:t xml:space="preserve"> loans, HECS-HELP and</w:t>
      </w:r>
      <w:r w:rsidR="00311A6D">
        <w:t xml:space="preserve"> </w:t>
      </w:r>
      <w:r w:rsidR="00C03E5F">
        <w:t>FEE-HELP</w:t>
      </w:r>
      <w:r w:rsidR="00137D5F">
        <w:t>, have</w:t>
      </w:r>
      <w:r w:rsidRPr="006C5B94">
        <w:t xml:space="preserve"> </w:t>
      </w:r>
      <w:r w:rsidR="005D2C20" w:rsidRPr="006C5B94">
        <w:t>the same terms and conditions of repayment (income contingent after graduation, collected through the tax system) but</w:t>
      </w:r>
      <w:r w:rsidR="00311A6D">
        <w:t xml:space="preserve"> </w:t>
      </w:r>
      <w:r w:rsidR="00311A6D" w:rsidRPr="00137D5F">
        <w:rPr>
          <w:i/>
        </w:rPr>
        <w:t>undergraduate</w:t>
      </w:r>
      <w:r w:rsidR="00311A6D">
        <w:t xml:space="preserve"> FEE-HELP</w:t>
      </w:r>
      <w:r w:rsidR="005D2C20" w:rsidRPr="006C5B94">
        <w:t xml:space="preserve"> carries</w:t>
      </w:r>
      <w:r w:rsidR="00AA2993">
        <w:t xml:space="preserve"> a surcharge of 25%, which, broadly speaking,</w:t>
      </w:r>
      <w:r w:rsidR="00137D5F">
        <w:t xml:space="preserve"> cover</w:t>
      </w:r>
      <w:r w:rsidR="00AA2993">
        <w:t>s</w:t>
      </w:r>
      <w:r w:rsidR="00137D5F">
        <w:t xml:space="preserve"> the Government’s cost of borrowing and any non-repayment across the cohort. The Government does not, however, impose a surcharge for underwriting and administering the loan.</w:t>
      </w:r>
      <w:r w:rsidR="00F47E15">
        <w:t xml:space="preserve"> </w:t>
      </w:r>
      <w:r w:rsidR="00D9437B">
        <w:t>There is no surcharge for postgraduate FEE-HELP loans, which means they continue to be subsidised.</w:t>
      </w:r>
    </w:p>
    <w:p w14:paraId="0FDA7D8F" w14:textId="7E6C25F2" w:rsidR="00D9437B" w:rsidRDefault="00D9437B" w:rsidP="00AA2993">
      <w:pPr>
        <w:ind w:left="-426"/>
      </w:pPr>
      <w:r>
        <w:t>FEE-HELP</w:t>
      </w:r>
      <w:r w:rsidRPr="006C5B94">
        <w:t xml:space="preserve"> is </w:t>
      </w:r>
      <w:r>
        <w:t xml:space="preserve">a universal entitlement: it is </w:t>
      </w:r>
      <w:r w:rsidRPr="006C5B94">
        <w:t xml:space="preserve">available to all </w:t>
      </w:r>
      <w:r>
        <w:t xml:space="preserve">domestic </w:t>
      </w:r>
      <w:r w:rsidRPr="006C5B94">
        <w:t>students</w:t>
      </w:r>
      <w:r>
        <w:t xml:space="preserve"> enrolled in approved higher education providers</w:t>
      </w:r>
      <w:r w:rsidRPr="006C5B94">
        <w:t>, regardless of level of qualification or previous qualifications, up to a lifetime maximum of aroun</w:t>
      </w:r>
      <w:r>
        <w:t>d $96</w:t>
      </w:r>
      <w:r w:rsidRPr="006C5B94">
        <w:t>,000</w:t>
      </w:r>
      <w:r w:rsidRPr="006C5B94">
        <w:rPr>
          <w:rStyle w:val="FootnoteReference"/>
        </w:rPr>
        <w:footnoteReference w:id="6"/>
      </w:r>
      <w:r>
        <w:t xml:space="preserve"> (around £56</w:t>
      </w:r>
      <w:r w:rsidRPr="006C5B94">
        <w:t xml:space="preserve">,000). </w:t>
      </w:r>
    </w:p>
    <w:p w14:paraId="4C0F8F5F" w14:textId="11487D16" w:rsidR="006120E6" w:rsidRDefault="00D9437B" w:rsidP="00D9437B">
      <w:pPr>
        <w:ind w:left="-426"/>
      </w:pPr>
      <w:r>
        <w:t>T</w:t>
      </w:r>
      <w:r w:rsidR="00137D5F">
        <w:t>he outcome is that undergraduate FEE-HELP in Australia is a Govern</w:t>
      </w:r>
      <w:r w:rsidR="00F3171A">
        <w:t>ment loan system that carries virtually no public</w:t>
      </w:r>
      <w:r w:rsidR="00137D5F">
        <w:t xml:space="preserve"> subsidy.</w:t>
      </w:r>
      <w:r>
        <w:t xml:space="preserve"> It allows Government backed fee loans to be extended to all students with repayments on an income-contingent basis.</w:t>
      </w:r>
      <w:r w:rsidR="00F47E15">
        <w:t xml:space="preserve"> </w:t>
      </w:r>
      <w:r w:rsidR="00137D5F">
        <w:t>This is a really significant part of the Australian loan design that the UK can learn from.</w:t>
      </w:r>
      <w:r w:rsidR="00980236" w:rsidRPr="006C5B94">
        <w:t xml:space="preserve"> </w:t>
      </w:r>
    </w:p>
    <w:p w14:paraId="0BFC00BD" w14:textId="77777777" w:rsidR="00D9437B" w:rsidRDefault="001D0E77" w:rsidP="00D9437B">
      <w:pPr>
        <w:ind w:left="-426"/>
      </w:pPr>
      <w:r>
        <w:t xml:space="preserve">For a more detailed explanation of </w:t>
      </w:r>
      <w:r w:rsidR="00C03E5F">
        <w:t>HECS-HELP</w:t>
      </w:r>
      <w:r>
        <w:t xml:space="preserve"> and </w:t>
      </w:r>
      <w:r w:rsidR="00C03E5F">
        <w:t>FEE-HELP</w:t>
      </w:r>
      <w:r>
        <w:t>, please see Chapter 4 on loan design.</w:t>
      </w:r>
    </w:p>
    <w:p w14:paraId="5DB5023D" w14:textId="77777777" w:rsidR="006120E6" w:rsidRPr="006C5B94" w:rsidRDefault="006120E6" w:rsidP="006120E6">
      <w:pPr>
        <w:rPr>
          <w:b/>
        </w:rPr>
      </w:pPr>
      <w:r w:rsidRPr="006C5B94">
        <w:rPr>
          <w:b/>
        </w:rPr>
        <w:t>Figure 2: Australian criteria for accessing types of fee loans and public funding</w:t>
      </w:r>
    </w:p>
    <w:p w14:paraId="0423C51E" w14:textId="77777777" w:rsidR="006A7F23" w:rsidRPr="006C5B94" w:rsidRDefault="00B74735" w:rsidP="006A7F23">
      <w:pPr>
        <w:tabs>
          <w:tab w:val="left" w:pos="1843"/>
        </w:tabs>
        <w:ind w:left="-567"/>
        <w:rPr>
          <w:rFonts w:asciiTheme="majorHAnsi" w:eastAsiaTheme="majorEastAsia" w:hAnsiTheme="majorHAnsi" w:cstheme="majorBidi"/>
          <w:b/>
          <w:bCs/>
          <w:color w:val="4F81BD" w:themeColor="accent1"/>
          <w:sz w:val="26"/>
          <w:szCs w:val="26"/>
        </w:rPr>
      </w:pPr>
      <w:r w:rsidRPr="00B74735">
        <w:rPr>
          <w:rStyle w:val="FootnoteTextChar"/>
          <w:noProof/>
          <w:lang w:val="en-US"/>
        </w:rPr>
        <mc:AlternateContent>
          <mc:Choice Requires="wps">
            <w:drawing>
              <wp:anchor distT="0" distB="0" distL="114300" distR="114300" simplePos="0" relativeHeight="251669504" behindDoc="0" locked="0" layoutInCell="1" allowOverlap="1" wp14:anchorId="7ACFEC18" wp14:editId="15A13E98">
                <wp:simplePos x="0" y="0"/>
                <wp:positionH relativeFrom="column">
                  <wp:posOffset>4206240</wp:posOffset>
                </wp:positionH>
                <wp:positionV relativeFrom="paragraph">
                  <wp:posOffset>1685925</wp:posOffset>
                </wp:positionV>
                <wp:extent cx="257175" cy="2381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3F2334CE" w14:textId="77777777" w:rsidR="00305055" w:rsidRDefault="00305055" w:rsidP="00B74735">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31.2pt;margin-top:132.75pt;width:20.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">
                <v:textbox>
                  <w:txbxContent>
                    <w:p w14:paraId="3F2334CE" w14:textId="77777777" w:rsidR="00305055" w:rsidRDefault="00305055" w:rsidP="00B74735">
                      <w:r>
                        <w:t>N</w:t>
                      </w:r>
                    </w:p>
                  </w:txbxContent>
                </v:textbox>
              </v:shape>
            </w:pict>
          </mc:Fallback>
        </mc:AlternateContent>
      </w:r>
      <w:r w:rsidRPr="00B74735">
        <w:rPr>
          <w:rStyle w:val="FootnoteTextChar"/>
          <w:noProof/>
          <w:lang w:val="en-US"/>
        </w:rPr>
        <mc:AlternateContent>
          <mc:Choice Requires="wps">
            <w:drawing>
              <wp:anchor distT="0" distB="0" distL="114300" distR="114300" simplePos="0" relativeHeight="251667456" behindDoc="0" locked="0" layoutInCell="1" allowOverlap="1" wp14:anchorId="65EB1A05" wp14:editId="075212A1">
                <wp:simplePos x="0" y="0"/>
                <wp:positionH relativeFrom="column">
                  <wp:posOffset>2567940</wp:posOffset>
                </wp:positionH>
                <wp:positionV relativeFrom="paragraph">
                  <wp:posOffset>2047875</wp:posOffset>
                </wp:positionV>
                <wp:extent cx="257175" cy="2381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5257F66B" w14:textId="77777777" w:rsidR="00305055" w:rsidRDefault="00305055" w:rsidP="00B74735">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02.2pt;margin-top:161.25pt;width:20.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">
                <v:textbox>
                  <w:txbxContent>
                    <w:p w14:paraId="5257F66B" w14:textId="77777777" w:rsidR="00305055" w:rsidRDefault="00305055" w:rsidP="00B74735">
                      <w:r>
                        <w:t>N</w:t>
                      </w:r>
                    </w:p>
                  </w:txbxContent>
                </v:textbox>
              </v:shape>
            </w:pict>
          </mc:Fallback>
        </mc:AlternateContent>
      </w:r>
      <w:r w:rsidRPr="00B74735">
        <w:rPr>
          <w:rStyle w:val="FootnoteTextChar"/>
          <w:noProof/>
          <w:lang w:val="en-US"/>
        </w:rPr>
        <mc:AlternateContent>
          <mc:Choice Requires="wps">
            <w:drawing>
              <wp:anchor distT="0" distB="0" distL="114300" distR="114300" simplePos="0" relativeHeight="251665408" behindDoc="0" locked="0" layoutInCell="1" allowOverlap="1" wp14:anchorId="72A151AC" wp14:editId="31C7339D">
                <wp:simplePos x="0" y="0"/>
                <wp:positionH relativeFrom="column">
                  <wp:posOffset>4206240</wp:posOffset>
                </wp:positionH>
                <wp:positionV relativeFrom="paragraph">
                  <wp:posOffset>1343025</wp:posOffset>
                </wp:positionV>
                <wp:extent cx="257175" cy="23812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5F22A053" w14:textId="77777777" w:rsidR="00305055" w:rsidRDefault="00305055" w:rsidP="00B74735">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31.2pt;margin-top:105.75pt;width:20.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">
                <v:textbox>
                  <w:txbxContent>
                    <w:p w14:paraId="5F22A053" w14:textId="77777777" w:rsidR="00305055" w:rsidRDefault="00305055" w:rsidP="00B74735">
                      <w:r>
                        <w:t>Y</w:t>
                      </w:r>
                    </w:p>
                  </w:txbxContent>
                </v:textbox>
              </v:shape>
            </w:pict>
          </mc:Fallback>
        </mc:AlternateContent>
      </w:r>
      <w:r w:rsidRPr="00B74735">
        <w:rPr>
          <w:rStyle w:val="FootnoteTextChar"/>
          <w:noProof/>
          <w:lang w:val="en-US"/>
        </w:rPr>
        <mc:AlternateContent>
          <mc:Choice Requires="wps">
            <w:drawing>
              <wp:anchor distT="0" distB="0" distL="114300" distR="114300" simplePos="0" relativeHeight="251663360" behindDoc="0" locked="0" layoutInCell="1" allowOverlap="1" wp14:anchorId="4213D8E4" wp14:editId="0E7467EA">
                <wp:simplePos x="0" y="0"/>
                <wp:positionH relativeFrom="column">
                  <wp:posOffset>2567940</wp:posOffset>
                </wp:positionH>
                <wp:positionV relativeFrom="paragraph">
                  <wp:posOffset>1676400</wp:posOffset>
                </wp:positionV>
                <wp:extent cx="257175" cy="2381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56FB01C5" w14:textId="77777777" w:rsidR="00305055" w:rsidRDefault="00305055" w:rsidP="00B74735">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02.2pt;margin-top:132pt;width:20.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">
                <v:textbox>
                  <w:txbxContent>
                    <w:p w14:paraId="56FB01C5" w14:textId="77777777" w:rsidR="00305055" w:rsidRDefault="00305055" w:rsidP="00B74735">
                      <w:r>
                        <w:t>Y</w:t>
                      </w:r>
                    </w:p>
                  </w:txbxContent>
                </v:textbox>
              </v:shape>
            </w:pict>
          </mc:Fallback>
        </mc:AlternateContent>
      </w:r>
      <w:r w:rsidRPr="00B74735">
        <w:rPr>
          <w:rStyle w:val="Heading2Char"/>
          <w:noProof/>
          <w:lang w:val="en-US"/>
        </w:rPr>
        <mc:AlternateContent>
          <mc:Choice Requires="wps">
            <w:drawing>
              <wp:anchor distT="0" distB="0" distL="114300" distR="114300" simplePos="0" relativeHeight="251659264" behindDoc="0" locked="0" layoutInCell="1" allowOverlap="1" wp14:anchorId="22C3419E" wp14:editId="37B91A6C">
                <wp:simplePos x="0" y="0"/>
                <wp:positionH relativeFrom="column">
                  <wp:posOffset>986790</wp:posOffset>
                </wp:positionH>
                <wp:positionV relativeFrom="paragraph">
                  <wp:posOffset>476250</wp:posOffset>
                </wp:positionV>
                <wp:extent cx="257175" cy="2381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216545AD" w14:textId="77777777" w:rsidR="00305055" w:rsidRDefault="00305055">
                            <w: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77.7pt;margin-top:37.5pt;width:2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">
                <v:textbox>
                  <w:txbxContent>
                    <w:p w14:paraId="216545AD" w14:textId="77777777" w:rsidR="00305055" w:rsidRDefault="00305055">
                      <w:r>
                        <w:t>Y</w:t>
                      </w:r>
                    </w:p>
                  </w:txbxContent>
                </v:textbox>
              </v:shape>
            </w:pict>
          </mc:Fallback>
        </mc:AlternateContent>
      </w:r>
      <w:r w:rsidRPr="00B74735">
        <w:rPr>
          <w:rStyle w:val="FootnoteTextChar"/>
          <w:noProof/>
          <w:lang w:val="en-US"/>
        </w:rPr>
        <mc:AlternateContent>
          <mc:Choice Requires="wps">
            <w:drawing>
              <wp:anchor distT="0" distB="0" distL="114300" distR="114300" simplePos="0" relativeHeight="251661312" behindDoc="0" locked="0" layoutInCell="1" allowOverlap="1" wp14:anchorId="53377AC6" wp14:editId="126DDA18">
                <wp:simplePos x="0" y="0"/>
                <wp:positionH relativeFrom="column">
                  <wp:posOffset>939165</wp:posOffset>
                </wp:positionH>
                <wp:positionV relativeFrom="paragraph">
                  <wp:posOffset>1343025</wp:posOffset>
                </wp:positionV>
                <wp:extent cx="257175" cy="2381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txbx>
                        <w:txbxContent>
                          <w:p w14:paraId="2B1C116A" w14:textId="77777777" w:rsidR="00305055" w:rsidRDefault="00305055" w:rsidP="00B74735">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73.95pt;margin-top:105.75pt;width:20.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">
                <v:textbox>
                  <w:txbxContent>
                    <w:p w14:paraId="2B1C116A" w14:textId="77777777" w:rsidR="00305055" w:rsidRDefault="00305055" w:rsidP="00B74735">
                      <w:r>
                        <w:t>N</w:t>
                      </w:r>
                    </w:p>
                  </w:txbxContent>
                </v:textbox>
              </v:shape>
            </w:pict>
          </mc:Fallback>
        </mc:AlternateContent>
      </w:r>
      <w:r w:rsidR="006120E6" w:rsidRPr="006C5B94">
        <w:rPr>
          <w:noProof/>
          <w:lang w:val="en-US"/>
        </w:rPr>
        <w:drawing>
          <wp:inline distT="0" distB="0" distL="0" distR="0" wp14:anchorId="1B548E3B" wp14:editId="40A2CE1A">
            <wp:extent cx="6029325" cy="3505200"/>
            <wp:effectExtent l="0" t="0" r="1587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A12AC3" w:rsidRPr="006C5B94">
        <w:rPr>
          <w:rStyle w:val="Heading2Char"/>
        </w:rPr>
        <w:t>F</w:t>
      </w:r>
      <w:r w:rsidR="006A7F23" w:rsidRPr="006C5B94">
        <w:rPr>
          <w:rStyle w:val="Heading2Char"/>
        </w:rPr>
        <w:t xml:space="preserve">rom the student’s perspective, what does this </w:t>
      </w:r>
      <w:r w:rsidR="00460BE8" w:rsidRPr="006C5B94">
        <w:rPr>
          <w:rStyle w:val="Heading2Char"/>
        </w:rPr>
        <w:t>mean?</w:t>
      </w:r>
    </w:p>
    <w:p w14:paraId="6B4DB30A" w14:textId="48FC41B5" w:rsidR="00205854" w:rsidRPr="006C5B94" w:rsidRDefault="00BC7D82" w:rsidP="006A7F23">
      <w:pPr>
        <w:ind w:left="-426"/>
      </w:pPr>
      <w:r>
        <w:t>Figure 3 shows that f</w:t>
      </w:r>
      <w:r w:rsidR="00460BE8" w:rsidRPr="006C5B94">
        <w:t xml:space="preserve">rom the student perspective, the major difference is that in Australia, </w:t>
      </w:r>
      <w:r w:rsidR="00272ECB" w:rsidRPr="006C5B94">
        <w:t>virtually</w:t>
      </w:r>
      <w:r w:rsidR="00460BE8" w:rsidRPr="006C5B94">
        <w:t xml:space="preserve"> every student will be able to access a Government fee loan (either subsidised or not) that is </w:t>
      </w:r>
      <w:r w:rsidR="0060668B" w:rsidRPr="006C5B94">
        <w:t>repaid</w:t>
      </w:r>
      <w:r w:rsidR="00460BE8" w:rsidRPr="006C5B94">
        <w:t xml:space="preserve"> o</w:t>
      </w:r>
      <w:r w:rsidR="00272ECB" w:rsidRPr="006C5B94">
        <w:t>n an income-contingent basis</w:t>
      </w:r>
      <w:r>
        <w:t xml:space="preserve">. </w:t>
      </w:r>
      <w:r w:rsidR="008C7297">
        <w:t xml:space="preserve">The only students that could not access a loan would be those that had reached their FEE-HELP lifetime maximum loan allowance of $96,000. </w:t>
      </w:r>
      <w:r>
        <w:t>I</w:t>
      </w:r>
      <w:r w:rsidR="00272ECB" w:rsidRPr="006C5B94">
        <w:t xml:space="preserve">n </w:t>
      </w:r>
      <w:r w:rsidR="007779C1" w:rsidRPr="006C5B94">
        <w:t>England</w:t>
      </w:r>
      <w:r>
        <w:t>,</w:t>
      </w:r>
      <w:r w:rsidR="00460BE8" w:rsidRPr="006C5B94">
        <w:t xml:space="preserve"> </w:t>
      </w:r>
      <w:r>
        <w:t xml:space="preserve">however, </w:t>
      </w:r>
      <w:r w:rsidR="00A12AC3" w:rsidRPr="006C5B94">
        <w:t>Government fee loans</w:t>
      </w:r>
      <w:r w:rsidR="00F47E15">
        <w:t xml:space="preserve"> </w:t>
      </w:r>
      <w:r w:rsidR="00A12AC3" w:rsidRPr="006C5B94">
        <w:t xml:space="preserve">are </w:t>
      </w:r>
      <w:r w:rsidR="00F47E15">
        <w:t xml:space="preserve">limited </w:t>
      </w:r>
      <w:r w:rsidR="00A12AC3" w:rsidRPr="006C5B94">
        <w:t>to particular groups of students. This is because there is only one type of Government fee loan in England and it carries a signi</w:t>
      </w:r>
      <w:r w:rsidR="00272ECB" w:rsidRPr="006C5B94">
        <w:t>ficant subsidy</w:t>
      </w:r>
      <w:r w:rsidR="00460BE8" w:rsidRPr="006C5B94">
        <w:t xml:space="preserve"> and </w:t>
      </w:r>
      <w:r w:rsidR="00A12AC3" w:rsidRPr="006C5B94">
        <w:t>therefore has to be rationed</w:t>
      </w:r>
      <w:r w:rsidR="00460BE8" w:rsidRPr="006C5B94">
        <w:t xml:space="preserve">. </w:t>
      </w:r>
      <w:r w:rsidR="007779C1" w:rsidRPr="006C5B94">
        <w:t>England</w:t>
      </w:r>
      <w:r w:rsidR="00460BE8" w:rsidRPr="006C5B94">
        <w:t xml:space="preserve"> has prioritised first-time undergraduate students at this time. The consequence has been growing pressure on postgraduate</w:t>
      </w:r>
      <w:r w:rsidR="00830AC3" w:rsidRPr="006C5B94">
        <w:t>s,</w:t>
      </w:r>
      <w:r w:rsidR="00460BE8" w:rsidRPr="006C5B94">
        <w:t xml:space="preserve"> </w:t>
      </w:r>
      <w:r w:rsidR="00830AC3" w:rsidRPr="006C5B94">
        <w:t>some part-time and mature entrants and those seeking to re-train</w:t>
      </w:r>
      <w:r w:rsidR="00460BE8" w:rsidRPr="006C5B94">
        <w:t xml:space="preserve"> (known as ELQ</w:t>
      </w:r>
      <w:r w:rsidR="00460BE8" w:rsidRPr="006C5B94">
        <w:rPr>
          <w:rStyle w:val="FootnoteReference"/>
        </w:rPr>
        <w:footnoteReference w:id="7"/>
      </w:r>
      <w:r w:rsidR="00460BE8" w:rsidRPr="006C5B94">
        <w:t xml:space="preserve"> students)</w:t>
      </w:r>
      <w:r w:rsidR="00A12AC3" w:rsidRPr="006C5B94">
        <w:t xml:space="preserve"> who cannot access a </w:t>
      </w:r>
      <w:r w:rsidR="00A331AF" w:rsidRPr="006C5B94">
        <w:t xml:space="preserve">public </w:t>
      </w:r>
      <w:r w:rsidR="00A12AC3" w:rsidRPr="006C5B94">
        <w:t>loan</w:t>
      </w:r>
      <w:r w:rsidR="00830AC3" w:rsidRPr="006C5B94">
        <w:t>.</w:t>
      </w:r>
      <w:r w:rsidR="00CC4044" w:rsidRPr="006C5B94">
        <w:t xml:space="preserve"> </w:t>
      </w:r>
    </w:p>
    <w:p w14:paraId="6ECDEED5" w14:textId="77777777" w:rsidR="001A52DA" w:rsidRDefault="001A52DA" w:rsidP="005775E6">
      <w:pPr>
        <w:rPr>
          <w:b/>
        </w:rPr>
      </w:pPr>
    </w:p>
    <w:p w14:paraId="6D506699" w14:textId="77777777" w:rsidR="001A52DA" w:rsidRDefault="001A52DA" w:rsidP="005775E6">
      <w:pPr>
        <w:rPr>
          <w:b/>
        </w:rPr>
      </w:pPr>
    </w:p>
    <w:p w14:paraId="407CFA49" w14:textId="77777777" w:rsidR="001A52DA" w:rsidRDefault="001A52DA" w:rsidP="005775E6">
      <w:pPr>
        <w:rPr>
          <w:b/>
        </w:rPr>
      </w:pPr>
    </w:p>
    <w:p w14:paraId="1EDA67BE" w14:textId="77777777" w:rsidR="00205854" w:rsidRPr="006C5B94" w:rsidRDefault="00205854" w:rsidP="005775E6">
      <w:pPr>
        <w:rPr>
          <w:b/>
        </w:rPr>
      </w:pPr>
      <w:r w:rsidRPr="006C5B94">
        <w:rPr>
          <w:b/>
        </w:rPr>
        <w:t xml:space="preserve">Figure 3: nearly all students in Australia have access to a fee loan, in contrast to </w:t>
      </w:r>
      <w:r w:rsidR="007779C1" w:rsidRPr="006C5B94">
        <w:rPr>
          <w:b/>
        </w:rPr>
        <w:t>England</w:t>
      </w:r>
    </w:p>
    <w:p w14:paraId="3BCAA716" w14:textId="77777777" w:rsidR="00205854" w:rsidRPr="006C5B94" w:rsidRDefault="00205854" w:rsidP="003427B4">
      <w:pPr>
        <w:ind w:left="709"/>
      </w:pPr>
      <w:r w:rsidRPr="006C5B94">
        <w:rPr>
          <w:noProof/>
          <w:lang w:val="en-US"/>
        </w:rPr>
        <w:drawing>
          <wp:inline distT="0" distB="0" distL="0" distR="0" wp14:anchorId="7C8110BB" wp14:editId="7E6BCDF7">
            <wp:extent cx="4286250" cy="2343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1195" cy="2345853"/>
                    </a:xfrm>
                    <a:prstGeom prst="rect">
                      <a:avLst/>
                    </a:prstGeom>
                    <a:noFill/>
                  </pic:spPr>
                </pic:pic>
              </a:graphicData>
            </a:graphic>
          </wp:inline>
        </w:drawing>
      </w:r>
    </w:p>
    <w:p w14:paraId="6878C045" w14:textId="76AE4B81" w:rsidR="002665FF" w:rsidRDefault="00D36AF9" w:rsidP="00CC4044">
      <w:pPr>
        <w:ind w:left="-426"/>
      </w:pPr>
      <w:r>
        <w:t>Given</w:t>
      </w:r>
      <w:r w:rsidR="00CC4044" w:rsidRPr="006C5B94">
        <w:t xml:space="preserve"> that upfront cost is detrimental to access to HE for those from </w:t>
      </w:r>
      <w:r w:rsidR="00043151">
        <w:t xml:space="preserve">a </w:t>
      </w:r>
      <w:r w:rsidR="00CC4044" w:rsidRPr="006C5B94">
        <w:t>poor background</w:t>
      </w:r>
      <w:sdt>
        <w:sdtPr>
          <w:id w:val="571394795"/>
          <w:citation/>
        </w:sdtPr>
        <w:sdtEndPr/>
        <w:sdtContent>
          <w:r w:rsidR="0050109D">
            <w:fldChar w:fldCharType="begin"/>
          </w:r>
          <w:r w:rsidR="0050109D">
            <w:instrText xml:space="preserve">CITATION IFS10 \l 2057 </w:instrText>
          </w:r>
          <w:r w:rsidR="0050109D">
            <w:fldChar w:fldCharType="separate"/>
          </w:r>
          <w:r w:rsidR="0050109D">
            <w:rPr>
              <w:noProof/>
            </w:rPr>
            <w:t xml:space="preserve"> (IFS, 2010)</w:t>
          </w:r>
          <w:r w:rsidR="0050109D">
            <w:fldChar w:fldCharType="end"/>
          </w:r>
        </w:sdtContent>
      </w:sdt>
      <w:r w:rsidR="00CC4044" w:rsidRPr="006C5B94">
        <w:t xml:space="preserve">, </w:t>
      </w:r>
      <w:r w:rsidR="007779C1" w:rsidRPr="006C5B94">
        <w:t>England</w:t>
      </w:r>
      <w:r w:rsidR="00CC4044" w:rsidRPr="006C5B94">
        <w:t xml:space="preserve"> should be experiencing lower participation from non-traditional entrants in</w:t>
      </w:r>
      <w:r>
        <w:t>to postgraduate and non-subsidised undergraduate p</w:t>
      </w:r>
      <w:r w:rsidR="000C71C7">
        <w:t>la</w:t>
      </w:r>
      <w:r>
        <w:t>ces,</w:t>
      </w:r>
      <w:r w:rsidR="00CC4044" w:rsidRPr="006C5B94">
        <w:t xml:space="preserve"> whereas Australia should not be experiencing these iss</w:t>
      </w:r>
      <w:r w:rsidR="002665FF">
        <w:t>ues.</w:t>
      </w:r>
      <w:r w:rsidR="00F47E15">
        <w:t xml:space="preserve"> </w:t>
      </w:r>
    </w:p>
    <w:p w14:paraId="7B7509A1" w14:textId="408A7227" w:rsidR="00CC4044" w:rsidRPr="006C5B94" w:rsidRDefault="002665FF" w:rsidP="00CC4044">
      <w:pPr>
        <w:ind w:left="-426"/>
      </w:pPr>
      <w:r>
        <w:t>T</w:t>
      </w:r>
      <w:r w:rsidR="00CC4044" w:rsidRPr="006C5B94">
        <w:t xml:space="preserve">he experience in </w:t>
      </w:r>
      <w:r w:rsidR="007779C1" w:rsidRPr="006C5B94">
        <w:t>England</w:t>
      </w:r>
      <w:r w:rsidR="00CC4044" w:rsidRPr="006C5B94">
        <w:t xml:space="preserve"> is a complicated</w:t>
      </w:r>
      <w:r w:rsidR="000C71C7">
        <w:t xml:space="preserve"> one</w:t>
      </w:r>
      <w:r w:rsidR="00CC4044" w:rsidRPr="006C5B94">
        <w:t>. We know that applications from students from poor background</w:t>
      </w:r>
      <w:r>
        <w:t>s have</w:t>
      </w:r>
      <w:r w:rsidR="00CC4044" w:rsidRPr="006C5B94">
        <w:t xml:space="preserve"> actually increased despite an increase to </w:t>
      </w:r>
      <w:r>
        <w:t xml:space="preserve">a </w:t>
      </w:r>
      <w:r w:rsidR="00CC4044" w:rsidRPr="006C5B94">
        <w:t xml:space="preserve">£9,000 fee but this is just amongst young, full-time, first time undergraduate entrants – i.e. those students </w:t>
      </w:r>
      <w:r w:rsidR="00043151">
        <w:t>who</w:t>
      </w:r>
      <w:r w:rsidR="00CC4044" w:rsidRPr="006C5B94">
        <w:t xml:space="preserve"> can access a Government subsidised fee loan. Whilst this is an important validation of the ability to increase fees without damaging access </w:t>
      </w:r>
      <w:r w:rsidR="00043151">
        <w:t>by</w:t>
      </w:r>
      <w:r w:rsidR="00CC4044" w:rsidRPr="006C5B94">
        <w:t xml:space="preserve"> the method of income-contingent fee loans, this does not </w:t>
      </w:r>
      <w:r>
        <w:t xml:space="preserve">reflect </w:t>
      </w:r>
      <w:r w:rsidR="00CC4044" w:rsidRPr="006C5B94">
        <w:t>the other parts of the system where students do not have access to these loans.</w:t>
      </w:r>
    </w:p>
    <w:p w14:paraId="159AA25B" w14:textId="0961595F" w:rsidR="001A52DA" w:rsidRDefault="00043151" w:rsidP="00CC4044">
      <w:pPr>
        <w:ind w:left="-426"/>
      </w:pPr>
      <w:r>
        <w:t>For</w:t>
      </w:r>
      <w:r w:rsidR="00CC4044" w:rsidRPr="006C5B94">
        <w:t xml:space="preserve"> postgraduate students, the picture is complicated for a number of reasons. First and foremost, we are yet to see any student graduate from the new £9,000 system that started in September 2012 entry.</w:t>
      </w:r>
      <w:r w:rsidR="00F47E15">
        <w:t xml:space="preserve"> </w:t>
      </w:r>
      <w:r w:rsidR="00CC4044" w:rsidRPr="006C5B94">
        <w:t>Whilst we can speculate about the behaviour of students carrying an increased fee loan, we do not know with certainty how these graduates will behave. Second, we are used to a postgraduate market in which students have to pay the fee upfront – usually for a 1 year postgraduate taught degree.</w:t>
      </w:r>
      <w:r w:rsidR="00F47E15">
        <w:t xml:space="preserve"> </w:t>
      </w:r>
      <w:r w:rsidR="00CC4044" w:rsidRPr="006C5B94">
        <w:t>And whilst postgraduate fees have gone up slightly since 2012</w:t>
      </w:r>
      <w:r w:rsidR="00CC4044" w:rsidRPr="006C5B94">
        <w:rPr>
          <w:rStyle w:val="FootnoteReference"/>
        </w:rPr>
        <w:footnoteReference w:id="8"/>
      </w:r>
      <w:r w:rsidR="00CC4044" w:rsidRPr="006C5B94">
        <w:t xml:space="preserve">, they have certainly not trebled and are unlikely to suddenly do so in 2015 when the first year of 2012 students graduate. In some ways, therefore, the market for postgraduates is unlikely to </w:t>
      </w:r>
      <w:r w:rsidR="001605CC" w:rsidRPr="006C5B94">
        <w:t>experience</w:t>
      </w:r>
      <w:r w:rsidR="00CC4044" w:rsidRPr="006C5B94">
        <w:t xml:space="preserve"> a sudden shock</w:t>
      </w:r>
      <w:r w:rsidR="001605CC" w:rsidRPr="006C5B94">
        <w:t xml:space="preserve"> in 2015</w:t>
      </w:r>
      <w:r w:rsidR="00CC4044" w:rsidRPr="006C5B94">
        <w:t xml:space="preserve">. </w:t>
      </w:r>
    </w:p>
    <w:p w14:paraId="5D561DBA" w14:textId="22A2BF7E" w:rsidR="001A52DA" w:rsidRDefault="001A52DA" w:rsidP="001029AF">
      <w:pPr>
        <w:ind w:left="-426"/>
      </w:pPr>
      <w:r>
        <w:t>Thirdly</w:t>
      </w:r>
      <w:r w:rsidR="001605CC" w:rsidRPr="006C5B94">
        <w:t>, we</w:t>
      </w:r>
      <w:r>
        <w:t xml:space="preserve"> are only at the early stages of </w:t>
      </w:r>
      <w:r w:rsidR="001605CC" w:rsidRPr="006C5B94">
        <w:t>develop</w:t>
      </w:r>
      <w:r>
        <w:t xml:space="preserve">ing credible measures </w:t>
      </w:r>
      <w:r w:rsidR="001605CC" w:rsidRPr="006C5B94">
        <w:t xml:space="preserve">of deprivation </w:t>
      </w:r>
      <w:r>
        <w:t>for postgraduate students and therefore it is difficult</w:t>
      </w:r>
      <w:r w:rsidR="001605CC" w:rsidRPr="006C5B94">
        <w:t xml:space="preserve"> to know the impact of these changes on access to postgraduate education for certain. </w:t>
      </w:r>
      <w:r>
        <w:t xml:space="preserve">A recent study by Dr Paul </w:t>
      </w:r>
      <w:proofErr w:type="spellStart"/>
      <w:r>
        <w:t>Wakeling</w:t>
      </w:r>
      <w:proofErr w:type="spellEnd"/>
      <w:r>
        <w:t xml:space="preserve"> (</w:t>
      </w:r>
      <w:proofErr w:type="spellStart"/>
      <w:r>
        <w:t>Wakeling</w:t>
      </w:r>
      <w:proofErr w:type="spellEnd"/>
      <w:r>
        <w:t>, 2013)</w:t>
      </w:r>
      <w:r w:rsidR="001029AF">
        <w:t xml:space="preserve"> looked</w:t>
      </w:r>
      <w:r>
        <w:t xml:space="preserve"> at the factors associated with transition to pos</w:t>
      </w:r>
      <w:r w:rsidR="001029AF">
        <w:t>tgraduate study. It looked</w:t>
      </w:r>
      <w:r>
        <w:t xml:space="preserve"> at subject, geographical location, financial and demographic factors for UK and EU domiciled graduates only</w:t>
      </w:r>
      <w:r w:rsidR="001029AF">
        <w:t xml:space="preserve">. </w:t>
      </w:r>
      <w:r>
        <w:t>What evidence exists on progression to postgraduate study suggests that those with greater financial resources are more likely to gain a postgraduate qualification and that holders of these qualifications have continued to benefit from an earnings premium over time. This raises serious questions about social mobility.</w:t>
      </w:r>
      <w:r w:rsidR="001029AF">
        <w:t xml:space="preserve"> </w:t>
      </w:r>
      <w:r>
        <w:t>The study finds slight disparity between students in different socio economic groups and significant disparities between different ethnic backgrounds. Regardless of background there was little differentiation in how students paid for their postgraduate study – with 80% of students financing their degree privately.</w:t>
      </w:r>
    </w:p>
    <w:p w14:paraId="53FF5B46" w14:textId="2D173928" w:rsidR="00CC4044" w:rsidRPr="006C5B94" w:rsidRDefault="0033309F" w:rsidP="00CC4044">
      <w:pPr>
        <w:ind w:left="-426"/>
      </w:pPr>
      <w:r>
        <w:t>At this stage, o</w:t>
      </w:r>
      <w:r w:rsidR="001605CC" w:rsidRPr="006C5B94">
        <w:t xml:space="preserve">ne </w:t>
      </w:r>
      <w:r>
        <w:t>can only</w:t>
      </w:r>
      <w:r w:rsidR="001605CC" w:rsidRPr="006C5B94">
        <w:t xml:space="preserve"> speculate about the</w:t>
      </w:r>
      <w:r w:rsidR="001029AF">
        <w:t xml:space="preserve"> 2012 cohort of entrants that will graduate in 2015 and about</w:t>
      </w:r>
      <w:r w:rsidR="001605CC" w:rsidRPr="006C5B94">
        <w:t xml:space="preserve"> likelihood of a student from a poor background carrying high levels of debt on graduation being able to pay the upfront cost (or take out a private loan) for a postgraduate</w:t>
      </w:r>
      <w:r>
        <w:t xml:space="preserve"> qualification</w:t>
      </w:r>
      <w:r w:rsidR="001605CC" w:rsidRPr="006C5B94">
        <w:t>.</w:t>
      </w:r>
      <w:r w:rsidR="00F47E15">
        <w:t xml:space="preserve"> </w:t>
      </w:r>
      <w:r w:rsidR="00CD4950">
        <w:t>Gi</w:t>
      </w:r>
      <w:r w:rsidR="001029AF">
        <w:t>ven existing access issues for postgraduate students and</w:t>
      </w:r>
      <w:r w:rsidR="00CD4950">
        <w:t xml:space="preserve"> reduced availability of Government supported career development loans from banks in England, it could be argued that there is likely to be</w:t>
      </w:r>
      <w:r w:rsidR="00F47E15">
        <w:t xml:space="preserve"> even more</w:t>
      </w:r>
      <w:r w:rsidR="00CD4950">
        <w:t xml:space="preserve"> underinvestment in taught postgraduate </w:t>
      </w:r>
      <w:r w:rsidR="001029AF">
        <w:t xml:space="preserve">from 2015 </w:t>
      </w:r>
      <w:r w:rsidR="00CD4950">
        <w:t xml:space="preserve">but this would be </w:t>
      </w:r>
      <w:r w:rsidR="001029AF">
        <w:t>difficult</w:t>
      </w:r>
      <w:r w:rsidR="00CD4950">
        <w:t xml:space="preserve"> to demonstrate</w:t>
      </w:r>
      <w:r w:rsidR="001029AF">
        <w:t xml:space="preserve"> beyond doubt</w:t>
      </w:r>
      <w:r w:rsidR="00CD4950">
        <w:t>.</w:t>
      </w:r>
    </w:p>
    <w:p w14:paraId="065D7AF4" w14:textId="1E066869" w:rsidR="00CC101B" w:rsidRPr="006C5B94" w:rsidRDefault="00CD4950" w:rsidP="00CC4044">
      <w:pPr>
        <w:ind w:left="-426"/>
      </w:pPr>
      <w:r>
        <w:t>Australia has</w:t>
      </w:r>
      <w:r w:rsidR="00CC101B" w:rsidRPr="006C5B94">
        <w:t xml:space="preserve"> removed the risk of </w:t>
      </w:r>
      <w:r w:rsidR="002665FF">
        <w:t>upfront cost</w:t>
      </w:r>
      <w:r w:rsidR="0030441E">
        <w:t>s</w:t>
      </w:r>
      <w:r w:rsidR="002665FF">
        <w:t xml:space="preserve"> reducing applications from poorer students </w:t>
      </w:r>
      <w:r w:rsidR="00CC101B" w:rsidRPr="006C5B94">
        <w:t xml:space="preserve">by ensuring that all postgraduate students can access a fee loan. Except for those who are seriously debt averse, we know this will remove the </w:t>
      </w:r>
      <w:r w:rsidR="0030441E" w:rsidRPr="006C5B94">
        <w:t>obstacle</w:t>
      </w:r>
      <w:r w:rsidR="00CC101B" w:rsidRPr="006C5B94">
        <w:t xml:space="preserve"> of upfront cost and affordability – still the main barrier </w:t>
      </w:r>
      <w:r w:rsidR="0030441E">
        <w:t>to</w:t>
      </w:r>
      <w:r w:rsidR="00CC101B" w:rsidRPr="006C5B94">
        <w:t xml:space="preserve"> access to some forms of HE in </w:t>
      </w:r>
      <w:r w:rsidR="007779C1" w:rsidRPr="006C5B94">
        <w:t>England</w:t>
      </w:r>
      <w:r w:rsidR="00CC101B" w:rsidRPr="006C5B94">
        <w:t xml:space="preserve">. </w:t>
      </w:r>
    </w:p>
    <w:p w14:paraId="4B42930B" w14:textId="34883B45" w:rsidR="00771869" w:rsidRPr="006C5B94" w:rsidRDefault="00771869" w:rsidP="00CC4044">
      <w:pPr>
        <w:ind w:left="-426"/>
      </w:pPr>
      <w:r w:rsidRPr="006C5B94">
        <w:t xml:space="preserve">For part-time and mature students </w:t>
      </w:r>
      <w:r w:rsidR="00CD4950">
        <w:t>who</w:t>
      </w:r>
      <w:r w:rsidRPr="006C5B94">
        <w:t xml:space="preserve"> cannot access a fee-loan because they are either studying at a low intensity or are re-training when they already hold a degree qualification or higher, the picture does not look good.</w:t>
      </w:r>
      <w:r w:rsidR="00F47E15">
        <w:t xml:space="preserve"> </w:t>
      </w:r>
      <w:r w:rsidRPr="006C5B94">
        <w:t xml:space="preserve">We know there was a 40% drop </w:t>
      </w:r>
      <w:r w:rsidR="0030441E">
        <w:t>in</w:t>
      </w:r>
      <w:r w:rsidRPr="006C5B94">
        <w:t xml:space="preserve"> part-time </w:t>
      </w:r>
      <w:r w:rsidR="00055E77">
        <w:t>entrants</w:t>
      </w:r>
      <w:r w:rsidRPr="006C5B94">
        <w:t xml:space="preserve"> in </w:t>
      </w:r>
      <w:r w:rsidR="007779C1" w:rsidRPr="006C5B94">
        <w:t>England</w:t>
      </w:r>
      <w:r w:rsidRPr="006C5B94">
        <w:t xml:space="preserve"> over just two years from 2011-13</w:t>
      </w:r>
      <w:r w:rsidR="00601982" w:rsidRPr="006C5B94">
        <w:t xml:space="preserve"> </w:t>
      </w:r>
      <w:r w:rsidR="00601982" w:rsidRPr="006C5B94">
        <w:rPr>
          <w:noProof/>
        </w:rPr>
        <w:t>(UUK, 2013</w:t>
      </w:r>
      <w:r w:rsidR="00A9209F">
        <w:rPr>
          <w:noProof/>
        </w:rPr>
        <w:t>c</w:t>
      </w:r>
      <w:r w:rsidR="00601982" w:rsidRPr="006C5B94">
        <w:rPr>
          <w:noProof/>
        </w:rPr>
        <w:t>)</w:t>
      </w:r>
      <w:r w:rsidRPr="006C5B94">
        <w:t xml:space="preserve">. </w:t>
      </w:r>
      <w:r w:rsidR="007C65A2" w:rsidRPr="006C5B94">
        <w:t>Whilst this snap shot is by no means the whole picture (for example, much of this drop happened the year before higher fees were introduced in 2012), it is difficult to deny that higher fees, where combined with restricted access to fee loans, ha</w:t>
      </w:r>
      <w:r w:rsidR="0030441E">
        <w:t>ve</w:t>
      </w:r>
      <w:r w:rsidR="007C65A2" w:rsidRPr="006C5B94">
        <w:t xml:space="preserve"> reduced participation amongst some of the most non-traditional and hard to reach students. How much of this was due to poor information or </w:t>
      </w:r>
      <w:r w:rsidR="007D3CED" w:rsidRPr="006C5B94">
        <w:t xml:space="preserve">other supply and demand factors (e.g. economic downturn in </w:t>
      </w:r>
      <w:r w:rsidR="007779C1" w:rsidRPr="006C5B94">
        <w:t>England</w:t>
      </w:r>
      <w:r w:rsidR="007D3CED" w:rsidRPr="006C5B94">
        <w:t xml:space="preserve">) is almost impossible to ascertain but the outcome is irrefutable. </w:t>
      </w:r>
    </w:p>
    <w:p w14:paraId="030B9AEA" w14:textId="700A0848" w:rsidR="009C6BBE" w:rsidRDefault="007D3CED" w:rsidP="007B7472">
      <w:pPr>
        <w:ind w:left="-426"/>
      </w:pPr>
      <w:r w:rsidRPr="006C5B94">
        <w:t xml:space="preserve">Again, the Australian system avoids these issues by offering a lifetime loan allocation through </w:t>
      </w:r>
      <w:r w:rsidR="00C03E5F">
        <w:t>FEE-HELP</w:t>
      </w:r>
      <w:r w:rsidRPr="006C5B94">
        <w:t xml:space="preserve">. I am not suggesting the Australian system </w:t>
      </w:r>
      <w:r w:rsidR="00CD4950">
        <w:t>has no</w:t>
      </w:r>
      <w:r w:rsidRPr="006C5B94">
        <w:t xml:space="preserve"> access</w:t>
      </w:r>
      <w:r w:rsidR="00A23DEF">
        <w:t xml:space="preserve"> issues. People from low socio economic st</w:t>
      </w:r>
      <w:r w:rsidR="00F11C83">
        <w:t>atus backgrounds, Indigenous</w:t>
      </w:r>
      <w:r w:rsidR="00A23DEF">
        <w:t xml:space="preserve"> Australians and students from rural and isolated areas remain seriously under</w:t>
      </w:r>
      <w:r w:rsidR="00F47E15">
        <w:t>-</w:t>
      </w:r>
      <w:r w:rsidR="00A23DEF">
        <w:t xml:space="preserve">represented in higher education, </w:t>
      </w:r>
      <w:r w:rsidRPr="006C5B94">
        <w:t xml:space="preserve">but these access issues </w:t>
      </w:r>
      <w:r w:rsidR="00A23DEF">
        <w:t>do not stem from a lack of</w:t>
      </w:r>
      <w:r w:rsidRPr="006C5B94">
        <w:t xml:space="preserve"> access to financial support to cover the upfront cost of studying.</w:t>
      </w:r>
    </w:p>
    <w:p w14:paraId="396A20DA" w14:textId="77777777" w:rsidR="007B7472" w:rsidRPr="006C5B94" w:rsidRDefault="007B7472" w:rsidP="007B7472">
      <w:pPr>
        <w:ind w:left="-426"/>
      </w:pPr>
    </w:p>
    <w:tbl>
      <w:tblPr>
        <w:tblStyle w:val="LightShading-Accent2"/>
        <w:tblW w:w="0" w:type="auto"/>
        <w:tblLook w:val="04A0" w:firstRow="1" w:lastRow="0" w:firstColumn="1" w:lastColumn="0" w:noHBand="0" w:noVBand="1"/>
      </w:tblPr>
      <w:tblGrid>
        <w:gridCol w:w="9014"/>
      </w:tblGrid>
      <w:tr w:rsidR="009C6BBE" w:rsidRPr="006C5B94" w14:paraId="6F147110" w14:textId="77777777" w:rsidTr="009C6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4" w:type="dxa"/>
          </w:tcPr>
          <w:p w14:paraId="6F42C1DF" w14:textId="77777777" w:rsidR="009C6BBE" w:rsidRPr="006C5B94" w:rsidRDefault="00251DE7" w:rsidP="00E74A89">
            <w:pPr>
              <w:ind w:left="142"/>
            </w:pPr>
            <w:r>
              <w:t>2</w:t>
            </w:r>
            <w:r w:rsidR="009C6BBE" w:rsidRPr="006C5B94">
              <w:t>/ If England is</w:t>
            </w:r>
            <w:r w:rsidR="00EF16B8">
              <w:t xml:space="preserve"> concerned about the upfront cost of studying for postgraduate and many part-time or second chance students, Australia is an excellent place to start</w:t>
            </w:r>
            <w:r w:rsidR="009C6BBE" w:rsidRPr="006C5B94">
              <w:t xml:space="preserve"> looking</w:t>
            </w:r>
            <w:r w:rsidR="001D1D07">
              <w:t>.</w:t>
            </w:r>
            <w:r w:rsidR="009C6BBE" w:rsidRPr="006C5B94">
              <w:t xml:space="preserve"> </w:t>
            </w:r>
            <w:r w:rsidR="001D1D07">
              <w:t>T</w:t>
            </w:r>
            <w:r w:rsidR="00EF16B8">
              <w:t>hey have been able to</w:t>
            </w:r>
            <w:r w:rsidR="009C6BBE" w:rsidRPr="006C5B94">
              <w:t xml:space="preserve"> provide financial support for </w:t>
            </w:r>
            <w:r w:rsidR="00E74A89">
              <w:t>these</w:t>
            </w:r>
            <w:r w:rsidR="00A23DEF">
              <w:t xml:space="preserve"> students at minimal</w:t>
            </w:r>
            <w:r w:rsidR="009C6BBE" w:rsidRPr="006C5B94">
              <w:t xml:space="preserve"> cost to Go</w:t>
            </w:r>
            <w:r w:rsidR="00EF16B8">
              <w:t>vernment</w:t>
            </w:r>
            <w:r w:rsidR="00403D57">
              <w:t>; for undergraduate students that cannot access</w:t>
            </w:r>
            <w:r w:rsidR="009C439B">
              <w:t xml:space="preserve"> publicly subsidised places, a</w:t>
            </w:r>
            <w:r w:rsidR="00403D57">
              <w:t xml:space="preserve"> loan is available</w:t>
            </w:r>
            <w:r w:rsidR="00A23DEF">
              <w:t xml:space="preserve"> at virtually zero cost</w:t>
            </w:r>
            <w:r w:rsidR="00403D57">
              <w:t xml:space="preserve"> to Government</w:t>
            </w:r>
            <w:r w:rsidR="00EF16B8">
              <w:t>.</w:t>
            </w:r>
          </w:p>
        </w:tc>
      </w:tr>
    </w:tbl>
    <w:p w14:paraId="7E4256B0" w14:textId="77777777" w:rsidR="009C6BBE" w:rsidRPr="006C5B94" w:rsidRDefault="009C6BBE" w:rsidP="006B747D">
      <w:pPr>
        <w:ind w:left="-426"/>
      </w:pPr>
    </w:p>
    <w:p w14:paraId="5204A316" w14:textId="77777777" w:rsidR="006B747D" w:rsidRPr="006C5B94" w:rsidRDefault="00CC2C6B" w:rsidP="009300F0">
      <w:pPr>
        <w:pStyle w:val="Heading2"/>
        <w:ind w:left="-426"/>
        <w:rPr>
          <w:color w:val="0070C0"/>
        </w:rPr>
      </w:pPr>
      <w:bookmarkStart w:id="7" w:name="_Toc259883094"/>
      <w:r w:rsidRPr="006C5B94">
        <w:t>Flows of public and private investment: the Government’s perspective</w:t>
      </w:r>
      <w:bookmarkEnd w:id="7"/>
    </w:p>
    <w:p w14:paraId="16F1544B" w14:textId="2798B364" w:rsidR="00CC2C6B" w:rsidRPr="006C5B94" w:rsidRDefault="006447A0" w:rsidP="00CC2C6B">
      <w:pPr>
        <w:ind w:left="-426"/>
      </w:pPr>
      <w:r w:rsidRPr="006C5B94">
        <w:t>It is important to recognise that whilst</w:t>
      </w:r>
      <w:r w:rsidR="00460BE8" w:rsidRPr="006C5B94">
        <w:t xml:space="preserve"> </w:t>
      </w:r>
      <w:r w:rsidR="0030441E">
        <w:t xml:space="preserve">the </w:t>
      </w:r>
      <w:r w:rsidR="00460BE8" w:rsidRPr="006C5B94">
        <w:t>difference</w:t>
      </w:r>
      <w:r w:rsidR="00CC2C6B" w:rsidRPr="006C5B94">
        <w:t xml:space="preserve"> in access to fee</w:t>
      </w:r>
      <w:r w:rsidRPr="006C5B94">
        <w:t xml:space="preserve"> loans between the two systems is </w:t>
      </w:r>
      <w:r w:rsidR="00CC2C6B" w:rsidRPr="006C5B94">
        <w:t xml:space="preserve">significant for the student, </w:t>
      </w:r>
      <w:r w:rsidRPr="006C5B94">
        <w:t xml:space="preserve">it </w:t>
      </w:r>
      <w:r w:rsidR="00CC2C6B" w:rsidRPr="006C5B94">
        <w:t xml:space="preserve">makes very little difference to the </w:t>
      </w:r>
      <w:r w:rsidR="00460BE8" w:rsidRPr="006C5B94">
        <w:t>flow or balance of private / public investment</w:t>
      </w:r>
      <w:r w:rsidR="00CC2C6B" w:rsidRPr="006C5B94">
        <w:t xml:space="preserve"> from the Government’s perspective. This is</w:t>
      </w:r>
      <w:r w:rsidR="00460BE8" w:rsidRPr="006C5B94">
        <w:t xml:space="preserve"> becau</w:t>
      </w:r>
      <w:r w:rsidR="00CC2C6B" w:rsidRPr="006C5B94">
        <w:t xml:space="preserve">se the </w:t>
      </w:r>
      <w:r w:rsidR="00C03E5F">
        <w:t>FEE-HELP</w:t>
      </w:r>
      <w:r w:rsidR="00CC2C6B" w:rsidRPr="006C5B94">
        <w:t xml:space="preserve"> system</w:t>
      </w:r>
      <w:r w:rsidR="001D0E77">
        <w:t xml:space="preserve"> in Australia</w:t>
      </w:r>
      <w:r w:rsidR="00CC2C6B" w:rsidRPr="006C5B94">
        <w:t xml:space="preserve"> carries </w:t>
      </w:r>
      <w:r w:rsidR="00A23DEF">
        <w:t>minimal</w:t>
      </w:r>
      <w:r w:rsidR="00CC2C6B" w:rsidRPr="006C5B94">
        <w:t xml:space="preserve"> public subsidy</w:t>
      </w:r>
      <w:r w:rsidR="001D0E77">
        <w:t xml:space="preserve"> (see Chapter 4 for more detail on loan design)</w:t>
      </w:r>
      <w:r w:rsidR="00CC2C6B" w:rsidRPr="006C5B94">
        <w:t xml:space="preserve">. </w:t>
      </w:r>
    </w:p>
    <w:p w14:paraId="433B77CB" w14:textId="6AECC33F" w:rsidR="00B753E3" w:rsidRPr="006C5B94" w:rsidRDefault="00CC2C6B" w:rsidP="00B753E3">
      <w:pPr>
        <w:ind w:left="-426"/>
      </w:pPr>
      <w:r w:rsidRPr="006C5B94">
        <w:t xml:space="preserve">From the Government’s perspective, there are </w:t>
      </w:r>
      <w:r w:rsidR="009710F2" w:rsidRPr="006C5B94">
        <w:t>five</w:t>
      </w:r>
      <w:r w:rsidR="00347FE4" w:rsidRPr="006C5B94">
        <w:t xml:space="preserve"> main types </w:t>
      </w:r>
      <w:r w:rsidRPr="006C5B94">
        <w:t xml:space="preserve">of </w:t>
      </w:r>
      <w:r w:rsidR="00B753E3" w:rsidRPr="006C5B94">
        <w:t>inves</w:t>
      </w:r>
      <w:r w:rsidR="00C83B73">
        <w:t xml:space="preserve">tment that need </w:t>
      </w:r>
      <w:r w:rsidR="001D0E77">
        <w:t>consider</w:t>
      </w:r>
      <w:r w:rsidR="00C83B73">
        <w:t>ing</w:t>
      </w:r>
      <w:r w:rsidR="001D0E77">
        <w:t>; two</w:t>
      </w:r>
      <w:r w:rsidR="00B753E3" w:rsidRPr="006C5B94">
        <w:t xml:space="preserve"> private and three public. They are as follows:</w:t>
      </w:r>
    </w:p>
    <w:p w14:paraId="5B6F8993" w14:textId="20E128D2" w:rsidR="00B753E3" w:rsidRPr="006C5B94" w:rsidRDefault="00B753E3" w:rsidP="00B753E3">
      <w:pPr>
        <w:ind w:left="-426"/>
      </w:pPr>
      <w:r w:rsidRPr="006C5B94">
        <w:rPr>
          <w:b/>
        </w:rPr>
        <w:t xml:space="preserve">1/ Private </w:t>
      </w:r>
      <w:r w:rsidR="007C3249" w:rsidRPr="006C5B94">
        <w:rPr>
          <w:b/>
        </w:rPr>
        <w:t>investment</w:t>
      </w:r>
      <w:r w:rsidR="009710F2" w:rsidRPr="006C5B94">
        <w:t xml:space="preserve">, </w:t>
      </w:r>
      <w:r w:rsidR="009710F2" w:rsidRPr="006C5B94">
        <w:rPr>
          <w:b/>
        </w:rPr>
        <w:t>fee loan</w:t>
      </w:r>
      <w:r w:rsidR="009710F2" w:rsidRPr="006C5B94">
        <w:t xml:space="preserve"> </w:t>
      </w:r>
      <w:r w:rsidR="007C3249" w:rsidRPr="006C5B94">
        <w:t xml:space="preserve">– </w:t>
      </w:r>
      <w:r w:rsidRPr="006C5B94">
        <w:t>this refers</w:t>
      </w:r>
      <w:r w:rsidR="007C3249" w:rsidRPr="006C5B94">
        <w:t xml:space="preserve"> </w:t>
      </w:r>
      <w:r w:rsidRPr="006C5B94">
        <w:t>to the loan repayments made by graduates through the tax system.</w:t>
      </w:r>
      <w:r w:rsidR="00F47E15">
        <w:t xml:space="preserve"> </w:t>
      </w:r>
      <w:r w:rsidR="009710F2" w:rsidRPr="006C5B94">
        <w:t>It is the percentage</w:t>
      </w:r>
      <w:r w:rsidRPr="006C5B94">
        <w:t xml:space="preserve"> of the fee loan that will be repaid within 30 years. In both system</w:t>
      </w:r>
      <w:r w:rsidR="009710F2" w:rsidRPr="006C5B94">
        <w:t>s</w:t>
      </w:r>
      <w:r w:rsidRPr="006C5B94">
        <w:t xml:space="preserve">, </w:t>
      </w:r>
      <w:r w:rsidR="007C3249" w:rsidRPr="006C5B94">
        <w:t>fee loans that will be repaid sit</w:t>
      </w:r>
      <w:r w:rsidRPr="006C5B94">
        <w:t xml:space="preserve"> on the books as a </w:t>
      </w:r>
      <w:r w:rsidR="00A02BCB" w:rsidRPr="006C5B94">
        <w:t>long-term</w:t>
      </w:r>
      <w:r w:rsidRPr="006C5B94">
        <w:t xml:space="preserve"> asset due to similar accrual accounting methods used in both countries</w:t>
      </w:r>
      <w:sdt>
        <w:sdtPr>
          <w:id w:val="881531384"/>
          <w:citation/>
        </w:sdtPr>
        <w:sdtEndPr/>
        <w:sdtContent>
          <w:r w:rsidR="00332BFD" w:rsidRPr="006C5B94">
            <w:fldChar w:fldCharType="begin"/>
          </w:r>
          <w:r w:rsidR="00332BFD" w:rsidRPr="006C5B94">
            <w:instrText xml:space="preserve"> CITATION Cha06 \l 2057 </w:instrText>
          </w:r>
          <w:r w:rsidR="00332BFD" w:rsidRPr="006C5B94">
            <w:fldChar w:fldCharType="separate"/>
          </w:r>
          <w:r w:rsidR="00332BFD" w:rsidRPr="006C5B94">
            <w:rPr>
              <w:noProof/>
            </w:rPr>
            <w:t xml:space="preserve"> (Champoux, 2006)</w:t>
          </w:r>
          <w:r w:rsidR="00332BFD" w:rsidRPr="006C5B94">
            <w:fldChar w:fldCharType="end"/>
          </w:r>
        </w:sdtContent>
      </w:sdt>
      <w:r w:rsidRPr="006C5B94">
        <w:t>.</w:t>
      </w:r>
    </w:p>
    <w:p w14:paraId="60FDBCA5" w14:textId="77777777" w:rsidR="009710F2" w:rsidRPr="006C5B94" w:rsidRDefault="009710F2" w:rsidP="00B753E3">
      <w:pPr>
        <w:ind w:left="-426"/>
      </w:pPr>
      <w:r w:rsidRPr="006C5B94">
        <w:rPr>
          <w:b/>
        </w:rPr>
        <w:t xml:space="preserve">2/ Private investment, direct fee </w:t>
      </w:r>
      <w:r w:rsidRPr="006C5B94">
        <w:t>– the upfront payment of a fee directly to the university</w:t>
      </w:r>
      <w:r w:rsidR="001D0E77">
        <w:t xml:space="preserve"> by those </w:t>
      </w:r>
      <w:r w:rsidR="00A23DEF">
        <w:t>who</w:t>
      </w:r>
      <w:r w:rsidR="001D0E77">
        <w:t xml:space="preserve"> cannot access a fee loan</w:t>
      </w:r>
      <w:r w:rsidRPr="006C5B94">
        <w:t xml:space="preserve">. </w:t>
      </w:r>
    </w:p>
    <w:p w14:paraId="013AE388" w14:textId="10719120" w:rsidR="00B753E3" w:rsidRPr="006C5B94" w:rsidRDefault="009710F2" w:rsidP="00B753E3">
      <w:pPr>
        <w:ind w:left="-426"/>
      </w:pPr>
      <w:r w:rsidRPr="006C5B94">
        <w:rPr>
          <w:b/>
        </w:rPr>
        <w:t>3</w:t>
      </w:r>
      <w:r w:rsidR="00B753E3" w:rsidRPr="006C5B94">
        <w:rPr>
          <w:b/>
        </w:rPr>
        <w:t xml:space="preserve">/ Fee loan subsidy – </w:t>
      </w:r>
      <w:r w:rsidR="00B753E3" w:rsidRPr="006C5B94">
        <w:t>this refer to the subsidy on fee loans that ar</w:t>
      </w:r>
      <w:r w:rsidR="006914CA" w:rsidRPr="006C5B94">
        <w:t>ises from the cost of borrowing including</w:t>
      </w:r>
      <w:r w:rsidR="00B753E3" w:rsidRPr="006C5B94">
        <w:t xml:space="preserve"> non-repayment </w:t>
      </w:r>
      <w:r w:rsidR="006914CA" w:rsidRPr="006C5B94">
        <w:t>(</w:t>
      </w:r>
      <w:r w:rsidR="00B753E3" w:rsidRPr="006C5B94">
        <w:t>for various reasons</w:t>
      </w:r>
      <w:r w:rsidR="006914CA" w:rsidRPr="006C5B94">
        <w:t>)</w:t>
      </w:r>
      <w:r w:rsidR="00B753E3" w:rsidRPr="006C5B94">
        <w:t xml:space="preserve"> and, in Australia’s case, interest rate subsidy. In </w:t>
      </w:r>
      <w:r w:rsidR="007779C1" w:rsidRPr="006C5B94">
        <w:t>England</w:t>
      </w:r>
      <w:r w:rsidR="00B753E3" w:rsidRPr="006C5B94">
        <w:t>, the loan subsidy or ‘RAB charge’</w:t>
      </w:r>
      <w:r w:rsidR="00C352DC" w:rsidRPr="006C5B94">
        <w:rPr>
          <w:rStyle w:val="FootnoteReference"/>
        </w:rPr>
        <w:footnoteReference w:id="9"/>
      </w:r>
      <w:r w:rsidR="00D64B62">
        <w:t xml:space="preserve"> is now estimated at 45</w:t>
      </w:r>
      <w:r w:rsidR="00B753E3" w:rsidRPr="006C5B94">
        <w:t>%</w:t>
      </w:r>
      <w:r w:rsidR="006914CA" w:rsidRPr="006C5B94">
        <w:t xml:space="preserve"> even without an interest rate subsidy</w:t>
      </w:r>
      <w:r w:rsidR="00D26A93" w:rsidRPr="006C5B94">
        <w:rPr>
          <w:rStyle w:val="FootnoteReference"/>
        </w:rPr>
        <w:footnoteReference w:id="10"/>
      </w:r>
      <w:r w:rsidR="006914CA" w:rsidRPr="006C5B94">
        <w:t>. Generous terms and conditions for repayment</w:t>
      </w:r>
      <w:r w:rsidR="001D0E77">
        <w:t xml:space="preserve"> alongside high loan value have</w:t>
      </w:r>
      <w:r w:rsidR="006914CA" w:rsidRPr="006C5B94">
        <w:t xml:space="preserve"> seen the RAB</w:t>
      </w:r>
      <w:r w:rsidR="001D0E77">
        <w:t xml:space="preserve"> charge</w:t>
      </w:r>
      <w:r w:rsidR="006914CA" w:rsidRPr="006C5B94">
        <w:t xml:space="preserve"> rise significantly under the new system. In Australia, </w:t>
      </w:r>
      <w:r w:rsidR="00C03E5F">
        <w:t>HECS-HELP</w:t>
      </w:r>
      <w:r w:rsidR="006914CA" w:rsidRPr="006C5B94">
        <w:t xml:space="preserve"> carries a subsidy of around 25%, which includes an interest rate subsidy. On the </w:t>
      </w:r>
      <w:r w:rsidR="00C03E5F">
        <w:t>FEE-HELP</w:t>
      </w:r>
      <w:r w:rsidR="006914CA" w:rsidRPr="006C5B94">
        <w:t xml:space="preserve"> side the subsidy is virtually zero</w:t>
      </w:r>
      <w:r w:rsidR="00A23DEF">
        <w:t xml:space="preserve"> for undergraduates (because of the surcharge) and around 25% for postgraduates</w:t>
      </w:r>
      <w:r w:rsidR="006914CA" w:rsidRPr="006C5B94">
        <w:t>.</w:t>
      </w:r>
    </w:p>
    <w:p w14:paraId="4B3786DD" w14:textId="1993E177" w:rsidR="00062B79" w:rsidRPr="006C5B94" w:rsidRDefault="009710F2" w:rsidP="00062B79">
      <w:pPr>
        <w:ind w:left="-426"/>
      </w:pPr>
      <w:r w:rsidRPr="006C5B94">
        <w:rPr>
          <w:b/>
        </w:rPr>
        <w:t>4</w:t>
      </w:r>
      <w:r w:rsidR="00DC2BA5" w:rsidRPr="006C5B94">
        <w:rPr>
          <w:b/>
        </w:rPr>
        <w:t>/ Direct Government funding for teaching –</w:t>
      </w:r>
      <w:r w:rsidR="00DC2BA5" w:rsidRPr="006C5B94">
        <w:t xml:space="preserve"> in Australia, this is called ‘base funding’ or Commonwealth funding and </w:t>
      </w:r>
      <w:r w:rsidR="00DC2BA5" w:rsidRPr="000D3C86">
        <w:t xml:space="preserve">accounts for </w:t>
      </w:r>
      <w:r w:rsidR="00F65B49">
        <w:t>an average of</w:t>
      </w:r>
      <w:r w:rsidR="00DC2BA5" w:rsidRPr="000D3C86">
        <w:t xml:space="preserve"> 60% of course cost</w:t>
      </w:r>
      <w:r w:rsidR="00F65B49">
        <w:t xml:space="preserve"> alongside a subsidised student contribution (</w:t>
      </w:r>
      <w:r w:rsidR="00C03E5F" w:rsidRPr="000D3C86">
        <w:t>HECS-HELP</w:t>
      </w:r>
      <w:r w:rsidR="00F65B49">
        <w:t xml:space="preserve">) but </w:t>
      </w:r>
      <w:r w:rsidR="00A23DEF" w:rsidRPr="000D3C86">
        <w:t xml:space="preserve">with the proportion varying </w:t>
      </w:r>
      <w:r w:rsidR="00F65B49">
        <w:t xml:space="preserve">considerably </w:t>
      </w:r>
      <w:r w:rsidR="00A23DEF" w:rsidRPr="000D3C86">
        <w:t>by subject</w:t>
      </w:r>
      <w:r w:rsidR="00DC2BA5" w:rsidRPr="000D3C86">
        <w:t>.</w:t>
      </w:r>
      <w:r w:rsidR="00F65B49">
        <w:t xml:space="preserve"> Most undergraduates are on these subsidised or commonwealth places, as are 40% of postgraduate students.</w:t>
      </w:r>
      <w:r w:rsidR="00DC2BA5" w:rsidRPr="000D3C86">
        <w:t xml:space="preserve"> Other programmes do not re</w:t>
      </w:r>
      <w:r w:rsidR="00404C9C" w:rsidRPr="000D3C86">
        <w:t>ceive base funding (similar to England</w:t>
      </w:r>
      <w:r w:rsidR="00F65B49">
        <w:t xml:space="preserve">). </w:t>
      </w:r>
      <w:r w:rsidR="00DC2BA5" w:rsidRPr="000D3C86">
        <w:t xml:space="preserve">In </w:t>
      </w:r>
      <w:r w:rsidR="007779C1" w:rsidRPr="000D3C86">
        <w:t>England</w:t>
      </w:r>
      <w:r w:rsidR="00DC2BA5" w:rsidRPr="000D3C86">
        <w:t xml:space="preserve"> the £9,000 fee has entirely replaced direct funding for teaching (HEFCE ‘T’) on most undergraduate programmes.</w:t>
      </w:r>
      <w:r w:rsidR="00F47E15">
        <w:t xml:space="preserve"> </w:t>
      </w:r>
      <w:r w:rsidR="00DC2BA5" w:rsidRPr="000D3C86">
        <w:t xml:space="preserve">High cost subjects (over £9,000) receive </w:t>
      </w:r>
      <w:r w:rsidR="00A02BCB" w:rsidRPr="000D3C86">
        <w:t>funding,</w:t>
      </w:r>
      <w:r w:rsidR="00DC2BA5" w:rsidRPr="000D3C86">
        <w:t xml:space="preserve"> as do some postgraduate courses, although the latter is being reduced over time. In </w:t>
      </w:r>
      <w:r w:rsidR="007779C1" w:rsidRPr="000D3C86">
        <w:t>England</w:t>
      </w:r>
      <w:r w:rsidR="00DC2BA5" w:rsidRPr="000D3C86">
        <w:t xml:space="preserve"> there is also a Student Opportunity Fund (similar to a pupil premium) that goes </w:t>
      </w:r>
      <w:r w:rsidR="00DF007C" w:rsidRPr="000D3C86">
        <w:t xml:space="preserve">some way towards the </w:t>
      </w:r>
      <w:r w:rsidR="00DC2BA5" w:rsidRPr="000D3C86">
        <w:t xml:space="preserve">additional cost of </w:t>
      </w:r>
      <w:r w:rsidR="00DF007C" w:rsidRPr="000D3C86">
        <w:t>supporting</w:t>
      </w:r>
      <w:r w:rsidR="00DC2BA5" w:rsidRPr="000D3C86">
        <w:t xml:space="preserve"> non-traditional student</w:t>
      </w:r>
      <w:r w:rsidR="00DF007C" w:rsidRPr="000D3C86">
        <w:t>s to succeed, including into employment.</w:t>
      </w:r>
    </w:p>
    <w:p w14:paraId="2C3D9771" w14:textId="6FD94054" w:rsidR="00CB41D3" w:rsidRPr="006C5B94" w:rsidRDefault="009710F2" w:rsidP="00062B79">
      <w:pPr>
        <w:ind w:left="-426"/>
      </w:pPr>
      <w:r w:rsidRPr="006C5B94">
        <w:rPr>
          <w:b/>
        </w:rPr>
        <w:t>5</w:t>
      </w:r>
      <w:r w:rsidR="00CB41D3" w:rsidRPr="006C5B94">
        <w:rPr>
          <w:b/>
        </w:rPr>
        <w:t>/ Direct Government funding for capital –</w:t>
      </w:r>
      <w:r w:rsidR="00CB41D3" w:rsidRPr="006C5B94">
        <w:t xml:space="preserve"> </w:t>
      </w:r>
      <w:r w:rsidR="006C409E" w:rsidRPr="006C5B94">
        <w:t xml:space="preserve">investment in </w:t>
      </w:r>
      <w:r w:rsidR="00CB41D3" w:rsidRPr="006C5B94">
        <w:t xml:space="preserve">teaching capital is an essential part of </w:t>
      </w:r>
      <w:r w:rsidR="006C409E" w:rsidRPr="006C5B94">
        <w:t>both maintaining and improving facilities designed to support learning in univer</w:t>
      </w:r>
      <w:r w:rsidR="007779C1" w:rsidRPr="006C5B94">
        <w:t>sities. Before 2012, the English</w:t>
      </w:r>
      <w:r w:rsidR="006C409E" w:rsidRPr="006C5B94">
        <w:t xml:space="preserve"> and Australian Government</w:t>
      </w:r>
      <w:r w:rsidR="00F47E15">
        <w:t>s</w:t>
      </w:r>
      <w:r w:rsidR="006C409E" w:rsidRPr="006C5B94">
        <w:t xml:space="preserve"> provided direct investment for capital</w:t>
      </w:r>
      <w:r w:rsidR="00C83B73">
        <w:t xml:space="preserve"> </w:t>
      </w:r>
      <w:r w:rsidR="00436AD4">
        <w:t>as a separate strand alongside</w:t>
      </w:r>
      <w:r w:rsidR="00C83B73">
        <w:t xml:space="preserve"> teaching funding</w:t>
      </w:r>
      <w:r w:rsidR="006C409E" w:rsidRPr="006C5B94">
        <w:t xml:space="preserve">. As part of the reforms in 2012-13, </w:t>
      </w:r>
      <w:r w:rsidR="007779C1" w:rsidRPr="006C5B94">
        <w:t>England</w:t>
      </w:r>
      <w:r w:rsidR="006C409E" w:rsidRPr="006C5B94">
        <w:t xml:space="preserve"> stopped providing this funding – or more accurately, as with direct funding for teaching, this was re-directed into</w:t>
      </w:r>
      <w:r w:rsidR="00A23DEF">
        <w:t xml:space="preserve"> higher</w:t>
      </w:r>
      <w:r w:rsidR="006C409E" w:rsidRPr="006C5B94">
        <w:t xml:space="preserve"> loan subsidy. The intention was for universities to invest in capital from fee income, which they are doing. Interestingly, </w:t>
      </w:r>
      <w:r w:rsidR="007779C1" w:rsidRPr="006C5B94">
        <w:t>England</w:t>
      </w:r>
      <w:r w:rsidR="006C409E" w:rsidRPr="006C5B94">
        <w:t xml:space="preserve"> has just announced a new</w:t>
      </w:r>
      <w:r w:rsidR="00436AD4">
        <w:t>, small</w:t>
      </w:r>
      <w:r w:rsidR="006C409E" w:rsidRPr="006C5B94">
        <w:t xml:space="preserve"> pot of teaching capital funds</w:t>
      </w:r>
      <w:r w:rsidR="00436AD4">
        <w:t xml:space="preserve"> that will be distributed on a formula basis – a creep back towards the old system perhaps</w:t>
      </w:r>
      <w:r w:rsidR="006C409E" w:rsidRPr="006C5B94">
        <w:t xml:space="preserve">. </w:t>
      </w:r>
    </w:p>
    <w:p w14:paraId="51E7901C" w14:textId="56785EAD" w:rsidR="006B747D" w:rsidRPr="006C5B94" w:rsidRDefault="00DF007C" w:rsidP="009C6BBE">
      <w:pPr>
        <w:ind w:left="-426"/>
      </w:pPr>
      <w:r w:rsidRPr="006C5B94">
        <w:t>From the per</w:t>
      </w:r>
      <w:r w:rsidR="001D1D07">
        <w:t>spective of the university, all</w:t>
      </w:r>
      <w:r w:rsidRPr="006C5B94">
        <w:t xml:space="preserve"> streams of funding come from the Government, not the student</w:t>
      </w:r>
      <w:r w:rsidR="00062B79" w:rsidRPr="006C5B94">
        <w:t>, with the exception of upfront fees paid</w:t>
      </w:r>
      <w:r w:rsidR="001D1D07">
        <w:t xml:space="preserve"> (number 2)</w:t>
      </w:r>
      <w:r w:rsidRPr="006C5B94">
        <w:t xml:space="preserve">. In the case of </w:t>
      </w:r>
      <w:r w:rsidR="00F47E15">
        <w:t xml:space="preserve">English </w:t>
      </w:r>
      <w:r w:rsidRPr="006C5B94">
        <w:t xml:space="preserve">fee loans, the money goes through the </w:t>
      </w:r>
      <w:r w:rsidR="003E66D3">
        <w:t>Student Loan Company (</w:t>
      </w:r>
      <w:r w:rsidRPr="006C5B94">
        <w:t>SLC</w:t>
      </w:r>
      <w:r w:rsidR="003E66D3">
        <w:t>)</w:t>
      </w:r>
      <w:r w:rsidR="00062B79" w:rsidRPr="006C5B94">
        <w:t xml:space="preserve"> to the university</w:t>
      </w:r>
      <w:r w:rsidRPr="006C5B94">
        <w:t>.</w:t>
      </w:r>
    </w:p>
    <w:p w14:paraId="3B9055A5" w14:textId="77777777" w:rsidR="006B747D" w:rsidRPr="006C5B94" w:rsidRDefault="00404C9C" w:rsidP="009B1229">
      <w:pPr>
        <w:pStyle w:val="Heading2"/>
        <w:ind w:left="-426"/>
      </w:pPr>
      <w:bookmarkStart w:id="8" w:name="_Toc259883095"/>
      <w:r>
        <w:t>England</w:t>
      </w:r>
      <w:r w:rsidR="005418B1" w:rsidRPr="006C5B94">
        <w:t xml:space="preserve">: </w:t>
      </w:r>
      <w:r w:rsidR="00E22684" w:rsidRPr="006C5B94">
        <w:t xml:space="preserve">What did £9,000 fees do to the balance of private: </w:t>
      </w:r>
      <w:r w:rsidR="005418B1" w:rsidRPr="006C5B94">
        <w:t>public investment</w:t>
      </w:r>
      <w:r w:rsidR="00E22684" w:rsidRPr="006C5B94">
        <w:t>?</w:t>
      </w:r>
      <w:bookmarkEnd w:id="8"/>
    </w:p>
    <w:p w14:paraId="2B325BC2" w14:textId="77777777" w:rsidR="00FB7BD3" w:rsidRPr="006C5B94" w:rsidRDefault="005418B1" w:rsidP="003E66D3">
      <w:pPr>
        <w:ind w:left="-426"/>
      </w:pPr>
      <w:r w:rsidRPr="006C5B94">
        <w:t>Figure 4</w:t>
      </w:r>
      <w:r w:rsidR="00E22684" w:rsidRPr="006C5B94">
        <w:t xml:space="preserve"> </w:t>
      </w:r>
      <w:r w:rsidR="001D1D07">
        <w:t>shows how the flow of public and private investment shifted for first time undergraduates in England after the 2012 reforms that introduced a £9,000 fee</w:t>
      </w:r>
      <w:r w:rsidR="00E22684" w:rsidRPr="006C5B94">
        <w:t>.</w:t>
      </w:r>
      <w:r w:rsidR="00FB7BD3" w:rsidRPr="006C5B94">
        <w:t xml:space="preserve"> </w:t>
      </w:r>
    </w:p>
    <w:p w14:paraId="45F6D986" w14:textId="7FAA406F" w:rsidR="00B60BA8" w:rsidRPr="006C5B94" w:rsidRDefault="001D27BB" w:rsidP="00B60BA8">
      <w:pPr>
        <w:ind w:left="-426"/>
      </w:pPr>
      <w:r w:rsidRPr="006C5B94">
        <w:t xml:space="preserve">You can see </w:t>
      </w:r>
      <w:r w:rsidR="00FC136C" w:rsidRPr="006C5B94">
        <w:t xml:space="preserve">from Figure 4 </w:t>
      </w:r>
      <w:r w:rsidRPr="006C5B94">
        <w:t xml:space="preserve">that the balance of private: investment </w:t>
      </w:r>
      <w:r w:rsidR="00D41DCD">
        <w:t xml:space="preserve">in teaching </w:t>
      </w:r>
      <w:r w:rsidR="00AD07A9" w:rsidRPr="006C5B94">
        <w:t xml:space="preserve">(shown in blue: red respectively) </w:t>
      </w:r>
      <w:r w:rsidR="0013356E">
        <w:t>in HE shifted from around 35:65</w:t>
      </w:r>
      <w:r w:rsidRPr="006C5B94">
        <w:t xml:space="preserve"> to nearer 50:50 under the new system of £9,000 fees</w:t>
      </w:r>
      <w:r w:rsidR="003E66D3">
        <w:t xml:space="preserve"> </w:t>
      </w:r>
      <w:r w:rsidR="0013356E">
        <w:t>–</w:t>
      </w:r>
      <w:r w:rsidR="003E66D3">
        <w:t xml:space="preserve"> </w:t>
      </w:r>
      <w:r w:rsidR="0013356E">
        <w:t xml:space="preserve">the optimum balance of public: private contribution according to experts </w:t>
      </w:r>
      <w:sdt>
        <w:sdtPr>
          <w:id w:val="2083794302"/>
          <w:citation/>
        </w:sdtPr>
        <w:sdtEndPr/>
        <w:sdtContent>
          <w:r w:rsidR="0013356E">
            <w:fldChar w:fldCharType="begin"/>
          </w:r>
          <w:r w:rsidR="0013356E">
            <w:instrText xml:space="preserve"> CITATION McM09 \l 2057 </w:instrText>
          </w:r>
          <w:r w:rsidR="0013356E">
            <w:fldChar w:fldCharType="separate"/>
          </w:r>
          <w:r w:rsidR="0013356E">
            <w:rPr>
              <w:noProof/>
            </w:rPr>
            <w:t>(McMahon, 2009)</w:t>
          </w:r>
          <w:r w:rsidR="0013356E">
            <w:fldChar w:fldCharType="end"/>
          </w:r>
        </w:sdtContent>
      </w:sdt>
      <w:r w:rsidRPr="006C5B94">
        <w:t xml:space="preserve">. </w:t>
      </w:r>
      <w:r w:rsidR="00B60BA8" w:rsidRPr="006C5B94">
        <w:t>This was undoubtedly ‘a substantial shift in the incidence of the cost of higher education away from the public sector and towards the private sector’ (</w:t>
      </w:r>
      <w:proofErr w:type="spellStart"/>
      <w:r w:rsidR="00B60BA8" w:rsidRPr="006C5B94">
        <w:t>Chowdry</w:t>
      </w:r>
      <w:proofErr w:type="spellEnd"/>
      <w:r w:rsidR="00B60BA8" w:rsidRPr="006C5B94">
        <w:t xml:space="preserve">, </w:t>
      </w:r>
      <w:proofErr w:type="spellStart"/>
      <w:r w:rsidR="00B60BA8" w:rsidRPr="006C5B94">
        <w:t>Dearden</w:t>
      </w:r>
      <w:proofErr w:type="spellEnd"/>
      <w:r w:rsidR="00B60BA8" w:rsidRPr="006C5B94">
        <w:t xml:space="preserve">, Goodman, &amp; </w:t>
      </w:r>
      <w:proofErr w:type="spellStart"/>
      <w:r w:rsidR="00B60BA8" w:rsidRPr="006C5B94">
        <w:t>Wenchao</w:t>
      </w:r>
      <w:proofErr w:type="spellEnd"/>
      <w:r w:rsidR="00B60BA8" w:rsidRPr="006C5B94">
        <w:t>, 2012)</w:t>
      </w:r>
      <w:r w:rsidR="003E66D3">
        <w:t xml:space="preserve"> but perhaps not as signifi</w:t>
      </w:r>
      <w:r w:rsidR="0013356E">
        <w:t>cant as most people think</w:t>
      </w:r>
      <w:r w:rsidR="00B60BA8" w:rsidRPr="006C5B94">
        <w:t xml:space="preserve">. </w:t>
      </w:r>
      <w:r w:rsidR="0013356E">
        <w:t>T</w:t>
      </w:r>
      <w:r w:rsidR="00B60BA8" w:rsidRPr="006C5B94">
        <w:t xml:space="preserve">he fact that a 50:50 balance of contribution remains </w:t>
      </w:r>
      <w:r w:rsidR="0013356E">
        <w:t xml:space="preserve">in the system </w:t>
      </w:r>
      <w:r w:rsidR="00B60BA8" w:rsidRPr="006C5B94">
        <w:t>overall would likely surprise most students, parents and public commentators on the reforms</w:t>
      </w:r>
      <w:r w:rsidR="003E66D3">
        <w:t xml:space="preserve"> who presumed a £9,000 fee meant that student were paying 100% of costs</w:t>
      </w:r>
      <w:r w:rsidR="00B60BA8" w:rsidRPr="006C5B94">
        <w:t>.</w:t>
      </w:r>
    </w:p>
    <w:p w14:paraId="2A03BE6D" w14:textId="77777777" w:rsidR="002C4EC7" w:rsidRPr="006C5B94" w:rsidRDefault="002C4EC7" w:rsidP="002C4EC7">
      <w:pPr>
        <w:ind w:left="-426"/>
        <w:rPr>
          <w:b/>
          <w:sz w:val="28"/>
          <w:szCs w:val="28"/>
        </w:rPr>
      </w:pPr>
      <w:r w:rsidRPr="006C5B94">
        <w:rPr>
          <w:b/>
          <w:sz w:val="28"/>
          <w:szCs w:val="28"/>
        </w:rPr>
        <w:t xml:space="preserve">Figure 4: </w:t>
      </w:r>
      <w:r w:rsidR="00B40F79" w:rsidRPr="006C5B94">
        <w:rPr>
          <w:b/>
          <w:sz w:val="28"/>
          <w:szCs w:val="28"/>
        </w:rPr>
        <w:t>What happened when £9,000 fees were introduced</w:t>
      </w:r>
    </w:p>
    <w:p w14:paraId="6CAD1FC8" w14:textId="4FA3BB65" w:rsidR="002C4EC7" w:rsidRPr="006C5B94" w:rsidRDefault="00040585" w:rsidP="00040585">
      <w:pPr>
        <w:ind w:left="-567"/>
        <w:jc w:val="center"/>
      </w:pPr>
      <w:r>
        <w:rPr>
          <w:noProof/>
          <w:lang w:val="en-US"/>
        </w:rPr>
        <w:drawing>
          <wp:inline distT="0" distB="0" distL="0" distR="0" wp14:anchorId="543026D1" wp14:editId="0E00CC21">
            <wp:extent cx="6139180" cy="3895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9180" cy="3895725"/>
                    </a:xfrm>
                    <a:prstGeom prst="rect">
                      <a:avLst/>
                    </a:prstGeom>
                    <a:noFill/>
                  </pic:spPr>
                </pic:pic>
              </a:graphicData>
            </a:graphic>
          </wp:inline>
        </w:drawing>
      </w:r>
    </w:p>
    <w:p w14:paraId="48A920BC" w14:textId="77777777" w:rsidR="000A006F" w:rsidRPr="006C5B94" w:rsidRDefault="002C4EC7" w:rsidP="003912C7">
      <w:pPr>
        <w:spacing w:after="0"/>
        <w:rPr>
          <w:sz w:val="18"/>
          <w:szCs w:val="18"/>
        </w:rPr>
      </w:pPr>
      <w:r w:rsidRPr="006C5B94">
        <w:rPr>
          <w:sz w:val="18"/>
          <w:szCs w:val="18"/>
        </w:rPr>
        <w:t>Note</w:t>
      </w:r>
      <w:r w:rsidR="000A006F" w:rsidRPr="006C5B94">
        <w:rPr>
          <w:sz w:val="18"/>
          <w:szCs w:val="18"/>
        </w:rPr>
        <w:t>s</w:t>
      </w:r>
      <w:r w:rsidRPr="006C5B94">
        <w:rPr>
          <w:sz w:val="18"/>
          <w:szCs w:val="18"/>
        </w:rPr>
        <w:t xml:space="preserve">: </w:t>
      </w:r>
    </w:p>
    <w:p w14:paraId="1B59A77D" w14:textId="77777777" w:rsidR="00B30E0A" w:rsidRPr="006C5B94" w:rsidRDefault="000A006F" w:rsidP="003912C7">
      <w:pPr>
        <w:spacing w:after="0"/>
        <w:rPr>
          <w:sz w:val="18"/>
          <w:szCs w:val="18"/>
        </w:rPr>
      </w:pPr>
      <w:r w:rsidRPr="006C5B94">
        <w:rPr>
          <w:sz w:val="18"/>
          <w:szCs w:val="18"/>
        </w:rPr>
        <w:t>1/</w:t>
      </w:r>
      <w:r w:rsidR="002613C4" w:rsidRPr="006C5B94">
        <w:rPr>
          <w:sz w:val="18"/>
          <w:szCs w:val="18"/>
        </w:rPr>
        <w:t>Figures are based on a</w:t>
      </w:r>
      <w:r w:rsidRPr="006C5B94">
        <w:rPr>
          <w:sz w:val="18"/>
          <w:szCs w:val="18"/>
        </w:rPr>
        <w:t xml:space="preserve">ll full-time undergraduates in pre-2012 and all </w:t>
      </w:r>
      <w:r w:rsidR="002C4EC7" w:rsidRPr="006C5B94">
        <w:rPr>
          <w:sz w:val="18"/>
          <w:szCs w:val="18"/>
        </w:rPr>
        <w:t>first time undergraduate student</w:t>
      </w:r>
      <w:r w:rsidR="00C34961" w:rsidRPr="006C5B94">
        <w:rPr>
          <w:sz w:val="18"/>
          <w:szCs w:val="18"/>
        </w:rPr>
        <w:t>s</w:t>
      </w:r>
      <w:r w:rsidR="003912C7" w:rsidRPr="006C5B94">
        <w:rPr>
          <w:sz w:val="18"/>
          <w:szCs w:val="18"/>
        </w:rPr>
        <w:t xml:space="preserve"> (FTE)</w:t>
      </w:r>
      <w:r w:rsidR="00C34961" w:rsidRPr="006C5B94">
        <w:rPr>
          <w:sz w:val="18"/>
          <w:szCs w:val="18"/>
        </w:rPr>
        <w:t xml:space="preserve"> </w:t>
      </w:r>
      <w:r w:rsidRPr="006C5B94">
        <w:rPr>
          <w:sz w:val="18"/>
          <w:szCs w:val="18"/>
        </w:rPr>
        <w:t>in £9,000 system</w:t>
      </w:r>
      <w:r w:rsidR="00C34961" w:rsidRPr="006C5B94">
        <w:rPr>
          <w:sz w:val="18"/>
          <w:szCs w:val="18"/>
        </w:rPr>
        <w:t xml:space="preserve"> (</w:t>
      </w:r>
      <w:r w:rsidR="00461ED2">
        <w:rPr>
          <w:sz w:val="18"/>
          <w:szCs w:val="18"/>
        </w:rPr>
        <w:t xml:space="preserve">this applies to </w:t>
      </w:r>
      <w:r w:rsidR="00C34961" w:rsidRPr="006C5B94">
        <w:rPr>
          <w:sz w:val="18"/>
          <w:szCs w:val="18"/>
        </w:rPr>
        <w:t>approx. 95% of all full-time undergraduates</w:t>
      </w:r>
      <w:r w:rsidR="002C4EC7" w:rsidRPr="006C5B94">
        <w:rPr>
          <w:sz w:val="18"/>
          <w:szCs w:val="18"/>
        </w:rPr>
        <w:t xml:space="preserve"> and 3</w:t>
      </w:r>
      <w:r w:rsidR="00C34961" w:rsidRPr="006C5B94">
        <w:rPr>
          <w:sz w:val="18"/>
          <w:szCs w:val="18"/>
        </w:rPr>
        <w:t>0% of part-time undergraduates</w:t>
      </w:r>
      <w:r w:rsidR="003912C7" w:rsidRPr="006C5B94">
        <w:rPr>
          <w:sz w:val="18"/>
          <w:szCs w:val="18"/>
        </w:rPr>
        <w:t>). The post 2012</w:t>
      </w:r>
      <w:r w:rsidRPr="006C5B94">
        <w:rPr>
          <w:sz w:val="18"/>
          <w:szCs w:val="18"/>
        </w:rPr>
        <w:t xml:space="preserve"> system changed to allow 1/3 of part-time undergraduates to access fee loans – those doing their first degree and studying over 0.25 work load</w:t>
      </w:r>
      <w:r w:rsidR="002C4EC7" w:rsidRPr="006C5B94">
        <w:rPr>
          <w:sz w:val="18"/>
          <w:szCs w:val="18"/>
        </w:rPr>
        <w:t xml:space="preserve">. </w:t>
      </w:r>
    </w:p>
    <w:p w14:paraId="597B1C0F" w14:textId="77777777" w:rsidR="00B30E0A" w:rsidRPr="006C5B94" w:rsidRDefault="00B30E0A" w:rsidP="003912C7">
      <w:pPr>
        <w:spacing w:after="0"/>
        <w:rPr>
          <w:sz w:val="18"/>
          <w:szCs w:val="18"/>
        </w:rPr>
      </w:pPr>
      <w:r w:rsidRPr="006C5B94">
        <w:rPr>
          <w:sz w:val="18"/>
          <w:szCs w:val="18"/>
        </w:rPr>
        <w:t>2/ These figures are based on 100% uptake of fee loans – they do not take account of those choosing to pay their fees upfront. Our best understanding is that this is a small proportion of students and the percentage paying upfront has not changed significantly in the new system compared to pre-2012 figures.</w:t>
      </w:r>
    </w:p>
    <w:p w14:paraId="62F04762" w14:textId="1A9BC532" w:rsidR="000A006F" w:rsidRPr="006C5B94" w:rsidRDefault="00B30E0A" w:rsidP="003912C7">
      <w:pPr>
        <w:spacing w:after="0"/>
        <w:rPr>
          <w:sz w:val="18"/>
          <w:szCs w:val="18"/>
        </w:rPr>
      </w:pPr>
      <w:r w:rsidRPr="006C5B94">
        <w:rPr>
          <w:sz w:val="18"/>
          <w:szCs w:val="18"/>
        </w:rPr>
        <w:t>3</w:t>
      </w:r>
      <w:r w:rsidR="000A006F" w:rsidRPr="006C5B94">
        <w:rPr>
          <w:sz w:val="18"/>
          <w:szCs w:val="18"/>
        </w:rPr>
        <w:t xml:space="preserve">/ </w:t>
      </w:r>
      <w:r w:rsidR="002C4EC7" w:rsidRPr="006C5B94">
        <w:rPr>
          <w:sz w:val="18"/>
          <w:szCs w:val="18"/>
        </w:rPr>
        <w:t>£9,000 system calculations are based on</w:t>
      </w:r>
      <w:r w:rsidR="00A636AF" w:rsidRPr="006C5B94">
        <w:rPr>
          <w:sz w:val="18"/>
          <w:szCs w:val="18"/>
        </w:rPr>
        <w:t xml:space="preserve"> projections for</w:t>
      </w:r>
      <w:r w:rsidR="002C4EC7" w:rsidRPr="006C5B94">
        <w:rPr>
          <w:sz w:val="18"/>
          <w:szCs w:val="18"/>
        </w:rPr>
        <w:t xml:space="preserve"> 2015-16 when three years of students will be in the system.</w:t>
      </w:r>
      <w:r w:rsidR="00A636AF" w:rsidRPr="006C5B94">
        <w:rPr>
          <w:sz w:val="18"/>
          <w:szCs w:val="18"/>
        </w:rPr>
        <w:t xml:space="preserve"> Based on 2012-13 student numbers.</w:t>
      </w:r>
      <w:r w:rsidR="00291EBF" w:rsidRPr="006C5B94">
        <w:rPr>
          <w:sz w:val="18"/>
          <w:szCs w:val="18"/>
        </w:rPr>
        <w:t xml:space="preserve"> Based on an average fee of £8,425, which is the average fee after fee waiver in 2014-15 </w:t>
      </w:r>
      <w:sdt>
        <w:sdtPr>
          <w:rPr>
            <w:sz w:val="18"/>
            <w:szCs w:val="18"/>
          </w:rPr>
          <w:id w:val="173925122"/>
          <w:citation/>
        </w:sdtPr>
        <w:sdtEndPr/>
        <w:sdtContent>
          <w:r w:rsidR="00291EBF" w:rsidRPr="006C5B94">
            <w:rPr>
              <w:sz w:val="18"/>
              <w:szCs w:val="18"/>
            </w:rPr>
            <w:fldChar w:fldCharType="begin"/>
          </w:r>
          <w:r w:rsidR="00291EBF" w:rsidRPr="006C5B94">
            <w:rPr>
              <w:sz w:val="18"/>
              <w:szCs w:val="18"/>
            </w:rPr>
            <w:instrText xml:space="preserve"> CITATION OFF13 \l 2057 </w:instrText>
          </w:r>
          <w:r w:rsidR="00291EBF" w:rsidRPr="006C5B94">
            <w:rPr>
              <w:sz w:val="18"/>
              <w:szCs w:val="18"/>
            </w:rPr>
            <w:fldChar w:fldCharType="separate"/>
          </w:r>
          <w:r w:rsidR="00291EBF" w:rsidRPr="006C5B94">
            <w:rPr>
              <w:noProof/>
              <w:sz w:val="18"/>
              <w:szCs w:val="18"/>
            </w:rPr>
            <w:t>(OFFA, 2013)</w:t>
          </w:r>
          <w:r w:rsidR="00291EBF" w:rsidRPr="006C5B94">
            <w:rPr>
              <w:sz w:val="18"/>
              <w:szCs w:val="18"/>
            </w:rPr>
            <w:fldChar w:fldCharType="end"/>
          </w:r>
        </w:sdtContent>
      </w:sdt>
      <w:r w:rsidR="00A02BCB">
        <w:rPr>
          <w:sz w:val="18"/>
          <w:szCs w:val="18"/>
        </w:rPr>
        <w:t>.</w:t>
      </w:r>
      <w:r w:rsidR="003912C7" w:rsidRPr="006C5B94">
        <w:rPr>
          <w:sz w:val="18"/>
          <w:szCs w:val="18"/>
        </w:rPr>
        <w:t xml:space="preserve"> </w:t>
      </w:r>
    </w:p>
    <w:p w14:paraId="36EF75EF" w14:textId="7504E953" w:rsidR="000A006F" w:rsidRPr="006C5B94" w:rsidRDefault="00B30E0A" w:rsidP="003912C7">
      <w:pPr>
        <w:spacing w:after="0"/>
        <w:rPr>
          <w:sz w:val="18"/>
          <w:szCs w:val="18"/>
        </w:rPr>
      </w:pPr>
      <w:r w:rsidRPr="006C5B94">
        <w:rPr>
          <w:sz w:val="18"/>
          <w:szCs w:val="18"/>
        </w:rPr>
        <w:t>4</w:t>
      </w:r>
      <w:r w:rsidR="000A006F" w:rsidRPr="006C5B94">
        <w:rPr>
          <w:sz w:val="18"/>
          <w:szCs w:val="18"/>
        </w:rPr>
        <w:t>/</w:t>
      </w:r>
      <w:r w:rsidR="00004E84" w:rsidRPr="006C5B94">
        <w:rPr>
          <w:sz w:val="18"/>
          <w:szCs w:val="18"/>
        </w:rPr>
        <w:t>Figures based on a</w:t>
      </w:r>
      <w:r w:rsidR="000A006F" w:rsidRPr="006C5B94">
        <w:rPr>
          <w:sz w:val="18"/>
          <w:szCs w:val="18"/>
        </w:rPr>
        <w:t xml:space="preserve"> 28% </w:t>
      </w:r>
      <w:r w:rsidR="00004E84" w:rsidRPr="006C5B94">
        <w:rPr>
          <w:sz w:val="18"/>
          <w:szCs w:val="18"/>
        </w:rPr>
        <w:t xml:space="preserve">RAB charge in the pre-2012 system </w:t>
      </w:r>
      <w:r w:rsidR="00A911FA" w:rsidRPr="006C5B94">
        <w:rPr>
          <w:noProof/>
          <w:sz w:val="18"/>
          <w:szCs w:val="18"/>
        </w:rPr>
        <w:t>(BIS, 2012)</w:t>
      </w:r>
      <w:r w:rsidR="00A911FA" w:rsidRPr="006C5B94">
        <w:rPr>
          <w:sz w:val="18"/>
          <w:szCs w:val="18"/>
        </w:rPr>
        <w:t xml:space="preserve"> </w:t>
      </w:r>
      <w:r w:rsidR="00D64B62">
        <w:rPr>
          <w:sz w:val="18"/>
          <w:szCs w:val="18"/>
        </w:rPr>
        <w:t>and 45</w:t>
      </w:r>
      <w:r w:rsidR="000A006F" w:rsidRPr="006C5B94">
        <w:rPr>
          <w:sz w:val="18"/>
          <w:szCs w:val="18"/>
        </w:rPr>
        <w:t>% RAB charge</w:t>
      </w:r>
      <w:r w:rsidR="00004E84" w:rsidRPr="006C5B94">
        <w:rPr>
          <w:sz w:val="18"/>
          <w:szCs w:val="18"/>
        </w:rPr>
        <w:t xml:space="preserve"> in the £9,000 system</w:t>
      </w:r>
      <w:r w:rsidR="000A006F" w:rsidRPr="006C5B94">
        <w:rPr>
          <w:sz w:val="18"/>
          <w:szCs w:val="18"/>
        </w:rPr>
        <w:t xml:space="preserve"> </w:t>
      </w:r>
      <w:r w:rsidR="00004E84" w:rsidRPr="006C5B94">
        <w:rPr>
          <w:sz w:val="18"/>
          <w:szCs w:val="18"/>
        </w:rPr>
        <w:t>(</w:t>
      </w:r>
      <w:r w:rsidR="00D64B62">
        <w:rPr>
          <w:sz w:val="18"/>
          <w:szCs w:val="18"/>
        </w:rPr>
        <w:t xml:space="preserve">House of Commons, March 2014 </w:t>
      </w:r>
      <w:r w:rsidR="00305055">
        <w:fldChar w:fldCharType="begin"/>
      </w:r>
      <w:r w:rsidR="00305055">
        <w:instrText xml:space="preserve"> HYPERLINK "http://www.publications.parliament.uk/pa/cm201314/cmhansrd/cm140320/text/140320w0002.htm" \l "140320w0002.htm_wqn21" \t "_blank" </w:instrText>
      </w:r>
      <w:r w:rsidR="00305055">
        <w:fldChar w:fldCharType="separate"/>
      </w:r>
      <w:r w:rsidR="00D64B62" w:rsidRPr="00D64B62">
        <w:rPr>
          <w:rFonts w:ascii="Arial" w:hAnsi="Arial" w:cs="Arial"/>
          <w:color w:val="1155CC"/>
          <w:sz w:val="16"/>
          <w:szCs w:val="16"/>
          <w:u w:val="single"/>
          <w:shd w:val="clear" w:color="auto" w:fill="FFFFFF"/>
        </w:rPr>
        <w:t>http://www.publications.parliament.uk/pa/cm201314/cmhansrd/cm140320/text/140320w0002.htm#140320w0002.htm_wqn21</w:t>
      </w:r>
      <w:r w:rsidR="00305055">
        <w:rPr>
          <w:rFonts w:ascii="Arial" w:hAnsi="Arial" w:cs="Arial"/>
          <w:color w:val="1155CC"/>
          <w:sz w:val="16"/>
          <w:szCs w:val="16"/>
          <w:u w:val="single"/>
          <w:shd w:val="clear" w:color="auto" w:fill="FFFFFF"/>
        </w:rPr>
        <w:fldChar w:fldCharType="end"/>
      </w:r>
      <w:r w:rsidR="00004E84" w:rsidRPr="006C5B94">
        <w:rPr>
          <w:sz w:val="18"/>
          <w:szCs w:val="18"/>
        </w:rPr>
        <w:t>).</w:t>
      </w:r>
    </w:p>
    <w:p w14:paraId="1B8C2AEB" w14:textId="77777777" w:rsidR="002C4EC7" w:rsidRDefault="002C4EC7" w:rsidP="008C162C">
      <w:pPr>
        <w:spacing w:after="0"/>
        <w:rPr>
          <w:sz w:val="18"/>
          <w:szCs w:val="18"/>
        </w:rPr>
      </w:pPr>
      <w:r w:rsidRPr="006C5B94">
        <w:rPr>
          <w:sz w:val="18"/>
          <w:szCs w:val="18"/>
        </w:rPr>
        <w:t>Source</w:t>
      </w:r>
      <w:r w:rsidR="000A006F" w:rsidRPr="006C5B94">
        <w:rPr>
          <w:sz w:val="18"/>
          <w:szCs w:val="18"/>
        </w:rPr>
        <w:t>s</w:t>
      </w:r>
      <w:r w:rsidRPr="006C5B94">
        <w:rPr>
          <w:sz w:val="18"/>
          <w:szCs w:val="18"/>
        </w:rPr>
        <w:t xml:space="preserve">: </w:t>
      </w:r>
      <w:r w:rsidR="00A636AF" w:rsidRPr="006C5B94">
        <w:rPr>
          <w:sz w:val="18"/>
          <w:szCs w:val="18"/>
        </w:rPr>
        <w:t xml:space="preserve">Higher Education Statistics Agency (HESA) figures for student numbers. HEFCE figures for </w:t>
      </w:r>
      <w:r w:rsidR="002613C4" w:rsidRPr="006C5B94">
        <w:rPr>
          <w:sz w:val="18"/>
          <w:szCs w:val="18"/>
        </w:rPr>
        <w:t>public funding</w:t>
      </w:r>
      <w:sdt>
        <w:sdtPr>
          <w:rPr>
            <w:sz w:val="18"/>
            <w:szCs w:val="18"/>
          </w:rPr>
          <w:id w:val="862244670"/>
          <w:citation/>
        </w:sdtPr>
        <w:sdtEndPr/>
        <w:sdtContent>
          <w:r w:rsidR="00004E84" w:rsidRPr="006C5B94">
            <w:rPr>
              <w:sz w:val="18"/>
              <w:szCs w:val="18"/>
            </w:rPr>
            <w:fldChar w:fldCharType="begin"/>
          </w:r>
          <w:r w:rsidR="00004E84" w:rsidRPr="006C5B94">
            <w:rPr>
              <w:sz w:val="18"/>
              <w:szCs w:val="18"/>
            </w:rPr>
            <w:instrText xml:space="preserve"> CITATION HEF13 \l 2057 </w:instrText>
          </w:r>
          <w:r w:rsidR="00004E84" w:rsidRPr="006C5B94">
            <w:rPr>
              <w:sz w:val="18"/>
              <w:szCs w:val="18"/>
            </w:rPr>
            <w:fldChar w:fldCharType="separate"/>
          </w:r>
          <w:r w:rsidR="00004E84" w:rsidRPr="006C5B94">
            <w:rPr>
              <w:noProof/>
              <w:sz w:val="18"/>
              <w:szCs w:val="18"/>
            </w:rPr>
            <w:t xml:space="preserve"> (HEFCE, 2013)</w:t>
          </w:r>
          <w:r w:rsidR="00004E84" w:rsidRPr="006C5B94">
            <w:rPr>
              <w:sz w:val="18"/>
              <w:szCs w:val="18"/>
            </w:rPr>
            <w:fldChar w:fldCharType="end"/>
          </w:r>
        </w:sdtContent>
      </w:sdt>
      <w:r w:rsidR="00004E84" w:rsidRPr="006C5B94">
        <w:rPr>
          <w:sz w:val="18"/>
          <w:szCs w:val="18"/>
        </w:rPr>
        <w:t xml:space="preserve">. </w:t>
      </w:r>
    </w:p>
    <w:p w14:paraId="6B572BB8" w14:textId="77777777" w:rsidR="008C162C" w:rsidRPr="008C162C" w:rsidRDefault="008C162C" w:rsidP="008C162C">
      <w:pPr>
        <w:spacing w:after="0"/>
        <w:rPr>
          <w:sz w:val="18"/>
          <w:szCs w:val="18"/>
        </w:rPr>
      </w:pPr>
    </w:p>
    <w:p w14:paraId="0A353473" w14:textId="3A4F0C2A" w:rsidR="001C0546" w:rsidRPr="006C5B94" w:rsidRDefault="00B60BA8" w:rsidP="002C4EC7">
      <w:r w:rsidRPr="006C5B94">
        <w:t>The lack of understanding of the new system is largely due to the fact that the considerable fee loan subsidy</w:t>
      </w:r>
      <w:r w:rsidR="001D27BB" w:rsidRPr="006C5B94">
        <w:t xml:space="preserve"> is not well understood.</w:t>
      </w:r>
      <w:r w:rsidR="00821532">
        <w:t xml:space="preserve"> The subsidy on f</w:t>
      </w:r>
      <w:r w:rsidRPr="006C5B94">
        <w:t xml:space="preserve">ee loans are largely invisible to the ‘user’ in the system, which means the public investment is invisible also. </w:t>
      </w:r>
      <w:r w:rsidR="001D27BB" w:rsidRPr="006C5B94">
        <w:t xml:space="preserve">The high ‘sticker price’ of £9,000 leads most students to assume they are paying the full cost of their course and, in turn, we are seeing their behaviour and ‘customer demands’ shifting to reflect this. Whilst it is </w:t>
      </w:r>
      <w:r w:rsidR="00252E51">
        <w:t>good</w:t>
      </w:r>
      <w:r w:rsidR="001D27BB" w:rsidRPr="006C5B94">
        <w:t xml:space="preserve"> to give students more of a say in a higher education system based on co-production of </w:t>
      </w:r>
      <w:r w:rsidR="00252E51">
        <w:t>learning</w:t>
      </w:r>
      <w:r w:rsidR="001D27BB" w:rsidRPr="006C5B94">
        <w:t>, the lack of transparency in the system is unhelpful. The idea of a social contract between the student, university and Government has largely been lost – and this is despite a 50:50 share of costs. Perhaps this is just a PR issue and potentially resolvable but there is something significant about the invisible nature of loan subsidies that is fundamentally at odds with a more transparent funding system.</w:t>
      </w:r>
      <w:r w:rsidR="00E22684" w:rsidRPr="006C5B94">
        <w:t xml:space="preserve"> </w:t>
      </w:r>
    </w:p>
    <w:tbl>
      <w:tblPr>
        <w:tblStyle w:val="LightShading-Accent2"/>
        <w:tblW w:w="0" w:type="auto"/>
        <w:tblLook w:val="04A0" w:firstRow="1" w:lastRow="0" w:firstColumn="1" w:lastColumn="0" w:noHBand="0" w:noVBand="1"/>
      </w:tblPr>
      <w:tblGrid>
        <w:gridCol w:w="9264"/>
      </w:tblGrid>
      <w:tr w:rsidR="00337714" w:rsidRPr="006C5B94" w14:paraId="7B4FD0AA" w14:textId="77777777" w:rsidTr="008C16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3629C3F8" w14:textId="70AF8BD2" w:rsidR="00337714" w:rsidRDefault="00251DE7" w:rsidP="00404C9C">
            <w:r>
              <w:t>3</w:t>
            </w:r>
            <w:r w:rsidR="00337714" w:rsidRPr="00F043C9">
              <w:t xml:space="preserve">/ </w:t>
            </w:r>
            <w:r w:rsidR="009C439B" w:rsidRPr="00F043C9">
              <w:t xml:space="preserve">It is actually the </w:t>
            </w:r>
            <w:r w:rsidR="009C439B">
              <w:t>English</w:t>
            </w:r>
            <w:r w:rsidR="009C439B" w:rsidRPr="00F043C9">
              <w:t xml:space="preserve"> system that is closer to achieving the optimum level of 50:50 public: private</w:t>
            </w:r>
            <w:r w:rsidR="009C439B">
              <w:t xml:space="preserve"> share of contribution overall.</w:t>
            </w:r>
            <w:r w:rsidR="00F47E15">
              <w:t xml:space="preserve"> </w:t>
            </w:r>
            <w:r w:rsidR="009C439B">
              <w:t>The</w:t>
            </w:r>
            <w:r w:rsidR="009C439B" w:rsidRPr="00F043C9">
              <w:t xml:space="preserve"> lack of transparency in the English system</w:t>
            </w:r>
            <w:r w:rsidR="009C439B">
              <w:t>, however,</w:t>
            </w:r>
            <w:r w:rsidR="009C439B" w:rsidRPr="00F043C9">
              <w:t xml:space="preserve"> means that there is almost zero public awareness of this balance of contribution, with most students assuming they are paying the full cost of their studies at £9,000.</w:t>
            </w:r>
          </w:p>
        </w:tc>
      </w:tr>
    </w:tbl>
    <w:p w14:paraId="40050637" w14:textId="77777777" w:rsidR="008C162C" w:rsidRDefault="008C162C" w:rsidP="0013356E"/>
    <w:p w14:paraId="1BCC3A95" w14:textId="77777777" w:rsidR="009C6BBE" w:rsidRPr="006C5B94" w:rsidRDefault="00F12D74" w:rsidP="002C4EC7">
      <w:r w:rsidRPr="006C5B94">
        <w:t>The seco</w:t>
      </w:r>
      <w:r w:rsidR="005418B1" w:rsidRPr="006C5B94">
        <w:t>nd thing to notice from Figure 4</w:t>
      </w:r>
      <w:r w:rsidRPr="006C5B94">
        <w:t xml:space="preserve"> is the massive shift within the streams of public investment (shown in shades of red). You can see clearly how direct funding for teaching has been almost entirely substituted by loan subsidy, with some held back for high cost subjects and high cost students (through the SOF fund).</w:t>
      </w:r>
      <w:r w:rsidR="004F03A7" w:rsidRPr="006C5B94">
        <w:t xml:space="preserve"> </w:t>
      </w:r>
      <w:r w:rsidR="00625414" w:rsidRPr="006C5B94">
        <w:t>You can also see that capital funding for teaching was removed.</w:t>
      </w:r>
      <w:r w:rsidR="003F2FFA" w:rsidRPr="006C5B94">
        <w:t xml:space="preserve"> </w:t>
      </w:r>
      <w:r w:rsidR="006721C0" w:rsidRPr="006C5B94">
        <w:t>Higher fees were matched by cuts in direct funding for teaching (100% in most subjects), which meant that universities did not see a significant rise in funding or resource.</w:t>
      </w:r>
    </w:p>
    <w:p w14:paraId="04F02E5D" w14:textId="3BC9FEEE" w:rsidR="00466A1D" w:rsidRDefault="004019A9" w:rsidP="00466A1D">
      <w:r w:rsidRPr="006C5B94">
        <w:t>Wh</w:t>
      </w:r>
      <w:r w:rsidR="005418B1" w:rsidRPr="006C5B94">
        <w:t>at Figure 4</w:t>
      </w:r>
      <w:r w:rsidRPr="006C5B94">
        <w:t xml:space="preserve"> does not show you</w:t>
      </w:r>
      <w:r w:rsidR="00B122BA" w:rsidRPr="006C5B94">
        <w:t>,</w:t>
      </w:r>
      <w:r w:rsidRPr="006C5B94">
        <w:t xml:space="preserve"> because it is </w:t>
      </w:r>
      <w:r w:rsidR="00FB7BD3" w:rsidRPr="006C5B94">
        <w:t>based on</w:t>
      </w:r>
      <w:r w:rsidRPr="006C5B94">
        <w:t xml:space="preserve"> percentages, is </w:t>
      </w:r>
      <w:r w:rsidR="00FB7BD3" w:rsidRPr="006C5B94">
        <w:t xml:space="preserve">the total resource going </w:t>
      </w:r>
      <w:r w:rsidRPr="006C5B94">
        <w:t>to universities as a whole</w:t>
      </w:r>
      <w:r w:rsidR="00A12388" w:rsidRPr="006C5B94">
        <w:t>. Despite the</w:t>
      </w:r>
      <w:r w:rsidRPr="006C5B94">
        <w:t xml:space="preserve"> </w:t>
      </w:r>
      <w:r w:rsidR="00A12388" w:rsidRPr="006C5B94">
        <w:t xml:space="preserve">trebling of fees to £9,000, the total resource going to universities </w:t>
      </w:r>
      <w:r w:rsidR="006D7789">
        <w:t>only slightly</w:t>
      </w:r>
      <w:r w:rsidR="00FB7BD3" w:rsidRPr="006C5B94">
        <w:t xml:space="preserve"> increase</w:t>
      </w:r>
      <w:r w:rsidR="006D7789">
        <w:t>d</w:t>
      </w:r>
      <w:r w:rsidR="00FB7BD3" w:rsidRPr="006C5B94">
        <w:t xml:space="preserve"> in 2012-13</w:t>
      </w:r>
      <w:r w:rsidR="00A12388" w:rsidRPr="006C5B94">
        <w:t>. It is projected to continue to increase gradually over time i</w:t>
      </w:r>
      <w:r w:rsidR="00FB7BD3" w:rsidRPr="006C5B94">
        <w:t xml:space="preserve">n line with previous increases, </w:t>
      </w:r>
      <w:r w:rsidR="00A12388" w:rsidRPr="006C5B94">
        <w:t>largely driven by an expanding stude</w:t>
      </w:r>
      <w:r w:rsidR="00FB7BD3" w:rsidRPr="006C5B94">
        <w:t>nt population</w:t>
      </w:r>
      <w:r w:rsidR="00FB7BD3" w:rsidRPr="006C5B94">
        <w:rPr>
          <w:noProof/>
        </w:rPr>
        <w:t xml:space="preserve"> (UUK, 2013</w:t>
      </w:r>
      <w:r w:rsidR="00A9209F">
        <w:rPr>
          <w:noProof/>
        </w:rPr>
        <w:t>b</w:t>
      </w:r>
      <w:r w:rsidR="00FB7BD3" w:rsidRPr="006C5B94">
        <w:rPr>
          <w:noProof/>
        </w:rPr>
        <w:t>, Figure 2.4)</w:t>
      </w:r>
      <w:r w:rsidR="00A12388" w:rsidRPr="006C5B94">
        <w:t xml:space="preserve">. The English university sector as a whole did, however, avoid any serious decline in resource during a time when other non-protected </w:t>
      </w:r>
      <w:r w:rsidR="00D41DCD">
        <w:t>areas</w:t>
      </w:r>
      <w:r w:rsidR="00D41DCD" w:rsidRPr="006C5B94">
        <w:t xml:space="preserve"> </w:t>
      </w:r>
      <w:r w:rsidR="00A12388" w:rsidRPr="006C5B94">
        <w:t>were being cut.</w:t>
      </w:r>
      <w:r w:rsidR="00F47E15">
        <w:t xml:space="preserve"> </w:t>
      </w:r>
      <w:r w:rsidR="00252E51">
        <w:t>I</w:t>
      </w:r>
      <w:r w:rsidR="001F1965" w:rsidRPr="006C5B94">
        <w:t xml:space="preserve">ndividual universities </w:t>
      </w:r>
      <w:r w:rsidR="00252E51">
        <w:t>experienced</w:t>
      </w:r>
      <w:r w:rsidR="001F1965" w:rsidRPr="006C5B94">
        <w:t xml:space="preserve"> significant cuts in fund</w:t>
      </w:r>
      <w:r w:rsidR="0087541A" w:rsidRPr="006C5B94">
        <w:t>ing due to policy interventions</w:t>
      </w:r>
      <w:r w:rsidR="00252E51">
        <w:rPr>
          <w:rStyle w:val="FootnoteReference"/>
        </w:rPr>
        <w:footnoteReference w:id="11"/>
      </w:r>
      <w:r w:rsidR="0087541A" w:rsidRPr="006C5B94">
        <w:t xml:space="preserve"> but overall levels of funding were successfully protected whilst delivering a saving to the public purse.</w:t>
      </w:r>
    </w:p>
    <w:p w14:paraId="0D2F5D29" w14:textId="35A543E7" w:rsidR="006721C0" w:rsidRPr="006C5B94" w:rsidRDefault="00295600" w:rsidP="00466A1D">
      <w:r>
        <w:rPr>
          <w:bCs/>
        </w:rPr>
        <w:t>Transferring public investme</w:t>
      </w:r>
      <w:r w:rsidR="00252E51">
        <w:rPr>
          <w:bCs/>
        </w:rPr>
        <w:t xml:space="preserve">nt from core teaching funding </w:t>
      </w:r>
      <w:r>
        <w:rPr>
          <w:bCs/>
        </w:rPr>
        <w:t xml:space="preserve">to loan </w:t>
      </w:r>
      <w:r w:rsidR="003C05FD">
        <w:rPr>
          <w:bCs/>
        </w:rPr>
        <w:t xml:space="preserve">subsidy does, in theory, allow </w:t>
      </w:r>
      <w:r>
        <w:rPr>
          <w:bCs/>
        </w:rPr>
        <w:t>greater total resource</w:t>
      </w:r>
      <w:r w:rsidR="003C05FD">
        <w:rPr>
          <w:bCs/>
        </w:rPr>
        <w:t>s</w:t>
      </w:r>
      <w:r>
        <w:rPr>
          <w:bCs/>
        </w:rPr>
        <w:t xml:space="preserve"> to flow into the system overall</w:t>
      </w:r>
      <w:r w:rsidR="00C84A27">
        <w:rPr>
          <w:bCs/>
        </w:rPr>
        <w:t>.</w:t>
      </w:r>
      <w:r w:rsidR="00F47E15">
        <w:rPr>
          <w:bCs/>
        </w:rPr>
        <w:t xml:space="preserve"> </w:t>
      </w:r>
      <w:r w:rsidR="00C84A27">
        <w:rPr>
          <w:bCs/>
        </w:rPr>
        <w:t>A</w:t>
      </w:r>
      <w:r>
        <w:rPr>
          <w:bCs/>
        </w:rPr>
        <w:t>gain</w:t>
      </w:r>
      <w:r w:rsidR="00417F76" w:rsidRPr="006C5B94">
        <w:rPr>
          <w:bCs/>
        </w:rPr>
        <w:t>, however, the English experience teaches us that you cannot assume that any savings derived from transfer of funds between direct public investment and loan subsidy will flow to the universities rather than make up savings for Government.</w:t>
      </w:r>
      <w:r w:rsidR="00F47E15">
        <w:rPr>
          <w:bCs/>
        </w:rPr>
        <w:t xml:space="preserve"> </w:t>
      </w:r>
      <w:r w:rsidR="00417F76" w:rsidRPr="006C5B94">
        <w:rPr>
          <w:bCs/>
        </w:rPr>
        <w:t>This is inevitably a political decision about whether any savings go to increase the HE budget or to other Government priorities, including just budget saving or deficit reduction in England.</w:t>
      </w:r>
    </w:p>
    <w:tbl>
      <w:tblPr>
        <w:tblStyle w:val="LightShading-Accent2"/>
        <w:tblW w:w="0" w:type="auto"/>
        <w:tblLook w:val="04A0" w:firstRow="1" w:lastRow="0" w:firstColumn="1" w:lastColumn="0" w:noHBand="0" w:noVBand="1"/>
      </w:tblPr>
      <w:tblGrid>
        <w:gridCol w:w="9264"/>
      </w:tblGrid>
      <w:tr w:rsidR="009C6BBE" w:rsidRPr="006C5B94" w14:paraId="5B74C287" w14:textId="77777777" w:rsidTr="009C6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tbl>
            <w:tblPr>
              <w:tblStyle w:val="LightShading-Accent2"/>
              <w:tblW w:w="0" w:type="auto"/>
              <w:tblLook w:val="04A0" w:firstRow="1" w:lastRow="0" w:firstColumn="1" w:lastColumn="0" w:noHBand="0" w:noVBand="1"/>
            </w:tblPr>
            <w:tblGrid>
              <w:gridCol w:w="9048"/>
            </w:tblGrid>
            <w:tr w:rsidR="002C4EC7" w:rsidRPr="006C5B94" w14:paraId="73329BCA" w14:textId="77777777" w:rsidTr="00FB7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48" w:type="dxa"/>
                </w:tcPr>
                <w:p w14:paraId="6D15AA49" w14:textId="77777777" w:rsidR="002C4EC7" w:rsidRPr="006C5B94" w:rsidRDefault="002C4EC7" w:rsidP="00821532">
                  <w:r w:rsidRPr="006C5B94">
                    <w:br w:type="page"/>
                  </w:r>
                  <w:r w:rsidR="00251DE7">
                    <w:t>4</w:t>
                  </w:r>
                  <w:r w:rsidR="006721C0">
                    <w:t>/ The important lesson here for those in Australia who are looking to liberalise fees for the purpose of raising funding to universities is that the trebling of fees to £9,000 in Engla</w:t>
                  </w:r>
                  <w:r w:rsidR="00821532">
                    <w:t>nd did not bring in much</w:t>
                  </w:r>
                  <w:r w:rsidR="006721C0">
                    <w:t xml:space="preserve"> additional resource to </w:t>
                  </w:r>
                  <w:r w:rsidR="00404C9C">
                    <w:t>English</w:t>
                  </w:r>
                  <w:r w:rsidR="006721C0">
                    <w:t xml:space="preserve"> universities overall</w:t>
                  </w:r>
                  <w:r w:rsidR="00417F76">
                    <w:t xml:space="preserve"> – and brought reductions for some</w:t>
                  </w:r>
                  <w:r w:rsidR="006721C0">
                    <w:t>.</w:t>
                  </w:r>
                  <w:r w:rsidR="00417F76">
                    <w:t xml:space="preserve"> </w:t>
                  </w:r>
                  <w:r w:rsidRPr="006C5B94">
                    <w:rPr>
                      <w:bCs w:val="0"/>
                    </w:rPr>
                    <w:t>The</w:t>
                  </w:r>
                  <w:r w:rsidR="00C84A27">
                    <w:rPr>
                      <w:bCs w:val="0"/>
                    </w:rPr>
                    <w:t xml:space="preserve"> Australian</w:t>
                  </w:r>
                  <w:r w:rsidRPr="006C5B94">
                    <w:rPr>
                      <w:bCs w:val="0"/>
                    </w:rPr>
                    <w:t xml:space="preserve"> </w:t>
                  </w:r>
                  <w:r w:rsidR="00C03E5F">
                    <w:rPr>
                      <w:bCs w:val="0"/>
                    </w:rPr>
                    <w:t>HECS-HELP</w:t>
                  </w:r>
                  <w:r w:rsidRPr="006C5B94">
                    <w:rPr>
                      <w:bCs w:val="0"/>
                    </w:rPr>
                    <w:t xml:space="preserve"> fee loan </w:t>
                  </w:r>
                  <w:r w:rsidR="003C05FD">
                    <w:rPr>
                      <w:bCs w:val="0"/>
                    </w:rPr>
                    <w:t>carries</w:t>
                  </w:r>
                  <w:r w:rsidRPr="006C5B94">
                    <w:rPr>
                      <w:bCs w:val="0"/>
                    </w:rPr>
                    <w:t xml:space="preserve"> a Government subsidy</w:t>
                  </w:r>
                  <w:r w:rsidR="00417F76">
                    <w:rPr>
                      <w:bCs w:val="0"/>
                    </w:rPr>
                    <w:t>,</w:t>
                  </w:r>
                  <w:r w:rsidRPr="006C5B94">
                    <w:rPr>
                      <w:bCs w:val="0"/>
                    </w:rPr>
                    <w:t xml:space="preserve"> so the same logic </w:t>
                  </w:r>
                  <w:r w:rsidR="00417F76">
                    <w:rPr>
                      <w:bCs w:val="0"/>
                    </w:rPr>
                    <w:t>is likely to apply. T</w:t>
                  </w:r>
                  <w:r w:rsidRPr="006C5B94">
                    <w:rPr>
                      <w:bCs w:val="0"/>
                    </w:rPr>
                    <w:t xml:space="preserve">he English experience </w:t>
                  </w:r>
                  <w:r w:rsidR="003C05FD">
                    <w:rPr>
                      <w:bCs w:val="0"/>
                    </w:rPr>
                    <w:t>suggests</w:t>
                  </w:r>
                  <w:r w:rsidRPr="006C5B94">
                    <w:rPr>
                      <w:bCs w:val="0"/>
                    </w:rPr>
                    <w:t xml:space="preserve"> that any increase in the c</w:t>
                  </w:r>
                  <w:r w:rsidR="003C05FD">
                    <w:rPr>
                      <w:bCs w:val="0"/>
                    </w:rPr>
                    <w:t xml:space="preserve">ost of public loan subsidy is likely to </w:t>
                  </w:r>
                  <w:r w:rsidRPr="006C5B94">
                    <w:rPr>
                      <w:bCs w:val="0"/>
                    </w:rPr>
                    <w:t>result in a matched reduction in core public funding for teaching.</w:t>
                  </w:r>
                  <w:r w:rsidR="00417F76">
                    <w:rPr>
                      <w:bCs w:val="0"/>
                    </w:rPr>
                    <w:t xml:space="preserve"> T</w:t>
                  </w:r>
                  <w:r w:rsidR="00417F76" w:rsidRPr="006C5B94">
                    <w:rPr>
                      <w:bCs w:val="0"/>
                    </w:rPr>
                    <w:t>hose in Australia who are seeking to raise or fully liberalise the fee level should be wary of the consequence for their base funding.</w:t>
                  </w:r>
                </w:p>
              </w:tc>
            </w:tr>
          </w:tbl>
          <w:p w14:paraId="778F9C86" w14:textId="77777777" w:rsidR="009C6BBE" w:rsidRPr="006C5B94" w:rsidRDefault="009C6BBE" w:rsidP="009C6BBE">
            <w:pPr>
              <w:ind w:left="142"/>
            </w:pPr>
          </w:p>
        </w:tc>
      </w:tr>
    </w:tbl>
    <w:p w14:paraId="2957AD01" w14:textId="77777777" w:rsidR="00131096" w:rsidRPr="006C5B94" w:rsidRDefault="00131096" w:rsidP="00A35ABE"/>
    <w:p w14:paraId="2394D1C9" w14:textId="77777777" w:rsidR="00A35ABE" w:rsidRPr="006C5B94" w:rsidRDefault="00404C9C" w:rsidP="006B747D">
      <w:pPr>
        <w:pStyle w:val="Heading2"/>
      </w:pPr>
      <w:bookmarkStart w:id="9" w:name="_Toc259883096"/>
      <w:r>
        <w:t>H</w:t>
      </w:r>
      <w:r w:rsidR="005418B1" w:rsidRPr="006C5B94">
        <w:t xml:space="preserve">ow does </w:t>
      </w:r>
      <w:r>
        <w:t xml:space="preserve">the </w:t>
      </w:r>
      <w:r w:rsidR="005418B1" w:rsidRPr="006C5B94">
        <w:t>private: public balance of investment compare</w:t>
      </w:r>
      <w:r>
        <w:t>?</w:t>
      </w:r>
      <w:bookmarkEnd w:id="9"/>
    </w:p>
    <w:p w14:paraId="1F40DE5E" w14:textId="0097F383" w:rsidR="00692212" w:rsidRPr="006C5B94" w:rsidRDefault="005418B1" w:rsidP="0032583C">
      <w:r w:rsidRPr="006C5B94">
        <w:t>Figure 5</w:t>
      </w:r>
      <w:r w:rsidR="00C51A66" w:rsidRPr="006C5B94">
        <w:t xml:space="preserve"> shows that overall, the balance of private: public investment in HE across the two systems in not that different even with much higher fees in </w:t>
      </w:r>
      <w:r w:rsidR="007779C1" w:rsidRPr="006C5B94">
        <w:t>England</w:t>
      </w:r>
      <w:r w:rsidR="00C51A66" w:rsidRPr="006C5B94">
        <w:t>.</w:t>
      </w:r>
      <w:r w:rsidR="00F47E15">
        <w:t xml:space="preserve"> </w:t>
      </w:r>
      <w:r w:rsidR="00C51A66" w:rsidRPr="006C5B94">
        <w:t xml:space="preserve">For first time undergraduate students in </w:t>
      </w:r>
      <w:r w:rsidR="007779C1" w:rsidRPr="006C5B94">
        <w:t>England</w:t>
      </w:r>
      <w:r w:rsidR="00C51A66" w:rsidRPr="006C5B94">
        <w:t xml:space="preserve">, the private contribution is around 50% (shown in blue), whereas in Australia, for those </w:t>
      </w:r>
      <w:r w:rsidR="00C75626">
        <w:t>who</w:t>
      </w:r>
      <w:r w:rsidR="00C51A66" w:rsidRPr="006C5B94">
        <w:t xml:space="preserve"> </w:t>
      </w:r>
      <w:r w:rsidR="00F273B1">
        <w:t>are on state-supported places (including a s</w:t>
      </w:r>
      <w:r w:rsidR="00C51A66" w:rsidRPr="006C5B94">
        <w:t xml:space="preserve">ubsidised </w:t>
      </w:r>
      <w:r w:rsidR="00C03E5F">
        <w:t>HECS-HELP</w:t>
      </w:r>
      <w:r w:rsidR="00C51A66" w:rsidRPr="006C5B94">
        <w:t xml:space="preserve"> loan</w:t>
      </w:r>
      <w:r w:rsidR="00F273B1">
        <w:t>)</w:t>
      </w:r>
      <w:r w:rsidR="00C51A66" w:rsidRPr="006C5B94">
        <w:t>, the private contribution is around 35% overall. It is the difference in type of public investment that is perhaps more interesting.</w:t>
      </w:r>
      <w:r w:rsidR="00F47E15">
        <w:t xml:space="preserve"> </w:t>
      </w:r>
    </w:p>
    <w:p w14:paraId="169F8787" w14:textId="41335EF1" w:rsidR="00F8573A" w:rsidRPr="006C5B94" w:rsidRDefault="00C51A66" w:rsidP="0032583C">
      <w:r w:rsidRPr="006C5B94">
        <w:t xml:space="preserve">For </w:t>
      </w:r>
      <w:r w:rsidR="00466A1D" w:rsidRPr="006C5B94">
        <w:t>Australia</w:t>
      </w:r>
      <w:r w:rsidRPr="006C5B94">
        <w:t>, if you take just the private contribution (blue) and direct funding for teaching (mauve), the balance of investment is about 40:60 respectively. There is then a relatively moderate subsidy of loans (public invest</w:t>
      </w:r>
      <w:r w:rsidR="008E7EDD">
        <w:t xml:space="preserve">ment shown in red) of around </w:t>
      </w:r>
      <w:r w:rsidRPr="006C5B94">
        <w:t>25%.</w:t>
      </w:r>
      <w:r w:rsidR="00F47E15">
        <w:t xml:space="preserve"> </w:t>
      </w:r>
      <w:r w:rsidRPr="006C5B94">
        <w:t xml:space="preserve">By contrast </w:t>
      </w:r>
      <w:r w:rsidR="007779C1" w:rsidRPr="006C5B94">
        <w:t>England</w:t>
      </w:r>
      <w:r w:rsidRPr="006C5B94">
        <w:t xml:space="preserve"> channels just 10% of overall investment through direct funding for teaching </w:t>
      </w:r>
      <w:r w:rsidR="000731C5" w:rsidRPr="006C5B94">
        <w:t>choosing to invest</w:t>
      </w:r>
      <w:r w:rsidRPr="006C5B94">
        <w:t xml:space="preserve"> it </w:t>
      </w:r>
      <w:r w:rsidR="000731C5" w:rsidRPr="006C5B94">
        <w:t>via</w:t>
      </w:r>
      <w:r w:rsidRPr="006C5B94">
        <w:t xml:space="preserve"> loan sub</w:t>
      </w:r>
      <w:r w:rsidR="000731C5" w:rsidRPr="006C5B94">
        <w:t xml:space="preserve">sidy instead. The result is that </w:t>
      </w:r>
      <w:r w:rsidR="00C75626">
        <w:t xml:space="preserve">the </w:t>
      </w:r>
      <w:r w:rsidR="000731C5" w:rsidRPr="006C5B94">
        <w:t xml:space="preserve">vast majority of funding flows via the student, with a high ‘sticker price’ of £9,000 that carries a heavy </w:t>
      </w:r>
      <w:r w:rsidR="00C75626">
        <w:t xml:space="preserve">loan </w:t>
      </w:r>
      <w:r w:rsidR="000731C5" w:rsidRPr="006C5B94">
        <w:t>subsidy</w:t>
      </w:r>
      <w:r w:rsidR="008803AE" w:rsidRPr="006C5B94">
        <w:t>. Whilst the subsidy is highly progressive, it is certainly much less transparent than the Australian approach where there is a stronger sense of social contract and understanding of shared investment from the individual and Government.</w:t>
      </w:r>
      <w:r w:rsidR="00F47E15">
        <w:t xml:space="preserve"> </w:t>
      </w:r>
    </w:p>
    <w:tbl>
      <w:tblPr>
        <w:tblStyle w:val="LightShading-Accent2"/>
        <w:tblW w:w="0" w:type="auto"/>
        <w:tblLook w:val="04A0" w:firstRow="1" w:lastRow="0" w:firstColumn="1" w:lastColumn="0" w:noHBand="0" w:noVBand="1"/>
      </w:tblPr>
      <w:tblGrid>
        <w:gridCol w:w="9264"/>
      </w:tblGrid>
      <w:tr w:rsidR="00F8573A" w:rsidRPr="006C5B94" w14:paraId="73775A68" w14:textId="77777777" w:rsidTr="00F85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011F158C" w14:textId="77777777" w:rsidR="00F8573A" w:rsidRPr="006C5B94" w:rsidRDefault="00EA48A0" w:rsidP="00F8573A">
            <w:pPr>
              <w:rPr>
                <w:bCs w:val="0"/>
              </w:rPr>
            </w:pPr>
            <w:r w:rsidRPr="006C5B94">
              <w:rPr>
                <w:bCs w:val="0"/>
              </w:rPr>
              <w:t xml:space="preserve">5/ </w:t>
            </w:r>
            <w:r w:rsidR="00F8573A" w:rsidRPr="006C5B94">
              <w:rPr>
                <w:bCs w:val="0"/>
              </w:rPr>
              <w:t>Given public reaction to £9,000 fees in England, including student riots, the lesson here for England might be that direct funding for teaching is a more transparent method of public investment in HE that can more easily facilitate a social contract based on</w:t>
            </w:r>
            <w:r w:rsidR="00ED273E" w:rsidRPr="006C5B94">
              <w:rPr>
                <w:bCs w:val="0"/>
              </w:rPr>
              <w:t xml:space="preserve"> a practical demonstration of</w:t>
            </w:r>
            <w:r w:rsidR="00F8573A" w:rsidRPr="006C5B94">
              <w:rPr>
                <w:bCs w:val="0"/>
              </w:rPr>
              <w:t xml:space="preserve"> shared investment.</w:t>
            </w:r>
          </w:p>
          <w:p w14:paraId="208A449F" w14:textId="77777777" w:rsidR="00F8573A" w:rsidRPr="006C5B94" w:rsidRDefault="00F8573A" w:rsidP="0032583C">
            <w:pPr>
              <w:rPr>
                <w:bCs w:val="0"/>
              </w:rPr>
            </w:pPr>
          </w:p>
        </w:tc>
      </w:tr>
    </w:tbl>
    <w:p w14:paraId="4BEC98CA" w14:textId="77777777" w:rsidR="001C0DAA" w:rsidRDefault="001C0DAA" w:rsidP="00B40F79">
      <w:pPr>
        <w:rPr>
          <w:b/>
          <w:sz w:val="28"/>
          <w:szCs w:val="28"/>
        </w:rPr>
      </w:pPr>
    </w:p>
    <w:p w14:paraId="1212AED9" w14:textId="77777777" w:rsidR="001C0DAA" w:rsidRDefault="001C0DAA">
      <w:pPr>
        <w:rPr>
          <w:b/>
          <w:sz w:val="28"/>
          <w:szCs w:val="28"/>
        </w:rPr>
      </w:pPr>
      <w:r>
        <w:rPr>
          <w:b/>
          <w:sz w:val="28"/>
          <w:szCs w:val="28"/>
        </w:rPr>
        <w:br w:type="page"/>
      </w:r>
    </w:p>
    <w:p w14:paraId="684C4E4B" w14:textId="4EAE5C2B" w:rsidR="00B40F79" w:rsidRPr="006C5B94" w:rsidRDefault="001B102C" w:rsidP="00B40F79">
      <w:pPr>
        <w:rPr>
          <w:noProof/>
          <w:lang w:eastAsia="en-GB"/>
        </w:rPr>
      </w:pPr>
      <w:r>
        <w:rPr>
          <w:b/>
          <w:sz w:val="28"/>
          <w:szCs w:val="28"/>
        </w:rPr>
        <w:t>F</w:t>
      </w:r>
      <w:r w:rsidR="005418B1" w:rsidRPr="006C5B94">
        <w:rPr>
          <w:b/>
          <w:sz w:val="28"/>
          <w:szCs w:val="28"/>
        </w:rPr>
        <w:t>igure 5: balance of public: private investment very similar across system</w:t>
      </w:r>
    </w:p>
    <w:p w14:paraId="52647C12" w14:textId="77777777" w:rsidR="00B40F79" w:rsidRPr="006C5B94" w:rsidRDefault="008540E4" w:rsidP="008540E4">
      <w:pPr>
        <w:ind w:left="-567"/>
        <w:jc w:val="both"/>
        <w:rPr>
          <w:noProof/>
          <w:lang w:eastAsia="en-GB"/>
        </w:rPr>
      </w:pPr>
      <w:r>
        <w:rPr>
          <w:noProof/>
          <w:lang w:val="en-US"/>
        </w:rPr>
        <w:drawing>
          <wp:inline distT="0" distB="0" distL="0" distR="0" wp14:anchorId="257E4FD6" wp14:editId="79C98D58">
            <wp:extent cx="6315075" cy="3670623"/>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19890" cy="3673422"/>
                    </a:xfrm>
                    <a:prstGeom prst="rect">
                      <a:avLst/>
                    </a:prstGeom>
                    <a:noFill/>
                  </pic:spPr>
                </pic:pic>
              </a:graphicData>
            </a:graphic>
          </wp:inline>
        </w:drawing>
      </w:r>
    </w:p>
    <w:p w14:paraId="73F89CCC" w14:textId="77777777" w:rsidR="00DB0A93" w:rsidRPr="006C5B94" w:rsidRDefault="00DB0A93" w:rsidP="00DB0A93">
      <w:pPr>
        <w:spacing w:after="0"/>
        <w:rPr>
          <w:sz w:val="18"/>
          <w:szCs w:val="18"/>
        </w:rPr>
      </w:pPr>
      <w:r w:rsidRPr="006C5B94">
        <w:rPr>
          <w:sz w:val="18"/>
          <w:szCs w:val="18"/>
        </w:rPr>
        <w:t xml:space="preserve">Notes: </w:t>
      </w:r>
    </w:p>
    <w:p w14:paraId="23A42B48" w14:textId="77777777" w:rsidR="003D7F38" w:rsidRPr="006C5B94" w:rsidRDefault="00DB0A93" w:rsidP="00DB0A93">
      <w:pPr>
        <w:spacing w:after="0"/>
        <w:rPr>
          <w:sz w:val="18"/>
          <w:szCs w:val="18"/>
        </w:rPr>
      </w:pPr>
      <w:r w:rsidRPr="006C5B94">
        <w:rPr>
          <w:sz w:val="18"/>
          <w:szCs w:val="18"/>
        </w:rPr>
        <w:t>1/Figures are based on same estimates and sources as Figure</w:t>
      </w:r>
      <w:r w:rsidR="003D7F38" w:rsidRPr="006C5B94">
        <w:rPr>
          <w:sz w:val="18"/>
          <w:szCs w:val="18"/>
        </w:rPr>
        <w:t xml:space="preserve"> 4 for the English £9,000 system students (first column)</w:t>
      </w:r>
      <w:r w:rsidRPr="006C5B94">
        <w:rPr>
          <w:sz w:val="18"/>
          <w:szCs w:val="18"/>
        </w:rPr>
        <w:t xml:space="preserve">. </w:t>
      </w:r>
    </w:p>
    <w:p w14:paraId="6C1D35A8" w14:textId="77777777" w:rsidR="00DB0A93" w:rsidRPr="006C5B94" w:rsidRDefault="003D7F38" w:rsidP="00DB0A93">
      <w:pPr>
        <w:spacing w:after="0"/>
        <w:rPr>
          <w:sz w:val="18"/>
          <w:szCs w:val="18"/>
        </w:rPr>
      </w:pPr>
      <w:r w:rsidRPr="006C5B94">
        <w:rPr>
          <w:sz w:val="18"/>
          <w:szCs w:val="18"/>
        </w:rPr>
        <w:t xml:space="preserve">2/ </w:t>
      </w:r>
      <w:r w:rsidR="00DB0A93" w:rsidRPr="006C5B94">
        <w:rPr>
          <w:sz w:val="18"/>
          <w:szCs w:val="18"/>
        </w:rPr>
        <w:t xml:space="preserve">Figures for ‘other UK students’ are based post-graduates and 2/3 of part-time students. Public investment and fee income from </w:t>
      </w:r>
      <w:sdt>
        <w:sdtPr>
          <w:rPr>
            <w:sz w:val="18"/>
            <w:szCs w:val="18"/>
          </w:rPr>
          <w:id w:val="-1598475469"/>
          <w:citation/>
        </w:sdtPr>
        <w:sdtEndPr/>
        <w:sdtContent>
          <w:r w:rsidR="00DB0A93" w:rsidRPr="006C5B94">
            <w:rPr>
              <w:sz w:val="18"/>
              <w:szCs w:val="18"/>
            </w:rPr>
            <w:fldChar w:fldCharType="begin"/>
          </w:r>
          <w:r w:rsidR="00DB0A93" w:rsidRPr="006C5B94">
            <w:rPr>
              <w:sz w:val="18"/>
              <w:szCs w:val="18"/>
            </w:rPr>
            <w:instrText xml:space="preserve"> CITATION HEF13 \l 2057 </w:instrText>
          </w:r>
          <w:r w:rsidR="00DB0A93" w:rsidRPr="006C5B94">
            <w:rPr>
              <w:sz w:val="18"/>
              <w:szCs w:val="18"/>
            </w:rPr>
            <w:fldChar w:fldCharType="separate"/>
          </w:r>
          <w:r w:rsidR="00DB0A93" w:rsidRPr="006C5B94">
            <w:rPr>
              <w:noProof/>
              <w:sz w:val="18"/>
              <w:szCs w:val="18"/>
            </w:rPr>
            <w:t>(HEFCE, 2013)</w:t>
          </w:r>
          <w:r w:rsidR="00DB0A93" w:rsidRPr="006C5B94">
            <w:rPr>
              <w:sz w:val="18"/>
              <w:szCs w:val="18"/>
            </w:rPr>
            <w:fldChar w:fldCharType="end"/>
          </w:r>
        </w:sdtContent>
      </w:sdt>
      <w:r w:rsidR="00DB0A93" w:rsidRPr="006C5B94">
        <w:rPr>
          <w:sz w:val="18"/>
          <w:szCs w:val="18"/>
        </w:rPr>
        <w:t>.</w:t>
      </w:r>
    </w:p>
    <w:p w14:paraId="37A05954" w14:textId="77777777" w:rsidR="00DB0A93" w:rsidRDefault="003D7F38" w:rsidP="008E7EDD">
      <w:pPr>
        <w:spacing w:after="0"/>
        <w:rPr>
          <w:sz w:val="18"/>
          <w:szCs w:val="18"/>
        </w:rPr>
      </w:pPr>
      <w:r w:rsidRPr="006C5B94">
        <w:rPr>
          <w:sz w:val="18"/>
          <w:szCs w:val="18"/>
        </w:rPr>
        <w:t>3</w:t>
      </w:r>
      <w:r w:rsidR="00DB0A93" w:rsidRPr="006C5B94">
        <w:rPr>
          <w:sz w:val="18"/>
          <w:szCs w:val="18"/>
        </w:rPr>
        <w:t xml:space="preserve">/Australia figures based on </w:t>
      </w:r>
      <w:sdt>
        <w:sdtPr>
          <w:rPr>
            <w:sz w:val="18"/>
            <w:szCs w:val="18"/>
          </w:rPr>
          <w:id w:val="727182553"/>
          <w:citation/>
        </w:sdtPr>
        <w:sdtEndPr/>
        <w:sdtContent>
          <w:r w:rsidR="00DB0A93" w:rsidRPr="006C5B94">
            <w:rPr>
              <w:sz w:val="18"/>
              <w:szCs w:val="18"/>
            </w:rPr>
            <w:fldChar w:fldCharType="begin"/>
          </w:r>
          <w:r w:rsidR="00DB0A93" w:rsidRPr="006C5B94">
            <w:rPr>
              <w:sz w:val="18"/>
              <w:szCs w:val="18"/>
            </w:rPr>
            <w:instrText xml:space="preserve"> CITATION Nor13 \l 2057 </w:instrText>
          </w:r>
          <w:r w:rsidR="00DB0A93" w:rsidRPr="006C5B94">
            <w:rPr>
              <w:sz w:val="18"/>
              <w:szCs w:val="18"/>
            </w:rPr>
            <w:fldChar w:fldCharType="separate"/>
          </w:r>
          <w:r w:rsidR="00DB0A93" w:rsidRPr="006C5B94">
            <w:rPr>
              <w:noProof/>
              <w:sz w:val="18"/>
              <w:szCs w:val="18"/>
            </w:rPr>
            <w:t>(Norton, 2013)</w:t>
          </w:r>
          <w:r w:rsidR="00DB0A93" w:rsidRPr="006C5B94">
            <w:rPr>
              <w:sz w:val="18"/>
              <w:szCs w:val="18"/>
            </w:rPr>
            <w:fldChar w:fldCharType="end"/>
          </w:r>
        </w:sdtContent>
      </w:sdt>
      <w:r w:rsidR="00DB0A93" w:rsidRPr="006C5B94">
        <w:rPr>
          <w:sz w:val="18"/>
          <w:szCs w:val="18"/>
        </w:rPr>
        <w:t xml:space="preserve"> and information from DIISRTE, now </w:t>
      </w:r>
      <w:r w:rsidR="005E6739" w:rsidRPr="006C5B94">
        <w:rPr>
          <w:sz w:val="18"/>
          <w:szCs w:val="18"/>
        </w:rPr>
        <w:t>the Department of Education</w:t>
      </w:r>
      <w:r w:rsidR="00DB0A93" w:rsidRPr="006C5B94">
        <w:rPr>
          <w:sz w:val="18"/>
          <w:szCs w:val="18"/>
        </w:rPr>
        <w:t>.</w:t>
      </w:r>
    </w:p>
    <w:p w14:paraId="0A37C067" w14:textId="727A3CC4" w:rsidR="00F273B1" w:rsidRDefault="00F273B1" w:rsidP="008E7EDD">
      <w:pPr>
        <w:spacing w:after="0"/>
        <w:rPr>
          <w:sz w:val="18"/>
          <w:szCs w:val="18"/>
        </w:rPr>
      </w:pPr>
      <w:r>
        <w:rPr>
          <w:sz w:val="18"/>
          <w:szCs w:val="18"/>
        </w:rPr>
        <w:t>4/ HECS-HELP, Australia refers to students on state-supported programmes; this is most undergraduates and 40% of postgraduates</w:t>
      </w:r>
    </w:p>
    <w:p w14:paraId="1D8FC98E" w14:textId="5FA7DC19" w:rsidR="00F468C8" w:rsidRDefault="00F273B1" w:rsidP="008E7EDD">
      <w:pPr>
        <w:spacing w:after="0"/>
        <w:rPr>
          <w:sz w:val="18"/>
          <w:szCs w:val="18"/>
        </w:rPr>
      </w:pPr>
      <w:r>
        <w:rPr>
          <w:sz w:val="18"/>
          <w:szCs w:val="18"/>
        </w:rPr>
        <w:t>5</w:t>
      </w:r>
      <w:r w:rsidR="00F468C8">
        <w:rPr>
          <w:sz w:val="18"/>
          <w:szCs w:val="18"/>
        </w:rPr>
        <w:t xml:space="preserve">/ </w:t>
      </w:r>
      <w:r w:rsidR="00C92736">
        <w:rPr>
          <w:sz w:val="18"/>
          <w:szCs w:val="18"/>
        </w:rPr>
        <w:t>UG FEE-</w:t>
      </w:r>
      <w:r w:rsidR="00F468C8">
        <w:rPr>
          <w:sz w:val="18"/>
          <w:szCs w:val="18"/>
        </w:rPr>
        <w:t>HELP, Australia refers to undergraduate FEE-HELP that carries</w:t>
      </w:r>
      <w:r w:rsidR="00AA2993">
        <w:rPr>
          <w:sz w:val="18"/>
          <w:szCs w:val="18"/>
        </w:rPr>
        <w:t xml:space="preserve"> virtually</w:t>
      </w:r>
      <w:r w:rsidR="00F468C8">
        <w:rPr>
          <w:sz w:val="18"/>
          <w:szCs w:val="18"/>
        </w:rPr>
        <w:t xml:space="preserve"> no fee loan subsidy.</w:t>
      </w:r>
    </w:p>
    <w:p w14:paraId="3033FE7D" w14:textId="5EEF9821" w:rsidR="00C92736" w:rsidRDefault="00F273B1" w:rsidP="008E7EDD">
      <w:pPr>
        <w:spacing w:after="0"/>
      </w:pPr>
      <w:r>
        <w:rPr>
          <w:sz w:val="18"/>
          <w:szCs w:val="18"/>
        </w:rPr>
        <w:t>6</w:t>
      </w:r>
      <w:r w:rsidR="00C92736">
        <w:rPr>
          <w:sz w:val="18"/>
          <w:szCs w:val="18"/>
        </w:rPr>
        <w:t>/ PG FEE-HELP, Australia refers to postgrad</w:t>
      </w:r>
      <w:r>
        <w:rPr>
          <w:sz w:val="18"/>
          <w:szCs w:val="18"/>
        </w:rPr>
        <w:t xml:space="preserve">uate FEE-HELP (available to the 60% of postgraduate students not on state-supported programmes) that does carry a modest </w:t>
      </w:r>
      <w:r w:rsidR="00C92736">
        <w:rPr>
          <w:sz w:val="18"/>
          <w:szCs w:val="18"/>
        </w:rPr>
        <w:t>subsidy. The overall subsidy for all loans is around 25% so we have estimated a slightly lower subsidy of 20% for postgraduate loans based on their higher earnings.</w:t>
      </w:r>
    </w:p>
    <w:p w14:paraId="55B6DA33" w14:textId="77777777" w:rsidR="008E7EDD" w:rsidRPr="006C5B94" w:rsidRDefault="008E7EDD" w:rsidP="008E7EDD">
      <w:pPr>
        <w:spacing w:after="0"/>
      </w:pPr>
    </w:p>
    <w:p w14:paraId="62DDB9BB" w14:textId="0CF98819" w:rsidR="007A7127" w:rsidRPr="006C5B94" w:rsidRDefault="008803AE" w:rsidP="0032583C">
      <w:r w:rsidRPr="006C5B94">
        <w:t xml:space="preserve">The </w:t>
      </w:r>
      <w:r w:rsidR="00FF029C" w:rsidRPr="006C5B94">
        <w:t xml:space="preserve">other, really interesting observation from Figure 5 relates to the second two bars – the balance of public: private investment for </w:t>
      </w:r>
      <w:r w:rsidR="003E3028">
        <w:t xml:space="preserve">students </w:t>
      </w:r>
      <w:r w:rsidR="00C75626">
        <w:t>who</w:t>
      </w:r>
      <w:r w:rsidR="00FF029C" w:rsidRPr="006C5B94">
        <w:t xml:space="preserve"> don’t attract</w:t>
      </w:r>
      <w:r w:rsidR="003E3028">
        <w:t xml:space="preserve"> public</w:t>
      </w:r>
      <w:r w:rsidR="00FF029C" w:rsidRPr="006C5B94">
        <w:t xml:space="preserve"> fee loans in </w:t>
      </w:r>
      <w:r w:rsidR="007779C1" w:rsidRPr="006C5B94">
        <w:t>England</w:t>
      </w:r>
      <w:r w:rsidR="00FF029C" w:rsidRPr="006C5B94">
        <w:t xml:space="preserve"> and don’t attract subsidised </w:t>
      </w:r>
      <w:r w:rsidR="00C03E5F">
        <w:t>HECS-HELP</w:t>
      </w:r>
      <w:r w:rsidR="00FF029C" w:rsidRPr="006C5B94">
        <w:t xml:space="preserve"> loans in Australia. What is fascinating is that in both systems, the balance of contribution is remarkably similar. Both countries have created significant parts of the HE system that carry virtually no public investment.</w:t>
      </w:r>
      <w:r w:rsidR="00F47E15">
        <w:t xml:space="preserve"> </w:t>
      </w:r>
      <w:r w:rsidR="007A7127" w:rsidRPr="006C5B94">
        <w:t>This is an important (and often under recognised) part of any HE market where public investment is selectively invested in priority areas. It has the advantage of creating a genuine market in part of the HE system – in both countries this part of t</w:t>
      </w:r>
      <w:r w:rsidR="00C75626">
        <w:t>he HE system has no fee control or number control</w:t>
      </w:r>
      <w:r w:rsidR="007A7127" w:rsidRPr="006C5B94">
        <w:t>. It is a genuine market that operates successfully.</w:t>
      </w:r>
    </w:p>
    <w:p w14:paraId="6F2B27A7" w14:textId="27FB197D" w:rsidR="00F77FDE" w:rsidRPr="006C5B94" w:rsidRDefault="00FF029C" w:rsidP="0032583C">
      <w:r w:rsidRPr="006C5B94">
        <w:t>The big difference of course, is that Australia</w:t>
      </w:r>
      <w:r w:rsidR="007A7127" w:rsidRPr="006C5B94">
        <w:t xml:space="preserve"> has achieved this whilst still offering a </w:t>
      </w:r>
      <w:r w:rsidR="00C03E5F">
        <w:t>FEE-HELP</w:t>
      </w:r>
      <w:r w:rsidR="007A7127" w:rsidRPr="006C5B94">
        <w:t xml:space="preserve"> loan to every student in this part of the system. In </w:t>
      </w:r>
      <w:r w:rsidR="007779C1" w:rsidRPr="006C5B94">
        <w:t>England</w:t>
      </w:r>
      <w:r w:rsidR="007A7127" w:rsidRPr="006C5B94">
        <w:t>, there is a much bigger divide between these two systems from the perspective of the student because if you’re on this side of the system you cannot access a fee loan – you’ve got to find the money to cover the upfront cost of learning yourself.</w:t>
      </w:r>
      <w:r w:rsidR="00F47E15">
        <w:t xml:space="preserve"> </w:t>
      </w:r>
      <w:r w:rsidR="003E3028">
        <w:t>This opportunity for England to learn from Australia has already been mentioned.</w:t>
      </w:r>
    </w:p>
    <w:p w14:paraId="659D2102" w14:textId="77777777" w:rsidR="004976B3" w:rsidRPr="006C5B94" w:rsidRDefault="007A7127" w:rsidP="006B747D">
      <w:pPr>
        <w:pStyle w:val="Heading2"/>
      </w:pPr>
      <w:bookmarkStart w:id="10" w:name="_Toc259883097"/>
      <w:r w:rsidRPr="006C5B94">
        <w:t xml:space="preserve">The </w:t>
      </w:r>
      <w:r w:rsidR="00BA2052" w:rsidRPr="006C5B94">
        <w:t xml:space="preserve">structure of the </w:t>
      </w:r>
      <w:r w:rsidRPr="006C5B94">
        <w:t>Australian system in more detail</w:t>
      </w:r>
      <w:bookmarkEnd w:id="10"/>
    </w:p>
    <w:p w14:paraId="580846EE" w14:textId="701981E1" w:rsidR="00146AA7" w:rsidRPr="006C5B94" w:rsidRDefault="00C75626" w:rsidP="0032583C">
      <w:r>
        <w:t>In 2005</w:t>
      </w:r>
      <w:r w:rsidR="00122603" w:rsidRPr="006C5B94">
        <w:t xml:space="preserve">, following the </w:t>
      </w:r>
      <w:r>
        <w:t>Crossroads</w:t>
      </w:r>
      <w:r w:rsidR="00122603" w:rsidRPr="006C5B94">
        <w:t xml:space="preserve"> Review, </w:t>
      </w:r>
      <w:r w:rsidR="0073072F" w:rsidRPr="006C5B94">
        <w:t>the Australian Government</w:t>
      </w:r>
      <w:r w:rsidR="0032583C" w:rsidRPr="006C5B94">
        <w:t xml:space="preserve"> increased</w:t>
      </w:r>
      <w:r w:rsidR="00E661E2" w:rsidRPr="006C5B94">
        <w:t xml:space="preserve"> fees by 25%</w:t>
      </w:r>
      <w:r w:rsidR="003E3028">
        <w:t>. HECS-HELP maximums have now</w:t>
      </w:r>
      <w:r w:rsidR="00E661E2" w:rsidRPr="006C5B94">
        <w:t xml:space="preserve"> reach</w:t>
      </w:r>
      <w:r w:rsidR="003E3028">
        <w:t>ed</w:t>
      </w:r>
      <w:r w:rsidR="001A7D18">
        <w:t xml:space="preserve"> $6,044 </w:t>
      </w:r>
      <w:r w:rsidR="004A2C8E">
        <w:t>- $10,085 in 2014 (around £3,500 to £5,850</w:t>
      </w:r>
      <w:r w:rsidR="00E661E2" w:rsidRPr="006C5B94">
        <w:t xml:space="preserve">), </w:t>
      </w:r>
      <w:r w:rsidR="00946F5B" w:rsidRPr="006C5B94">
        <w:t xml:space="preserve">depending on course </w:t>
      </w:r>
      <w:r w:rsidR="0032583C" w:rsidRPr="006C5B94">
        <w:t>(around</w:t>
      </w:r>
      <w:r w:rsidR="00E661E2" w:rsidRPr="006C5B94">
        <w:t xml:space="preserve"> 40% of the cost of provision</w:t>
      </w:r>
      <w:r w:rsidR="003E3028">
        <w:t xml:space="preserve"> across the system as a whole</w:t>
      </w:r>
      <w:r w:rsidR="008B66D6">
        <w:t xml:space="preserve"> but with significant variation by subject</w:t>
      </w:r>
      <w:r w:rsidR="00E661E2" w:rsidRPr="006C5B94">
        <w:t>).</w:t>
      </w:r>
      <w:r w:rsidR="007F15BC">
        <w:t xml:space="preserve"> These HECS-HELP maximums apply to both undergraduate and the 40% of postgraduate courses that receive state-support.</w:t>
      </w:r>
      <w:r w:rsidR="00E661E2" w:rsidRPr="006C5B94">
        <w:t xml:space="preserve"> T</w:t>
      </w:r>
      <w:r w:rsidR="0032583C" w:rsidRPr="006C5B94">
        <w:t>hey also made a really important, and in my v</w:t>
      </w:r>
      <w:r w:rsidR="005C2B28">
        <w:t>iew very intelligent,</w:t>
      </w:r>
      <w:r w:rsidR="0032583C" w:rsidRPr="006C5B94">
        <w:t xml:space="preserve"> change to the</w:t>
      </w:r>
      <w:r w:rsidR="005C2B28">
        <w:t xml:space="preserve"> student finance</w:t>
      </w:r>
      <w:r w:rsidR="0032583C" w:rsidRPr="006C5B94">
        <w:t xml:space="preserve"> system. Alongside the mainstream publicly-subsidised system that we would recognise with fe</w:t>
      </w:r>
      <w:r w:rsidR="00AB2163">
        <w:t xml:space="preserve">e caps, student number controls, </w:t>
      </w:r>
      <w:r w:rsidR="0032583C" w:rsidRPr="006C5B94">
        <w:t>high levels of regulation</w:t>
      </w:r>
      <w:r w:rsidR="00AB2163">
        <w:t xml:space="preserve"> and </w:t>
      </w:r>
      <w:r w:rsidR="0032583C" w:rsidRPr="006C5B94">
        <w:t>with HECS-HELP loans (subsidised fee loans repaid</w:t>
      </w:r>
      <w:r w:rsidR="00AB2163">
        <w:t xml:space="preserve"> on an income-contingent basis), </w:t>
      </w:r>
      <w:r w:rsidR="0032583C" w:rsidRPr="006C5B94">
        <w:t>they introduced</w:t>
      </w:r>
      <w:r w:rsidR="007A7127" w:rsidRPr="006C5B94">
        <w:t xml:space="preserve"> </w:t>
      </w:r>
      <w:r w:rsidR="00C03E5F">
        <w:t>FEE-HELP</w:t>
      </w:r>
      <w:r w:rsidR="007A7127" w:rsidRPr="006C5B94">
        <w:t xml:space="preserve"> to ensure that fee loans were </w:t>
      </w:r>
      <w:r>
        <w:t>available</w:t>
      </w:r>
      <w:r w:rsidR="007A7127" w:rsidRPr="006C5B94">
        <w:t xml:space="preserve"> right across the HE</w:t>
      </w:r>
      <w:r w:rsidR="0032583C" w:rsidRPr="006C5B94">
        <w:t xml:space="preserve"> system. In the</w:t>
      </w:r>
      <w:r w:rsidR="00946F5B" w:rsidRPr="006C5B94">
        <w:t xml:space="preserve"> more</w:t>
      </w:r>
      <w:r w:rsidR="0032583C" w:rsidRPr="006C5B94">
        <w:t xml:space="preserve"> </w:t>
      </w:r>
      <w:proofErr w:type="spellStart"/>
      <w:r w:rsidR="0032583C" w:rsidRPr="006C5B94">
        <w:t>market</w:t>
      </w:r>
      <w:r w:rsidR="00946F5B" w:rsidRPr="006C5B94">
        <w:t>ised</w:t>
      </w:r>
      <w:proofErr w:type="spellEnd"/>
      <w:r w:rsidR="0032583C" w:rsidRPr="006C5B94">
        <w:t xml:space="preserve"> system there are no fee caps and no student number controls</w:t>
      </w:r>
      <w:r w:rsidR="00946F5B" w:rsidRPr="006C5B94">
        <w:t xml:space="preserve"> (similar to </w:t>
      </w:r>
      <w:r w:rsidR="00114357">
        <w:t xml:space="preserve">the </w:t>
      </w:r>
      <w:r w:rsidR="00404C9C">
        <w:t>English</w:t>
      </w:r>
      <w:r w:rsidR="00946F5B" w:rsidRPr="006C5B94">
        <w:t xml:space="preserve"> market for postgraduate and most part-time students)</w:t>
      </w:r>
      <w:r w:rsidR="0032583C" w:rsidRPr="006C5B94">
        <w:t xml:space="preserve"> but there are fee loans. </w:t>
      </w:r>
      <w:r>
        <w:t>Undergraduate FEE-HELP loans carry a</w:t>
      </w:r>
      <w:r w:rsidR="00AA2993">
        <w:t xml:space="preserve"> 25% surcharge that, in effect, covers the cost of loan subsidy and non-repayment to Government. In effect, undergraduate FEE-HELP is a</w:t>
      </w:r>
      <w:r w:rsidR="005C2B28">
        <w:t xml:space="preserve"> </w:t>
      </w:r>
      <w:r w:rsidR="0032583C" w:rsidRPr="006C5B94">
        <w:t>Government-backed income-contingent loan system</w:t>
      </w:r>
      <w:r w:rsidR="00AA2993">
        <w:t xml:space="preserve"> that carries virtually no public subsidy</w:t>
      </w:r>
      <w:r w:rsidR="0032583C" w:rsidRPr="006C5B94">
        <w:t xml:space="preserve">. </w:t>
      </w:r>
    </w:p>
    <w:p w14:paraId="5096064E" w14:textId="77777777" w:rsidR="0032583C" w:rsidRDefault="0032583C" w:rsidP="0032583C">
      <w:r w:rsidRPr="006C5B94">
        <w:t xml:space="preserve">The other </w:t>
      </w:r>
      <w:r w:rsidR="00146AA7" w:rsidRPr="006C5B94">
        <w:t xml:space="preserve">really significant change facilitated by </w:t>
      </w:r>
      <w:r w:rsidR="00C75626">
        <w:t>creating</w:t>
      </w:r>
      <w:r w:rsidR="00146AA7" w:rsidRPr="006C5B94">
        <w:t xml:space="preserve"> a non-subsidised </w:t>
      </w:r>
      <w:r w:rsidR="00C03E5F">
        <w:t>FEE-HELP</w:t>
      </w:r>
      <w:r w:rsidR="00146AA7" w:rsidRPr="006C5B94">
        <w:t xml:space="preserve"> loan</w:t>
      </w:r>
      <w:r w:rsidRPr="006C5B94">
        <w:t xml:space="preserve"> was to introduce a lifetime loan allocation to support re-skilling and lifelong learning. </w:t>
      </w:r>
      <w:r w:rsidR="00146AA7" w:rsidRPr="006C5B94">
        <w:t>Given what we know about the way people are working now</w:t>
      </w:r>
      <w:sdt>
        <w:sdtPr>
          <w:id w:val="1870257164"/>
          <w:citation/>
        </w:sdtPr>
        <w:sdtEndPr/>
        <w:sdtContent>
          <w:r w:rsidR="00146AA7" w:rsidRPr="006C5B94">
            <w:fldChar w:fldCharType="begin"/>
          </w:r>
          <w:r w:rsidR="00146AA7" w:rsidRPr="006C5B94">
            <w:instrText xml:space="preserve"> CITATION Hac13 \l 2057 </w:instrText>
          </w:r>
          <w:r w:rsidR="00146AA7" w:rsidRPr="006C5B94">
            <w:fldChar w:fldCharType="separate"/>
          </w:r>
          <w:r w:rsidR="00146AA7" w:rsidRPr="006C5B94">
            <w:rPr>
              <w:noProof/>
            </w:rPr>
            <w:t xml:space="preserve"> (Hackett, Shutt, &amp; Maclachlan, 2013)</w:t>
          </w:r>
          <w:r w:rsidR="00146AA7" w:rsidRPr="006C5B94">
            <w:fldChar w:fldCharType="end"/>
          </w:r>
        </w:sdtContent>
      </w:sdt>
      <w:r w:rsidR="00146AA7" w:rsidRPr="006C5B94">
        <w:t>, and will work in the future, this has to be a progressive step forward for their higher education system.</w:t>
      </w:r>
    </w:p>
    <w:tbl>
      <w:tblPr>
        <w:tblStyle w:val="LightShading-Accent2"/>
        <w:tblW w:w="0" w:type="auto"/>
        <w:tblLook w:val="04A0" w:firstRow="1" w:lastRow="0" w:firstColumn="1" w:lastColumn="0" w:noHBand="0" w:noVBand="1"/>
      </w:tblPr>
      <w:tblGrid>
        <w:gridCol w:w="9264"/>
      </w:tblGrid>
      <w:tr w:rsidR="005C2B28" w:rsidRPr="006C5B94" w14:paraId="5075C53E" w14:textId="77777777" w:rsidTr="00525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267CC31E" w14:textId="0BD8D551" w:rsidR="005C2B28" w:rsidRPr="006C5B94" w:rsidRDefault="00251DE7" w:rsidP="005257F5">
            <w:pPr>
              <w:ind w:left="142"/>
              <w:rPr>
                <w:bCs w:val="0"/>
              </w:rPr>
            </w:pPr>
            <w:r>
              <w:rPr>
                <w:bCs w:val="0"/>
              </w:rPr>
              <w:t>6</w:t>
            </w:r>
            <w:r w:rsidR="005C2B28">
              <w:rPr>
                <w:bCs w:val="0"/>
              </w:rPr>
              <w:t xml:space="preserve">/ The Australian model of a lifetime loan allocation for their </w:t>
            </w:r>
            <w:r w:rsidR="00C75626">
              <w:rPr>
                <w:bCs w:val="0"/>
              </w:rPr>
              <w:t>FEE-HELP loan system</w:t>
            </w:r>
            <w:r w:rsidR="005C2B28">
              <w:rPr>
                <w:bCs w:val="0"/>
              </w:rPr>
              <w:t xml:space="preserve"> is an important and progressive step towards a more flexible, mar</w:t>
            </w:r>
            <w:r w:rsidR="00B06F29">
              <w:rPr>
                <w:bCs w:val="0"/>
              </w:rPr>
              <w:t>ket-driven system that England sh</w:t>
            </w:r>
            <w:r w:rsidR="005C2B28">
              <w:rPr>
                <w:bCs w:val="0"/>
              </w:rPr>
              <w:t>ould learn from.</w:t>
            </w:r>
          </w:p>
          <w:p w14:paraId="1B561524" w14:textId="77777777" w:rsidR="005C2B28" w:rsidRPr="006C5B94" w:rsidRDefault="005C2B28" w:rsidP="005257F5"/>
        </w:tc>
      </w:tr>
    </w:tbl>
    <w:p w14:paraId="511CBA15" w14:textId="77777777" w:rsidR="005C2B28" w:rsidRDefault="005C2B28" w:rsidP="0032583C"/>
    <w:p w14:paraId="561B9A4F" w14:textId="65217955" w:rsidR="0032583C" w:rsidRPr="006C5B94" w:rsidRDefault="00946F5B" w:rsidP="0032583C">
      <w:r w:rsidRPr="006C5B94">
        <w:t>Over the first 4</w:t>
      </w:r>
      <w:r w:rsidR="0032583C" w:rsidRPr="006C5B94">
        <w:t xml:space="preserve"> years or so, the </w:t>
      </w:r>
      <w:r w:rsidRPr="006C5B94">
        <w:t xml:space="preserve">more </w:t>
      </w:r>
      <w:proofErr w:type="spellStart"/>
      <w:r w:rsidR="0032583C" w:rsidRPr="006C5B94">
        <w:t>market</w:t>
      </w:r>
      <w:r w:rsidRPr="006C5B94">
        <w:t>ised</w:t>
      </w:r>
      <w:proofErr w:type="spellEnd"/>
      <w:r w:rsidR="0032583C" w:rsidRPr="006C5B94">
        <w:t xml:space="preserve"> </w:t>
      </w:r>
      <w:r w:rsidR="00C03E5F">
        <w:t>FEE-HELP</w:t>
      </w:r>
      <w:r w:rsidRPr="006C5B94">
        <w:t xml:space="preserve"> </w:t>
      </w:r>
      <w:r w:rsidR="0032583C" w:rsidRPr="006C5B94">
        <w:t xml:space="preserve">system developed alongside the mainstream </w:t>
      </w:r>
      <w:r w:rsidR="00C03E5F">
        <w:t>HECS-HELP</w:t>
      </w:r>
      <w:r w:rsidRPr="006C5B94">
        <w:t xml:space="preserve"> </w:t>
      </w:r>
      <w:r w:rsidR="0032583C" w:rsidRPr="006C5B94">
        <w:t>system to absorb excess demand for UG (as well as delivering the major</w:t>
      </w:r>
      <w:r w:rsidR="00C11E8D" w:rsidRPr="006C5B94">
        <w:t xml:space="preserve">ity of PG) to a position where in 2011, </w:t>
      </w:r>
      <w:r w:rsidR="0032583C" w:rsidRPr="006C5B94">
        <w:t xml:space="preserve">around 10% of undergraduates </w:t>
      </w:r>
      <w:r w:rsidR="00C75626">
        <w:t>had</w:t>
      </w:r>
      <w:r w:rsidR="0032583C" w:rsidRPr="006C5B94">
        <w:t xml:space="preserve"> </w:t>
      </w:r>
      <w:r w:rsidR="00C03E5F">
        <w:t>FEE-HELP</w:t>
      </w:r>
      <w:r w:rsidR="0032583C" w:rsidRPr="006C5B94">
        <w:t xml:space="preserve"> rather than </w:t>
      </w:r>
      <w:r w:rsidR="00C03E5F">
        <w:t>HECS-HELP</w:t>
      </w:r>
      <w:r w:rsidR="00C11E8D" w:rsidRPr="006C5B94">
        <w:t xml:space="preserve"> </w:t>
      </w:r>
      <w:r w:rsidR="00C75626">
        <w:t>loans enabling</w:t>
      </w:r>
      <w:r w:rsidR="00C11E8D" w:rsidRPr="006C5B94">
        <w:t xml:space="preserve"> </w:t>
      </w:r>
      <w:r w:rsidR="00C75626">
        <w:t>increased</w:t>
      </w:r>
      <w:r w:rsidR="00C11E8D" w:rsidRPr="006C5B94">
        <w:t xml:space="preserve"> undergraduate </w:t>
      </w:r>
      <w:r w:rsidR="00C75626">
        <w:t>enrolment</w:t>
      </w:r>
      <w:r w:rsidR="00C11E8D" w:rsidRPr="006C5B94">
        <w:t xml:space="preserve"> at virtually zero cost to Government</w:t>
      </w:r>
      <w:r w:rsidR="0032583C" w:rsidRPr="006C5B94">
        <w:t>.</w:t>
      </w:r>
      <w:r w:rsidR="00F47E15">
        <w:t xml:space="preserve"> </w:t>
      </w:r>
      <w:r w:rsidR="00C11E8D" w:rsidRPr="006C5B94">
        <w:t>In 2012, the Australia</w:t>
      </w:r>
      <w:r w:rsidR="00C75626">
        <w:t>n Government removed controls on student numbers i</w:t>
      </w:r>
      <w:r w:rsidR="00C11E8D" w:rsidRPr="006C5B94">
        <w:t xml:space="preserve">n the subsidised </w:t>
      </w:r>
      <w:r w:rsidR="00C03E5F">
        <w:t>HECS-HELP</w:t>
      </w:r>
      <w:r w:rsidR="00C11E8D" w:rsidRPr="006C5B94">
        <w:t xml:space="preserve"> side which, </w:t>
      </w:r>
      <w:r w:rsidR="00C75626">
        <w:t>unsurprisingly</w:t>
      </w:r>
      <w:r w:rsidR="00C11E8D" w:rsidRPr="006C5B94">
        <w:t>, saw</w:t>
      </w:r>
      <w:r w:rsidR="00C75626">
        <w:t xml:space="preserve"> much faster growth of student enrolment in</w:t>
      </w:r>
      <w:r w:rsidR="00C11E8D" w:rsidRPr="006C5B94">
        <w:t xml:space="preserve"> the mainstream, subsidised system</w:t>
      </w:r>
      <w:r w:rsidR="00C75626">
        <w:t xml:space="preserve"> at the expense of undergraduate FEE-HELP enrolments</w:t>
      </w:r>
      <w:r w:rsidR="00C11E8D" w:rsidRPr="006C5B94">
        <w:t xml:space="preserve">. The pros and cons of </w:t>
      </w:r>
      <w:r w:rsidR="000A629E" w:rsidRPr="006C5B94">
        <w:t>adopting</w:t>
      </w:r>
      <w:r w:rsidR="00E67815">
        <w:t xml:space="preserve"> this ‘demand driven</w:t>
      </w:r>
      <w:r w:rsidR="00C11E8D" w:rsidRPr="006C5B94">
        <w:t>’ policy will be co</w:t>
      </w:r>
      <w:r w:rsidR="000A629E" w:rsidRPr="006C5B94">
        <w:t>nsidered later but</w:t>
      </w:r>
      <w:r w:rsidR="00C11E8D" w:rsidRPr="006C5B94">
        <w:t xml:space="preserve"> the </w:t>
      </w:r>
      <w:r w:rsidR="0032583C" w:rsidRPr="006C5B94">
        <w:t xml:space="preserve">principle and structure </w:t>
      </w:r>
      <w:r w:rsidR="00E67815">
        <w:t>of the 2005</w:t>
      </w:r>
      <w:r w:rsidR="00C11E8D" w:rsidRPr="006C5B94">
        <w:t xml:space="preserve"> system was established</w:t>
      </w:r>
      <w:r w:rsidR="0032583C" w:rsidRPr="006C5B94">
        <w:t xml:space="preserve"> and </w:t>
      </w:r>
      <w:r w:rsidR="000A629E" w:rsidRPr="006C5B94">
        <w:t xml:space="preserve">tested and </w:t>
      </w:r>
      <w:r w:rsidR="007779C1" w:rsidRPr="006C5B94">
        <w:t>England</w:t>
      </w:r>
      <w:r w:rsidR="0032583C" w:rsidRPr="006C5B94">
        <w:t xml:space="preserve"> can learn important lessons from this.</w:t>
      </w:r>
      <w:r w:rsidR="00DD5B45" w:rsidRPr="006C5B94">
        <w:t xml:space="preserve"> </w:t>
      </w:r>
    </w:p>
    <w:tbl>
      <w:tblPr>
        <w:tblStyle w:val="LightShading-Accent2"/>
        <w:tblW w:w="0" w:type="auto"/>
        <w:tblLook w:val="04A0" w:firstRow="1" w:lastRow="0" w:firstColumn="1" w:lastColumn="0" w:noHBand="0" w:noVBand="1"/>
      </w:tblPr>
      <w:tblGrid>
        <w:gridCol w:w="9264"/>
      </w:tblGrid>
      <w:tr w:rsidR="00EA48A0" w:rsidRPr="006C5B94" w14:paraId="00DC2B32" w14:textId="77777777" w:rsidTr="00EA4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7BFBAB00" w14:textId="43485553" w:rsidR="00EA48A0" w:rsidRPr="005C2B28" w:rsidRDefault="00251DE7" w:rsidP="00114357">
            <w:pPr>
              <w:ind w:left="142"/>
              <w:rPr>
                <w:bCs w:val="0"/>
              </w:rPr>
            </w:pPr>
            <w:r>
              <w:rPr>
                <w:bCs w:val="0"/>
              </w:rPr>
              <w:t>7</w:t>
            </w:r>
            <w:r w:rsidR="00EA48A0" w:rsidRPr="006C5B94">
              <w:rPr>
                <w:bCs w:val="0"/>
              </w:rPr>
              <w:t xml:space="preserve">/ </w:t>
            </w:r>
            <w:r w:rsidR="005F65AF">
              <w:t>Given the Government’s commitment to increasing market forces in higher education in England, it is helpful to observe the Australian system in this regard.</w:t>
            </w:r>
            <w:r w:rsidR="00F47E15">
              <w:t xml:space="preserve"> </w:t>
            </w:r>
            <w:r w:rsidR="005F65AF">
              <w:t xml:space="preserve">The Australian system benefits from operating publicly-supported higher education alongside a more </w:t>
            </w:r>
            <w:proofErr w:type="spellStart"/>
            <w:r w:rsidR="005F65AF">
              <w:t>marketised</w:t>
            </w:r>
            <w:proofErr w:type="spellEnd"/>
            <w:r w:rsidR="005F65AF">
              <w:t xml:space="preserve"> system that carries little or no public subsidy; and yet still offers fee loans to </w:t>
            </w:r>
            <w:r w:rsidR="002A676B">
              <w:t xml:space="preserve">nearly </w:t>
            </w:r>
            <w:r w:rsidR="005F65AF">
              <w:t>all students.</w:t>
            </w:r>
          </w:p>
        </w:tc>
      </w:tr>
    </w:tbl>
    <w:p w14:paraId="1971CAF3" w14:textId="77777777" w:rsidR="00D323F9" w:rsidRPr="006C5B94" w:rsidRDefault="00D323F9" w:rsidP="0032583C"/>
    <w:p w14:paraId="3D837F15" w14:textId="64BDE6FC" w:rsidR="003D3893" w:rsidRPr="006C5B94" w:rsidRDefault="003D3893" w:rsidP="0032583C">
      <w:r w:rsidRPr="006C5B94">
        <w:t>There were some issues that arose under this sys</w:t>
      </w:r>
      <w:r w:rsidR="00E67815">
        <w:t>tem before 2012 when ‘demand driven</w:t>
      </w:r>
      <w:r w:rsidRPr="006C5B94">
        <w:t>’ was introduced</w:t>
      </w:r>
      <w:r w:rsidR="00672FCF">
        <w:t xml:space="preserve"> fully</w:t>
      </w:r>
      <w:r w:rsidRPr="006C5B94">
        <w:t xml:space="preserve">, however, that should be carefully considered. One major concern was </w:t>
      </w:r>
      <w:r w:rsidR="00672FCF">
        <w:t>with</w:t>
      </w:r>
      <w:r w:rsidRPr="006C5B94">
        <w:t xml:space="preserve"> the </w:t>
      </w:r>
      <w:r w:rsidR="00235D3B" w:rsidRPr="006C5B94">
        <w:t>allocation</w:t>
      </w:r>
      <w:r w:rsidRPr="006C5B94">
        <w:t xml:space="preserve"> </w:t>
      </w:r>
      <w:r w:rsidR="00235D3B" w:rsidRPr="006C5B94">
        <w:t xml:space="preserve">of limited, subsidised </w:t>
      </w:r>
      <w:r w:rsidR="00C03E5F">
        <w:t>HECS-HELP</w:t>
      </w:r>
      <w:r w:rsidR="00235D3B" w:rsidRPr="006C5B94">
        <w:t xml:space="preserve"> places. It sounds great that excess demand can be soaked up on the </w:t>
      </w:r>
      <w:r w:rsidR="00C03E5F">
        <w:t>FEE-HELP</w:t>
      </w:r>
      <w:r w:rsidR="00235D3B" w:rsidRPr="006C5B94">
        <w:t xml:space="preserve"> side but in reality, </w:t>
      </w:r>
      <w:r w:rsidR="00477F17" w:rsidRPr="006C5B94">
        <w:t>universities</w:t>
      </w:r>
      <w:r w:rsidR="00672FCF">
        <w:t xml:space="preserve"> still</w:t>
      </w:r>
      <w:r w:rsidR="00477F17" w:rsidRPr="006C5B94">
        <w:t xml:space="preserve"> </w:t>
      </w:r>
      <w:r w:rsidR="00672FCF">
        <w:t>had</w:t>
      </w:r>
      <w:r w:rsidR="00477F17" w:rsidRPr="006C5B94">
        <w:t xml:space="preserve"> to make </w:t>
      </w:r>
      <w:r w:rsidR="00672FCF">
        <w:t>the same difficult choice</w:t>
      </w:r>
      <w:r w:rsidR="00477F17" w:rsidRPr="006C5B94">
        <w:t xml:space="preserve"> about how to ration </w:t>
      </w:r>
      <w:r w:rsidR="00672FCF">
        <w:t xml:space="preserve">the </w:t>
      </w:r>
      <w:r w:rsidR="00477F17" w:rsidRPr="006C5B94">
        <w:t>publicly-subsidised places</w:t>
      </w:r>
      <w:r w:rsidR="00672FCF">
        <w:t xml:space="preserve"> before number controls were fully removed in 2012</w:t>
      </w:r>
      <w:r w:rsidR="00477F17" w:rsidRPr="006C5B94">
        <w:t xml:space="preserve">. Given that the stubborn correlation between family background and attainment at school level is just as prevalent in Australia as it is in </w:t>
      </w:r>
      <w:r w:rsidR="007779C1" w:rsidRPr="006C5B94">
        <w:t>England</w:t>
      </w:r>
      <w:r w:rsidR="00477F17" w:rsidRPr="006C5B94">
        <w:t xml:space="preserve">, a purely meritocratic </w:t>
      </w:r>
      <w:r w:rsidR="00672FCF">
        <w:t>approach based on ATAR entry score</w:t>
      </w:r>
      <w:r w:rsidR="00477F17" w:rsidRPr="006C5B94">
        <w:t xml:space="preserve"> </w:t>
      </w:r>
      <w:r w:rsidR="00047EC0">
        <w:t>would have resulted in</w:t>
      </w:r>
      <w:r w:rsidR="00477F17" w:rsidRPr="006C5B94">
        <w:t xml:space="preserve"> students from the most affluent back</w:t>
      </w:r>
      <w:r w:rsidR="00047EC0">
        <w:t>grounds taking up</w:t>
      </w:r>
      <w:r w:rsidR="00477F17" w:rsidRPr="006C5B94">
        <w:t xml:space="preserve"> the </w:t>
      </w:r>
      <w:r w:rsidR="00047EC0">
        <w:t xml:space="preserve">vast majority </w:t>
      </w:r>
      <w:r w:rsidR="004F0254">
        <w:t xml:space="preserve">of </w:t>
      </w:r>
      <w:r w:rsidR="00477F17" w:rsidRPr="006C5B94">
        <w:t xml:space="preserve">subsidised places, which seems far from ideal. Of course a </w:t>
      </w:r>
      <w:r w:rsidR="00C03E5F">
        <w:t>FEE-HELP</w:t>
      </w:r>
      <w:r w:rsidR="00477F17" w:rsidRPr="006C5B94">
        <w:t xml:space="preserve"> place is better than an offer of no place at all in a world where public investment has to be limited at some point but it is not clear that </w:t>
      </w:r>
      <w:r w:rsidR="003A0C4E">
        <w:t xml:space="preserve">past </w:t>
      </w:r>
      <w:r w:rsidR="00477F17" w:rsidRPr="006C5B94">
        <w:t xml:space="preserve">academic </w:t>
      </w:r>
      <w:r w:rsidR="003A0C4E">
        <w:t xml:space="preserve">record </w:t>
      </w:r>
      <w:r w:rsidR="00477F17" w:rsidRPr="006C5B94">
        <w:t>alone was going to provide the most effective rationing of public investment. Before this could really be tested, the Go</w:t>
      </w:r>
      <w:r w:rsidR="00E67815">
        <w:t>vernment announced a ‘demand driven</w:t>
      </w:r>
      <w:r w:rsidR="00477F17" w:rsidRPr="006C5B94">
        <w:t>’ approach that would remove the cap on subsidised HECS-HELP places</w:t>
      </w:r>
      <w:r w:rsidR="00672FCF">
        <w:t>. Nevertheless,</w:t>
      </w:r>
      <w:r w:rsidR="00477F17" w:rsidRPr="006C5B94">
        <w:t xml:space="preserve"> these observations remain challenging for anyone proposing that a </w:t>
      </w:r>
      <w:r w:rsidR="00C03E5F">
        <w:t>FEE-HELP</w:t>
      </w:r>
      <w:r w:rsidR="00477F17" w:rsidRPr="006C5B94">
        <w:t xml:space="preserve"> style model could be used</w:t>
      </w:r>
      <w:r w:rsidR="00672FCF">
        <w:t xml:space="preserve"> to soak up excess demand for university places</w:t>
      </w:r>
      <w:r w:rsidR="00477F17" w:rsidRPr="006C5B94">
        <w:t xml:space="preserve">. Not unresolvable but challenging. </w:t>
      </w:r>
    </w:p>
    <w:p w14:paraId="78AF0D73" w14:textId="77777777" w:rsidR="00260853" w:rsidRPr="006C5B94" w:rsidRDefault="00260853">
      <w:pPr>
        <w:rPr>
          <w:b/>
        </w:rPr>
      </w:pPr>
    </w:p>
    <w:p w14:paraId="6EA3DB94" w14:textId="77777777" w:rsidR="002C4EC7" w:rsidRPr="006C5B94" w:rsidRDefault="002C4EC7">
      <w:pPr>
        <w:rPr>
          <w:rFonts w:asciiTheme="majorHAnsi" w:eastAsiaTheme="majorEastAsia" w:hAnsiTheme="majorHAnsi" w:cstheme="majorBidi"/>
          <w:b/>
          <w:bCs/>
          <w:color w:val="365F91" w:themeColor="accent1" w:themeShade="BF"/>
          <w:sz w:val="28"/>
          <w:szCs w:val="28"/>
        </w:rPr>
      </w:pPr>
      <w:r w:rsidRPr="006C5B94">
        <w:br w:type="page"/>
      </w:r>
    </w:p>
    <w:p w14:paraId="1F2B9EB3" w14:textId="77777777" w:rsidR="00C34C45" w:rsidRPr="006C5B94" w:rsidRDefault="006B747D" w:rsidP="006B747D">
      <w:pPr>
        <w:pStyle w:val="Heading1"/>
      </w:pPr>
      <w:bookmarkStart w:id="11" w:name="_Toc259883098"/>
      <w:r w:rsidRPr="006C5B94">
        <w:t xml:space="preserve">Chapter 3/ </w:t>
      </w:r>
      <w:r w:rsidR="00C34C45" w:rsidRPr="006C5B94">
        <w:t>Public v. private universities in the two systems</w:t>
      </w:r>
      <w:bookmarkEnd w:id="11"/>
    </w:p>
    <w:p w14:paraId="6773FC16" w14:textId="77777777" w:rsidR="006B747D" w:rsidRPr="006C5B94" w:rsidRDefault="006B747D" w:rsidP="00C34C45"/>
    <w:p w14:paraId="679AC7A2" w14:textId="56E2DCFE" w:rsidR="00260853" w:rsidRPr="006C5B94" w:rsidRDefault="00713DA2" w:rsidP="00C34C45">
      <w:r w:rsidRPr="006C5B94">
        <w:t xml:space="preserve">The increase </w:t>
      </w:r>
      <w:r w:rsidR="004F0254">
        <w:t>in</w:t>
      </w:r>
      <w:r w:rsidRPr="006C5B94">
        <w:t xml:space="preserve"> alternative providers of higher education </w:t>
      </w:r>
      <w:r w:rsidR="009C4C48">
        <w:t>is an important component of</w:t>
      </w:r>
      <w:r w:rsidRPr="006C5B94">
        <w:t xml:space="preserve"> a healthy, diverse system that is constantly adapting to meet the changing needs of an evolving </w:t>
      </w:r>
      <w:r w:rsidR="009C4C48">
        <w:t>labour market</w:t>
      </w:r>
      <w:r w:rsidRPr="006C5B94">
        <w:t xml:space="preserve"> and society. </w:t>
      </w:r>
      <w:r w:rsidR="00260853" w:rsidRPr="006C5B94">
        <w:t>Historically, the two system</w:t>
      </w:r>
      <w:r w:rsidR="009C4C48">
        <w:t>s</w:t>
      </w:r>
      <w:r w:rsidR="00260853" w:rsidRPr="006C5B94">
        <w:t xml:space="preserve"> have distinguished between </w:t>
      </w:r>
      <w:r w:rsidR="009C4C48">
        <w:t>‘</w:t>
      </w:r>
      <w:r w:rsidR="00260853" w:rsidRPr="006C5B94">
        <w:t>public</w:t>
      </w:r>
      <w:r w:rsidR="009C4C48">
        <w:t>’</w:t>
      </w:r>
      <w:r w:rsidR="00260853" w:rsidRPr="006C5B94">
        <w:t xml:space="preserve"> and </w:t>
      </w:r>
      <w:r w:rsidR="009C4C48">
        <w:t>‘</w:t>
      </w:r>
      <w:r w:rsidR="00260853" w:rsidRPr="006C5B94">
        <w:t>private</w:t>
      </w:r>
      <w:r w:rsidR="009C4C48">
        <w:t>’</w:t>
      </w:r>
      <w:r w:rsidR="00260853" w:rsidRPr="006C5B94">
        <w:t xml:space="preserve"> institutions in similar ways, based on the principle that private for-profit universities should not </w:t>
      </w:r>
      <w:r w:rsidR="009C4C48">
        <w:t>receive</w:t>
      </w:r>
      <w:r w:rsidR="00260853" w:rsidRPr="006C5B94">
        <w:t xml:space="preserve"> public </w:t>
      </w:r>
      <w:r w:rsidRPr="006C5B94">
        <w:t>investment</w:t>
      </w:r>
      <w:r w:rsidR="00260853" w:rsidRPr="006C5B94">
        <w:t>. The introduction of fee loans – or more importantly fee loans that carry public subsidy –</w:t>
      </w:r>
      <w:r w:rsidR="00DE69CC" w:rsidRPr="006C5B94">
        <w:t xml:space="preserve"> alongside the diversification of providers, including the growth of private</w:t>
      </w:r>
      <w:r w:rsidRPr="006C5B94">
        <w:t xml:space="preserve"> for-profit</w:t>
      </w:r>
      <w:r w:rsidR="00DE69CC" w:rsidRPr="006C5B94">
        <w:t xml:space="preserve"> providers, </w:t>
      </w:r>
      <w:r w:rsidR="00260853" w:rsidRPr="006C5B94">
        <w:t>has made this issue more complicated in both countries.</w:t>
      </w:r>
      <w:r w:rsidR="00F47E15">
        <w:t xml:space="preserve"> </w:t>
      </w:r>
    </w:p>
    <w:p w14:paraId="37E9846B" w14:textId="23D375C2" w:rsidR="00713DA2" w:rsidRPr="006C5B94" w:rsidRDefault="00260853" w:rsidP="00260853">
      <w:r w:rsidRPr="006C5B94">
        <w:t xml:space="preserve">Before looking at this issue </w:t>
      </w:r>
      <w:r w:rsidR="00713DA2" w:rsidRPr="006C5B94">
        <w:t>further</w:t>
      </w:r>
      <w:r w:rsidRPr="006C5B94">
        <w:t xml:space="preserve">, we need to remind ourselves that all ‘public’ universities are actually </w:t>
      </w:r>
      <w:r w:rsidR="009C2E12">
        <w:t xml:space="preserve">autonomous, </w:t>
      </w:r>
      <w:r w:rsidRPr="006C5B94">
        <w:t>priva</w:t>
      </w:r>
      <w:r w:rsidR="009C2E12">
        <w:t xml:space="preserve">te, charitable organisations that </w:t>
      </w:r>
      <w:r w:rsidR="009C4C48">
        <w:t>receive</w:t>
      </w:r>
      <w:r w:rsidRPr="006C5B94">
        <w:t xml:space="preserve"> public income. They are often referred to a</w:t>
      </w:r>
      <w:r w:rsidR="00713DA2" w:rsidRPr="006C5B94">
        <w:t>s</w:t>
      </w:r>
      <w:r w:rsidRPr="006C5B94">
        <w:t xml:space="preserve"> ‘public’ </w:t>
      </w:r>
      <w:r w:rsidR="00713DA2" w:rsidRPr="006C5B94">
        <w:t xml:space="preserve">institutions </w:t>
      </w:r>
      <w:r w:rsidRPr="006C5B94">
        <w:t>because of their</w:t>
      </w:r>
      <w:r w:rsidR="009C2E12">
        <w:t xml:space="preserve"> long</w:t>
      </w:r>
      <w:r w:rsidR="004F0254">
        <w:t>-</w:t>
      </w:r>
      <w:r w:rsidR="009C2E12">
        <w:t>standing</w:t>
      </w:r>
      <w:r w:rsidRPr="006C5B94">
        <w:t xml:space="preserve"> </w:t>
      </w:r>
      <w:r w:rsidR="00DE69CC" w:rsidRPr="006C5B94">
        <w:t xml:space="preserve">commitment to </w:t>
      </w:r>
      <w:r w:rsidR="009C2E12">
        <w:t>delivering, and having concern for, the</w:t>
      </w:r>
      <w:r w:rsidR="00DE69CC" w:rsidRPr="006C5B94">
        <w:t xml:space="preserve"> ‘public good’. T</w:t>
      </w:r>
      <w:r w:rsidRPr="006C5B94">
        <w:t xml:space="preserve">he success of both the </w:t>
      </w:r>
      <w:r w:rsidR="007779C1" w:rsidRPr="006C5B94">
        <w:t>English</w:t>
      </w:r>
      <w:r w:rsidRPr="006C5B94">
        <w:t xml:space="preserve"> and Australian university systems </w:t>
      </w:r>
      <w:r w:rsidR="009C2E12">
        <w:t>are</w:t>
      </w:r>
      <w:r w:rsidRPr="006C5B94">
        <w:t xml:space="preserve"> in large part </w:t>
      </w:r>
      <w:r w:rsidR="00713DA2" w:rsidRPr="006C5B94">
        <w:t xml:space="preserve">predicated on the </w:t>
      </w:r>
      <w:r w:rsidRPr="006C5B94">
        <w:t>institutional autonomy</w:t>
      </w:r>
      <w:r w:rsidR="00713DA2" w:rsidRPr="006C5B94">
        <w:t xml:space="preserve"> of our universities so it is important to remember this detail</w:t>
      </w:r>
      <w:r w:rsidRPr="006C5B94">
        <w:t xml:space="preserve">. </w:t>
      </w:r>
    </w:p>
    <w:p w14:paraId="1489CC4C" w14:textId="77777777" w:rsidR="00260853" w:rsidRPr="006C5B94" w:rsidRDefault="009C4C48" w:rsidP="00C34C45">
      <w:r>
        <w:t>T</w:t>
      </w:r>
      <w:r w:rsidR="00713DA2" w:rsidRPr="006C5B94">
        <w:t>he</w:t>
      </w:r>
      <w:r w:rsidR="00A31406" w:rsidRPr="006C5B94">
        <w:t xml:space="preserve">re is </w:t>
      </w:r>
      <w:r>
        <w:t xml:space="preserve">also </w:t>
      </w:r>
      <w:r w:rsidR="00A31406" w:rsidRPr="006C5B94">
        <w:t>an important distinction to make</w:t>
      </w:r>
      <w:r w:rsidR="00713DA2" w:rsidRPr="006C5B94">
        <w:t xml:space="preserve"> between</w:t>
      </w:r>
      <w:r>
        <w:t xml:space="preserve"> private</w:t>
      </w:r>
      <w:r w:rsidR="00713DA2" w:rsidRPr="006C5B94">
        <w:t xml:space="preserve"> not-for-profit and the rise of the new for-profit institutions in the higher education market. The former have existed, albeit on a limited basis, for a long time</w:t>
      </w:r>
      <w:r>
        <w:t xml:space="preserve"> in the UK</w:t>
      </w:r>
      <w:r w:rsidR="00713DA2" w:rsidRPr="006C5B94">
        <w:t xml:space="preserve"> and may indeed have elements of the ‘public good’ in their object</w:t>
      </w:r>
      <w:r w:rsidR="004A2C8E">
        <w:t>ive</w:t>
      </w:r>
      <w:r w:rsidR="00713DA2" w:rsidRPr="006C5B94">
        <w:t xml:space="preserve">s. By contrast, for-profit universities </w:t>
      </w:r>
      <w:r>
        <w:t>are, by definition,</w:t>
      </w:r>
      <w:r w:rsidR="00713DA2" w:rsidRPr="006C5B94">
        <w:t xml:space="preserve"> driven by delivering a profitable product to market</w:t>
      </w:r>
      <w:r w:rsidR="00A31406" w:rsidRPr="006C5B94">
        <w:t xml:space="preserve"> and are very unlikely to be concerned about the wider public good</w:t>
      </w:r>
      <w:r w:rsidR="00713DA2" w:rsidRPr="006C5B94">
        <w:t>. For-profit universities will no doubt gain a growing share of the higher education market in both countries in future years</w:t>
      </w:r>
      <w:r w:rsidR="009C760F" w:rsidRPr="006C5B94">
        <w:t xml:space="preserve">. The question I would like to examine is how well the funding and regulatory systems in </w:t>
      </w:r>
      <w:r w:rsidR="007779C1" w:rsidRPr="006C5B94">
        <w:t>England</w:t>
      </w:r>
      <w:r w:rsidR="009C760F" w:rsidRPr="006C5B94">
        <w:t xml:space="preserve"> and Australia are able to manage the growth of for</w:t>
      </w:r>
      <w:r w:rsidR="00A31406" w:rsidRPr="006C5B94">
        <w:t xml:space="preserve">-profit providers in a way that maximises the positives (choice, diversity, quality) and minimises the risks (fraudulent </w:t>
      </w:r>
      <w:r>
        <w:t xml:space="preserve">or exploitative </w:t>
      </w:r>
      <w:r w:rsidR="00A31406" w:rsidRPr="006C5B94">
        <w:t>providers, low-quality provision, high dropout)</w:t>
      </w:r>
      <w:r w:rsidR="009C760F" w:rsidRPr="006C5B94">
        <w:t>. There are lessons to be learnt from both systems.</w:t>
      </w:r>
    </w:p>
    <w:p w14:paraId="056F47C5" w14:textId="77777777" w:rsidR="005F6303" w:rsidRPr="006C5B94" w:rsidRDefault="006B747D" w:rsidP="006B747D">
      <w:pPr>
        <w:pStyle w:val="Heading2"/>
      </w:pPr>
      <w:bookmarkStart w:id="12" w:name="_Toc259883099"/>
      <w:r w:rsidRPr="006C5B94">
        <w:t>Treatment of f</w:t>
      </w:r>
      <w:r w:rsidR="005F6303" w:rsidRPr="006C5B94">
        <w:t xml:space="preserve">or-profit providers in the </w:t>
      </w:r>
      <w:r w:rsidR="007779C1" w:rsidRPr="006C5B94">
        <w:t xml:space="preserve">English </w:t>
      </w:r>
      <w:r w:rsidR="005F6303" w:rsidRPr="006C5B94">
        <w:t>and Australian system</w:t>
      </w:r>
      <w:r w:rsidR="004A2C8E">
        <w:t>s</w:t>
      </w:r>
      <w:bookmarkEnd w:id="12"/>
    </w:p>
    <w:p w14:paraId="192100F9" w14:textId="19964A7A" w:rsidR="005F6303" w:rsidRPr="006C5B94" w:rsidRDefault="005F6303" w:rsidP="005F6303">
      <w:r w:rsidRPr="006C5B94">
        <w:t>Historically, the Higher Education Funding Council for England (HEFCE) has been explicit in constraining HE funding to ensure that public investment in higher education does not go to for-profit providers.</w:t>
      </w:r>
      <w:r w:rsidR="00F47E15">
        <w:t xml:space="preserve"> </w:t>
      </w:r>
      <w:r w:rsidRPr="006C5B94">
        <w:t>The 2012 reforms and the</w:t>
      </w:r>
      <w:r w:rsidR="009C4C48">
        <w:t xml:space="preserve"> introduction of £9,000 fees have</w:t>
      </w:r>
      <w:r w:rsidRPr="006C5B94">
        <w:t xml:space="preserve"> shif</w:t>
      </w:r>
      <w:r w:rsidR="009C4C48">
        <w:t>ted the landscape for</w:t>
      </w:r>
      <w:r w:rsidRPr="006C5B94">
        <w:t xml:space="preserve"> for-profit providers. </w:t>
      </w:r>
      <w:r w:rsidR="003A0C4E">
        <w:t>A</w:t>
      </w:r>
      <w:r w:rsidRPr="006C5B94">
        <w:t xml:space="preserve">lternative providers (APs) currently have a lower </w:t>
      </w:r>
      <w:r w:rsidR="003A0C4E">
        <w:t>tuition loan</w:t>
      </w:r>
      <w:r w:rsidR="003A0C4E" w:rsidRPr="006C5B94">
        <w:t xml:space="preserve"> </w:t>
      </w:r>
      <w:r w:rsidRPr="006C5B94">
        <w:t>cap of £6,000. When you consider that these fee loans carry a significant public subsidy, t</w:t>
      </w:r>
      <w:r w:rsidR="009C4C48">
        <w:t>his is a major shift in</w:t>
      </w:r>
      <w:r w:rsidRPr="006C5B94">
        <w:t xml:space="preserve"> the flow of public investment in HE in </w:t>
      </w:r>
      <w:r w:rsidR="007779C1" w:rsidRPr="006C5B94">
        <w:t>England</w:t>
      </w:r>
      <w:r w:rsidRPr="006C5B94">
        <w:t>.</w:t>
      </w:r>
    </w:p>
    <w:p w14:paraId="222F10F9" w14:textId="238B8298" w:rsidR="00A0178E" w:rsidRDefault="005F6303" w:rsidP="00C34C45">
      <w:r w:rsidRPr="006C5B94">
        <w:t xml:space="preserve">The shift of funding away from direct public investment in teaching toward fee loan subsidy has resulted in a (perhaps) unintended </w:t>
      </w:r>
      <w:r w:rsidR="009C4C48">
        <w:t>redirection of</w:t>
      </w:r>
      <w:r w:rsidRPr="006C5B94">
        <w:t xml:space="preserve"> public subsidy </w:t>
      </w:r>
      <w:r w:rsidR="00A0178E">
        <w:t>in</w:t>
      </w:r>
      <w:r w:rsidRPr="006C5B94">
        <w:t>to for-profit providers at present. Possibly due to the very small numbers involved or the lack of awareness about the public subsidy of fee loans, this has not registered in public debate so far but it does</w:t>
      </w:r>
      <w:r w:rsidR="00A0178E">
        <w:t xml:space="preserve">, </w:t>
      </w:r>
      <w:r w:rsidR="00AF3100" w:rsidRPr="006C5B94">
        <w:t>and still could</w:t>
      </w:r>
      <w:r w:rsidR="00A0178E">
        <w:t>, raise some interesting issues.</w:t>
      </w:r>
      <w:r w:rsidR="004F0254">
        <w:t xml:space="preserve"> </w:t>
      </w:r>
      <w:r w:rsidR="003D119D" w:rsidRPr="006C5B94">
        <w:t>Because the Australian model provides the option of a</w:t>
      </w:r>
      <w:r w:rsidR="00A0178E">
        <w:t>n undergraduate</w:t>
      </w:r>
      <w:r w:rsidR="003D119D" w:rsidRPr="006C5B94">
        <w:t xml:space="preserve"> </w:t>
      </w:r>
      <w:r w:rsidR="00C03E5F">
        <w:t>FEE-HELP</w:t>
      </w:r>
      <w:r w:rsidR="003D119D" w:rsidRPr="006C5B94">
        <w:t xml:space="preserve"> loan that carries </w:t>
      </w:r>
      <w:r w:rsidR="009C4C48">
        <w:t xml:space="preserve">almost no </w:t>
      </w:r>
      <w:r w:rsidR="003D119D" w:rsidRPr="006C5B94">
        <w:t xml:space="preserve">subsidy, it offers an obvious solution to this issue whereby students at for-profit providers have access to </w:t>
      </w:r>
      <w:r w:rsidR="00C03E5F">
        <w:t>FEE-HELP</w:t>
      </w:r>
      <w:r w:rsidR="003D119D" w:rsidRPr="006C5B94">
        <w:t xml:space="preserve"> but not to subsidised </w:t>
      </w:r>
      <w:r w:rsidR="00C03E5F">
        <w:t>HECS-HELP</w:t>
      </w:r>
      <w:r w:rsidR="003D119D" w:rsidRPr="006C5B94">
        <w:t xml:space="preserve"> loans. </w:t>
      </w:r>
    </w:p>
    <w:p w14:paraId="02AAE2FF" w14:textId="77777777" w:rsidR="005F6303" w:rsidRPr="006C5B94" w:rsidRDefault="00A0178E" w:rsidP="00C34C45">
      <w:r>
        <w:t>The</w:t>
      </w:r>
      <w:r w:rsidR="003D119D" w:rsidRPr="006C5B94">
        <w:t xml:space="preserve"> Australia</w:t>
      </w:r>
      <w:r>
        <w:t>n approach</w:t>
      </w:r>
      <w:r w:rsidR="003D119D" w:rsidRPr="006C5B94">
        <w:t xml:space="preserve"> carries obvious lessons for </w:t>
      </w:r>
      <w:r w:rsidR="007779C1" w:rsidRPr="006C5B94">
        <w:t>England</w:t>
      </w:r>
      <w:r w:rsidR="003D119D" w:rsidRPr="006C5B94">
        <w:t xml:space="preserve"> in providing clarity of allocation of public investment whilst still providing fee loans to all students. It is interesting to recognise, however, that there is growing pressure from for-profit providers in </w:t>
      </w:r>
      <w:r w:rsidR="009C4C48">
        <w:t>Australia</w:t>
      </w:r>
      <w:r w:rsidR="003D119D" w:rsidRPr="006C5B94">
        <w:t xml:space="preserve"> to allow their students access to the subsidised </w:t>
      </w:r>
      <w:r w:rsidR="00C03E5F">
        <w:t>HECS-HELP</w:t>
      </w:r>
      <w:r w:rsidR="003D119D" w:rsidRPr="006C5B94">
        <w:t xml:space="preserve"> loans. It is, therefo</w:t>
      </w:r>
      <w:r w:rsidR="009C4C48">
        <w:t>re, possible that Australia</w:t>
      </w:r>
      <w:r w:rsidR="003D119D" w:rsidRPr="006C5B94">
        <w:t xml:space="preserve"> might move closer to </w:t>
      </w:r>
      <w:r w:rsidR="00D41189" w:rsidRPr="006C5B94">
        <w:t>the English sy</w:t>
      </w:r>
      <w:r w:rsidR="00EA378A" w:rsidRPr="006C5B94">
        <w:t>s</w:t>
      </w:r>
      <w:r w:rsidR="00D41189" w:rsidRPr="006C5B94">
        <w:t>tem</w:t>
      </w:r>
      <w:r w:rsidR="003D119D" w:rsidRPr="006C5B94">
        <w:t xml:space="preserve"> on this issue rather than the other way around. The public-political discourse on this issue is likely to decide the outcome in both countries, although </w:t>
      </w:r>
      <w:r w:rsidR="007779C1" w:rsidRPr="006C5B94">
        <w:t>England</w:t>
      </w:r>
      <w:r w:rsidR="003D119D" w:rsidRPr="006C5B94">
        <w:t xml:space="preserve"> doesn’t have an alternative loan offer as things stand at present. </w:t>
      </w:r>
    </w:p>
    <w:p w14:paraId="70D30F80" w14:textId="77777777" w:rsidR="006E4497" w:rsidRPr="006C5B94" w:rsidRDefault="006E4497" w:rsidP="006B747D">
      <w:pPr>
        <w:pStyle w:val="Heading2"/>
      </w:pPr>
      <w:bookmarkStart w:id="13" w:name="_Toc259883100"/>
      <w:r w:rsidRPr="006C5B94">
        <w:t>Fu</w:t>
      </w:r>
      <w:r w:rsidR="00A0178E">
        <w:t>nding on the basis of</w:t>
      </w:r>
      <w:r w:rsidR="00016826">
        <w:t xml:space="preserve"> retention</w:t>
      </w:r>
      <w:bookmarkEnd w:id="13"/>
    </w:p>
    <w:p w14:paraId="6C068A8D" w14:textId="5FAAB8E1" w:rsidR="006E4497" w:rsidRPr="006C5B94" w:rsidRDefault="006E4497" w:rsidP="00C34C45">
      <w:r w:rsidRPr="006C5B94">
        <w:t xml:space="preserve">One string in the bow of the English system that the Australians might do well to </w:t>
      </w:r>
      <w:r w:rsidR="00016826">
        <w:t xml:space="preserve">consider is </w:t>
      </w:r>
      <w:r w:rsidR="00A0178E">
        <w:t xml:space="preserve">a </w:t>
      </w:r>
      <w:r w:rsidRPr="006C5B94">
        <w:t>funding</w:t>
      </w:r>
      <w:r w:rsidR="00A0178E">
        <w:t xml:space="preserve"> system that is more responsive to</w:t>
      </w:r>
      <w:r w:rsidRPr="006C5B94">
        <w:t xml:space="preserve"> </w:t>
      </w:r>
      <w:r w:rsidR="00016826">
        <w:t>retention</w:t>
      </w:r>
      <w:r w:rsidRPr="006C5B94">
        <w:t>.</w:t>
      </w:r>
      <w:r w:rsidR="00F47E15">
        <w:t xml:space="preserve"> </w:t>
      </w:r>
      <w:r w:rsidRPr="006C5B94">
        <w:t xml:space="preserve">In </w:t>
      </w:r>
      <w:r w:rsidR="00016826">
        <w:t>England’s</w:t>
      </w:r>
      <w:r w:rsidRPr="006C5B94">
        <w:t xml:space="preserve"> pre-2012 funding system, the HEFCE funding methodology ensured that funding was on the basis of completion</w:t>
      </w:r>
      <w:r w:rsidR="00016826">
        <w:t xml:space="preserve"> of that year of study,</w:t>
      </w:r>
      <w:r w:rsidRPr="006C5B94">
        <w:t xml:space="preserve"> with adjustments made for any students that dropped out throughout the year. Whilst this had</w:t>
      </w:r>
      <w:r w:rsidR="00016826">
        <w:t xml:space="preserve"> to be changed with a shift to</w:t>
      </w:r>
      <w:r w:rsidRPr="006C5B94">
        <w:t xml:space="preserve"> fee-based </w:t>
      </w:r>
      <w:r w:rsidR="00016826">
        <w:t>funding</w:t>
      </w:r>
      <w:r w:rsidRPr="006C5B94">
        <w:t xml:space="preserve">, England sensibly preserved the principle and ensured that fee loans are paid to universities at three </w:t>
      </w:r>
      <w:r w:rsidR="00FE5979" w:rsidRPr="006C5B94">
        <w:t>points throughout the year – allowing funding to be withheld for any students that have dropped out.</w:t>
      </w:r>
      <w:r w:rsidR="00F47E15">
        <w:t xml:space="preserve"> </w:t>
      </w:r>
      <w:r w:rsidR="00FE5979" w:rsidRPr="006C5B94">
        <w:t>By</w:t>
      </w:r>
      <w:r w:rsidR="00016826">
        <w:t xml:space="preserve"> contrast, in Australia,</w:t>
      </w:r>
      <w:r w:rsidR="00FE5979" w:rsidRPr="006C5B94">
        <w:t xml:space="preserve"> funding – base funding and fee l</w:t>
      </w:r>
      <w:r w:rsidR="00A0178E">
        <w:t>oan income – is received in one instalment</w:t>
      </w:r>
      <w:r w:rsidR="00FE5979" w:rsidRPr="006C5B94">
        <w:t>.</w:t>
      </w:r>
      <w:r w:rsidR="00016826">
        <w:t xml:space="preserve"> More precisely, funding is received on the basis of those students who remain enrolled </w:t>
      </w:r>
      <w:r w:rsidR="00A0178E">
        <w:t>at the census date, which is no more than 20% of the way through the unit. T</w:t>
      </w:r>
      <w:r w:rsidR="00016826">
        <w:t xml:space="preserve">he Australian Government </w:t>
      </w:r>
      <w:r w:rsidR="000F7A98">
        <w:t xml:space="preserve">does adjust </w:t>
      </w:r>
      <w:r w:rsidR="00A0178E">
        <w:t>base funding according to information collected on the census date</w:t>
      </w:r>
      <w:r w:rsidR="00016826">
        <w:t>. Nevertheless there is considerable scope to increase the responsiveness of funding to retention in Australia.</w:t>
      </w:r>
    </w:p>
    <w:p w14:paraId="51FE271A" w14:textId="28C7E8EE" w:rsidR="00FE5979" w:rsidRPr="006C5B94" w:rsidRDefault="004641AA" w:rsidP="00C34C45">
      <w:r>
        <w:t xml:space="preserve">England has a hard wired disincentive for fraudulent activity by </w:t>
      </w:r>
      <w:r w:rsidR="00E04AC5">
        <w:t>rogue providers</w:t>
      </w:r>
      <w:r>
        <w:t>.</w:t>
      </w:r>
      <w:r w:rsidR="00F47E15">
        <w:t xml:space="preserve"> </w:t>
      </w:r>
      <w:r w:rsidR="007F0A1C" w:rsidRPr="006C5B94">
        <w:t>Whilst this has not been a major issue in the Australian higher education system</w:t>
      </w:r>
      <w:r>
        <w:t xml:space="preserve"> recently</w:t>
      </w:r>
      <w:r w:rsidR="007F0A1C" w:rsidRPr="006C5B94">
        <w:t xml:space="preserve">, it has </w:t>
      </w:r>
      <w:r w:rsidR="003453C3">
        <w:t>been a concern in the further education (FE) or VET (vocational education and training)</w:t>
      </w:r>
      <w:r w:rsidR="007F0A1C" w:rsidRPr="006C5B94">
        <w:t xml:space="preserve"> sector with the unwelcome activity of s</w:t>
      </w:r>
      <w:r w:rsidR="005542A8">
        <w:t>ome rogue RTOs (Registered Training</w:t>
      </w:r>
      <w:r w:rsidR="007F0A1C" w:rsidRPr="006C5B94">
        <w:t xml:space="preserve"> Organisations).</w:t>
      </w:r>
      <w:r w:rsidR="00F47E15">
        <w:t xml:space="preserve"> </w:t>
      </w:r>
      <w:r w:rsidR="007F0A1C" w:rsidRPr="006C5B94">
        <w:t xml:space="preserve">Funding on the basis of </w:t>
      </w:r>
      <w:r w:rsidR="00016826">
        <w:t>retention</w:t>
      </w:r>
      <w:r w:rsidR="007F0A1C" w:rsidRPr="006C5B94">
        <w:t xml:space="preserve"> also provides more options for managing rising rates of non-completion or drop-out – something that might be more relevant to the Australian HE sector in an era of </w:t>
      </w:r>
      <w:r w:rsidR="00E67815">
        <w:t>‘demand driven</w:t>
      </w:r>
      <w:r w:rsidR="008267F8" w:rsidRPr="006C5B94">
        <w:t xml:space="preserve">’ </w:t>
      </w:r>
      <w:r w:rsidR="007F0A1C" w:rsidRPr="006C5B94">
        <w:t xml:space="preserve">expansion </w:t>
      </w:r>
      <w:r w:rsidR="005102DA" w:rsidRPr="006C5B94">
        <w:t>with declining ATAR</w:t>
      </w:r>
      <w:r w:rsidR="005102DA" w:rsidRPr="006C5B94">
        <w:rPr>
          <w:rStyle w:val="FootnoteReference"/>
        </w:rPr>
        <w:footnoteReference w:id="12"/>
      </w:r>
      <w:r w:rsidR="005102DA" w:rsidRPr="006C5B94">
        <w:t xml:space="preserve"> entry scores </w:t>
      </w:r>
      <w:r w:rsidR="007F0A1C" w:rsidRPr="006C5B94">
        <w:t>perhaps.</w:t>
      </w:r>
    </w:p>
    <w:tbl>
      <w:tblPr>
        <w:tblStyle w:val="LightShading-Accent2"/>
        <w:tblW w:w="0" w:type="auto"/>
        <w:tblLook w:val="04A0" w:firstRow="1" w:lastRow="0" w:firstColumn="1" w:lastColumn="0" w:noHBand="0" w:noVBand="1"/>
      </w:tblPr>
      <w:tblGrid>
        <w:gridCol w:w="9264"/>
      </w:tblGrid>
      <w:tr w:rsidR="00EA48A0" w:rsidRPr="006C5B94" w14:paraId="5340B1F9" w14:textId="77777777" w:rsidTr="00EA4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1E2EEF3B" w14:textId="74FECFE9" w:rsidR="00EA48A0" w:rsidRPr="006C5B94" w:rsidRDefault="00251DE7" w:rsidP="00EA48A0">
            <w:pPr>
              <w:ind w:left="142"/>
              <w:rPr>
                <w:color w:val="0070C0"/>
              </w:rPr>
            </w:pPr>
            <w:r>
              <w:rPr>
                <w:bCs w:val="0"/>
              </w:rPr>
              <w:t>8</w:t>
            </w:r>
            <w:r w:rsidR="00EA48A0" w:rsidRPr="006C5B94">
              <w:rPr>
                <w:bCs w:val="0"/>
              </w:rPr>
              <w:t xml:space="preserve">/ </w:t>
            </w:r>
            <w:r w:rsidR="00CA3D65" w:rsidRPr="006C5B94">
              <w:t xml:space="preserve">For England, </w:t>
            </w:r>
            <w:r w:rsidR="00CA3D65">
              <w:t>possibly the most important lessons can be learnt from the undergraduate FEE-HELP loan</w:t>
            </w:r>
            <w:r w:rsidR="00D12C7D">
              <w:t xml:space="preserve"> design</w:t>
            </w:r>
            <w:r w:rsidR="00CA3D65">
              <w:t xml:space="preserve"> in particular; a Government fee loan system that carries little or no public subsidy.</w:t>
            </w:r>
            <w:r w:rsidR="00F47E15">
              <w:t xml:space="preserve"> </w:t>
            </w:r>
            <w:r w:rsidR="00CA3D65" w:rsidRPr="006C5B94">
              <w:t xml:space="preserve">And for Australia, some considerations about the benefits of </w:t>
            </w:r>
            <w:r w:rsidR="00CA3D65">
              <w:t xml:space="preserve">a </w:t>
            </w:r>
            <w:r w:rsidR="00CA3D65" w:rsidRPr="006C5B94">
              <w:t xml:space="preserve">funding </w:t>
            </w:r>
            <w:r w:rsidR="00CA3D65">
              <w:t>system that is more responsive to</w:t>
            </w:r>
            <w:r w:rsidR="00CA3D65" w:rsidRPr="006C5B94">
              <w:t xml:space="preserve"> </w:t>
            </w:r>
            <w:r w:rsidR="00CA3D65">
              <w:t>retention</w:t>
            </w:r>
            <w:r w:rsidR="00CA3D65" w:rsidRPr="006C5B94">
              <w:t>.</w:t>
            </w:r>
          </w:p>
          <w:p w14:paraId="099C7BA9" w14:textId="77777777" w:rsidR="00EA48A0" w:rsidRPr="006C5B94" w:rsidRDefault="00EA48A0" w:rsidP="00C34C45"/>
        </w:tc>
      </w:tr>
    </w:tbl>
    <w:p w14:paraId="73F88468" w14:textId="77777777" w:rsidR="00EA48A0" w:rsidRPr="006C5B94" w:rsidRDefault="00EA48A0" w:rsidP="00C34C45"/>
    <w:p w14:paraId="1FFC79A7" w14:textId="77777777" w:rsidR="00D247B8" w:rsidRPr="006C5B94" w:rsidRDefault="00D247B8">
      <w:pPr>
        <w:rPr>
          <w:b/>
        </w:rPr>
      </w:pPr>
      <w:r w:rsidRPr="006C5B94">
        <w:rPr>
          <w:b/>
        </w:rPr>
        <w:br w:type="page"/>
      </w:r>
    </w:p>
    <w:p w14:paraId="33D3B67D" w14:textId="77777777" w:rsidR="0032583C" w:rsidRPr="006C5B94" w:rsidRDefault="006B747D" w:rsidP="006B747D">
      <w:pPr>
        <w:pStyle w:val="Heading1"/>
      </w:pPr>
      <w:bookmarkStart w:id="14" w:name="_Toc259883101"/>
      <w:r w:rsidRPr="006C5B94">
        <w:t>Chapter 4/</w:t>
      </w:r>
      <w:r w:rsidR="00CD4963" w:rsidRPr="006C5B94">
        <w:t xml:space="preserve"> Design</w:t>
      </w:r>
      <w:r w:rsidRPr="006C5B94">
        <w:t xml:space="preserve"> of fee loans</w:t>
      </w:r>
      <w:bookmarkEnd w:id="14"/>
    </w:p>
    <w:p w14:paraId="5C0CA370" w14:textId="77777777" w:rsidR="0028158C" w:rsidRPr="006C5B94" w:rsidRDefault="0028158C" w:rsidP="006B747D"/>
    <w:p w14:paraId="6BE6EB35" w14:textId="6B752976" w:rsidR="0028158C" w:rsidRPr="006C5B94" w:rsidRDefault="0028158C" w:rsidP="006B747D">
      <w:r w:rsidRPr="006C5B94">
        <w:t>“An important principle of a well-designed loan system is that the loan is repaid</w:t>
      </w:r>
      <w:r w:rsidR="002D5E84" w:rsidRPr="006C5B94">
        <w:t>, in full,</w:t>
      </w:r>
      <w:r w:rsidRPr="006C5B94">
        <w:t xml:space="preserve"> by </w:t>
      </w:r>
      <w:r w:rsidR="00547381">
        <w:t>the majority of borrowers”</w:t>
      </w:r>
      <w:r w:rsidR="00F47E15">
        <w:t xml:space="preserve"> </w:t>
      </w:r>
      <w:r w:rsidR="00547381">
        <w:t>Nicholas</w:t>
      </w:r>
      <w:r w:rsidRPr="006C5B94">
        <w:t xml:space="preserve"> Barr, 2013.</w:t>
      </w:r>
    </w:p>
    <w:p w14:paraId="14DA4332" w14:textId="35B3EAE9" w:rsidR="00552390" w:rsidRPr="006C5B94" w:rsidRDefault="00552390" w:rsidP="000F202C">
      <w:r w:rsidRPr="006C5B94">
        <w:t>Arguably, this principle has been forgotten</w:t>
      </w:r>
      <w:r w:rsidR="003A0C4E">
        <w:t xml:space="preserve">, at least </w:t>
      </w:r>
      <w:r w:rsidRPr="006C5B94">
        <w:t xml:space="preserve">by </w:t>
      </w:r>
      <w:r w:rsidR="007779C1" w:rsidRPr="006C5B94">
        <w:t>England</w:t>
      </w:r>
      <w:r w:rsidRPr="006C5B94">
        <w:t>.</w:t>
      </w:r>
    </w:p>
    <w:p w14:paraId="1450A138" w14:textId="29C0FB4B" w:rsidR="000F202C" w:rsidRPr="006C5B94" w:rsidRDefault="000F202C" w:rsidP="000F202C">
      <w:r w:rsidRPr="006C5B94">
        <w:t>One of the motivating factors of undertaking this study was to get to the bottom of something that puzzled me – why is it that the Australian Government and officials and even their Treasury are so relaxed about the amount of fee loans going out in an expanding system?</w:t>
      </w:r>
      <w:r w:rsidR="00F47E15">
        <w:t xml:space="preserve"> </w:t>
      </w:r>
      <w:r w:rsidRPr="006C5B94">
        <w:t xml:space="preserve">They are certainly not relaxed about the growing cost of ‘base funding’ or Commonwealth funding (direct funding for teaching) so why </w:t>
      </w:r>
      <w:r w:rsidR="00916FCA">
        <w:t>are they so relaxed about loans?</w:t>
      </w:r>
      <w:r w:rsidRPr="006C5B94">
        <w:t xml:space="preserve"> In the context of growing concerns about the escalating subsidy of fee loans (or ‘RAB charge’) in </w:t>
      </w:r>
      <w:r w:rsidR="007779C1" w:rsidRPr="006C5B94">
        <w:t>England</w:t>
      </w:r>
      <w:r w:rsidRPr="006C5B94">
        <w:t xml:space="preserve">, you can understand why this was of particular interest. It is in large part related to the </w:t>
      </w:r>
      <w:r w:rsidR="002D5E84" w:rsidRPr="006C5B94">
        <w:t xml:space="preserve">overall </w:t>
      </w:r>
      <w:r w:rsidRPr="006C5B94">
        <w:t>system design already described in Chapter 2 but it is also related to the loan design in Australia, which we shall look at</w:t>
      </w:r>
      <w:r w:rsidR="002D5E84" w:rsidRPr="006C5B94">
        <w:t xml:space="preserve"> in detail</w:t>
      </w:r>
      <w:r w:rsidRPr="006C5B94">
        <w:t xml:space="preserve"> in this section. </w:t>
      </w:r>
    </w:p>
    <w:p w14:paraId="7445A2D4" w14:textId="167F392C" w:rsidR="000F202C" w:rsidRPr="006C5B94" w:rsidRDefault="00784436" w:rsidP="006B747D">
      <w:r w:rsidRPr="006C5B94">
        <w:t xml:space="preserve">As well as his first principle about </w:t>
      </w:r>
      <w:r w:rsidR="002D5E84" w:rsidRPr="006C5B94">
        <w:t xml:space="preserve">full </w:t>
      </w:r>
      <w:r w:rsidRPr="006C5B94">
        <w:t xml:space="preserve">repayment in the quote above, </w:t>
      </w:r>
      <w:r w:rsidR="00547381">
        <w:t>Nicholas</w:t>
      </w:r>
      <w:r w:rsidR="000F202C" w:rsidRPr="006C5B94">
        <w:t xml:space="preserve"> Barr has also argued that a well-designed loan system should protect low earners and achieve progressive repayments on an income-contingent basis. Whilst b</w:t>
      </w:r>
      <w:r w:rsidR="0006162A">
        <w:t>oth systems achieve well on these</w:t>
      </w:r>
      <w:r w:rsidR="000F202C" w:rsidRPr="006C5B94">
        <w:t xml:space="preserve"> count</w:t>
      </w:r>
      <w:r w:rsidR="0006162A">
        <w:t>s</w:t>
      </w:r>
      <w:r w:rsidR="000F202C" w:rsidRPr="006C5B94">
        <w:t>, they do</w:t>
      </w:r>
      <w:r w:rsidR="0006162A">
        <w:t xml:space="preserve"> much</w:t>
      </w:r>
      <w:r w:rsidR="000F202C" w:rsidRPr="006C5B94">
        <w:t xml:space="preserve"> less well on the first principle</w:t>
      </w:r>
      <w:r w:rsidRPr="006C5B94">
        <w:t xml:space="preserve"> of </w:t>
      </w:r>
      <w:r w:rsidR="002D5E84" w:rsidRPr="006C5B94">
        <w:t xml:space="preserve">full </w:t>
      </w:r>
      <w:r w:rsidRPr="006C5B94">
        <w:t>repayment</w:t>
      </w:r>
      <w:r w:rsidR="004A2C8E">
        <w:t xml:space="preserve"> by most borrowers</w:t>
      </w:r>
      <w:r w:rsidR="000F202C" w:rsidRPr="006C5B94">
        <w:t>.</w:t>
      </w:r>
      <w:r w:rsidR="00F47E15">
        <w:t xml:space="preserve"> </w:t>
      </w:r>
    </w:p>
    <w:p w14:paraId="2E8495C7" w14:textId="642264BB" w:rsidR="0028158C" w:rsidRPr="006C5B94" w:rsidRDefault="0028158C" w:rsidP="006B747D">
      <w:r w:rsidRPr="006C5B94">
        <w:t xml:space="preserve">This </w:t>
      </w:r>
      <w:r w:rsidR="000F202C" w:rsidRPr="006C5B94">
        <w:t xml:space="preserve">principle of </w:t>
      </w:r>
      <w:r w:rsidR="002D5E84" w:rsidRPr="006C5B94">
        <w:t xml:space="preserve">full </w:t>
      </w:r>
      <w:r w:rsidR="000F202C" w:rsidRPr="006C5B94">
        <w:t xml:space="preserve">repayment </w:t>
      </w:r>
      <w:r w:rsidRPr="006C5B94">
        <w:t xml:space="preserve">is </w:t>
      </w:r>
      <w:r w:rsidR="00784436" w:rsidRPr="006C5B94">
        <w:t xml:space="preserve">therefore </w:t>
      </w:r>
      <w:r w:rsidRPr="006C5B94">
        <w:t xml:space="preserve">an important challenge for the design of the fee loan system in both countries but perhaps more so in </w:t>
      </w:r>
      <w:r w:rsidR="007779C1" w:rsidRPr="006C5B94">
        <w:t>England</w:t>
      </w:r>
      <w:r w:rsidRPr="006C5B94">
        <w:t xml:space="preserve"> whe</w:t>
      </w:r>
      <w:r w:rsidR="00546F48">
        <w:t>re public subsidy is close to 45</w:t>
      </w:r>
      <w:r w:rsidRPr="006C5B94">
        <w:t>%</w:t>
      </w:r>
      <w:r w:rsidR="00D26A93" w:rsidRPr="006C5B94">
        <w:rPr>
          <w:rStyle w:val="FootnoteReference"/>
        </w:rPr>
        <w:footnoteReference w:id="13"/>
      </w:r>
      <w:r w:rsidRPr="006C5B94">
        <w:t xml:space="preserve">, the average repayment period is over 26 years and where </w:t>
      </w:r>
      <w:r w:rsidR="00552390" w:rsidRPr="006C5B94">
        <w:t xml:space="preserve">over </w:t>
      </w:r>
      <w:r w:rsidRPr="006C5B94">
        <w:t>60% of graduates are predicted to benefit from the write off of loans a</w:t>
      </w:r>
      <w:r w:rsidR="00552390" w:rsidRPr="006C5B94">
        <w:t xml:space="preserve">fter 30 years. </w:t>
      </w:r>
      <w:r w:rsidRPr="006C5B94">
        <w:t>In Australia, HECS-HELP loans do carry a public subsidy but it is a much lower figure of around 25%</w:t>
      </w:r>
      <w:r w:rsidR="0006162A">
        <w:t xml:space="preserve"> (similar to the 28% RAB charge of the pre-2012 English system)</w:t>
      </w:r>
      <w:r w:rsidRPr="006C5B94">
        <w:t xml:space="preserve"> with an aver</w:t>
      </w:r>
      <w:r w:rsidR="00916FCA">
        <w:t>age repayment period of just 8 years.</w:t>
      </w:r>
      <w:r w:rsidR="00F47E15">
        <w:t xml:space="preserve"> </w:t>
      </w:r>
      <w:r w:rsidR="00C03E5F">
        <w:t>FEE-HELP</w:t>
      </w:r>
      <w:r w:rsidRPr="006C5B94">
        <w:t xml:space="preserve"> loans stand out as passing this</w:t>
      </w:r>
      <w:r w:rsidR="00552390" w:rsidRPr="006C5B94">
        <w:t xml:space="preserve"> repayment</w:t>
      </w:r>
      <w:r w:rsidRPr="006C5B94">
        <w:t xml:space="preserve"> test for a well-designed loan system</w:t>
      </w:r>
      <w:r w:rsidR="0006162A">
        <w:t xml:space="preserve"> –</w:t>
      </w:r>
      <w:r w:rsidR="002B3358">
        <w:t xml:space="preserve"> </w:t>
      </w:r>
      <w:r w:rsidR="0006162A">
        <w:t>they get paid back in full by the cohort as a whole (if not every individual)</w:t>
      </w:r>
      <w:r w:rsidRPr="006C5B94">
        <w:t xml:space="preserve">. </w:t>
      </w:r>
      <w:r w:rsidR="00916FCA">
        <w:t xml:space="preserve">Undergraduate </w:t>
      </w:r>
      <w:r w:rsidR="00C03E5F">
        <w:t>FEE-HELP</w:t>
      </w:r>
      <w:r w:rsidRPr="006C5B94">
        <w:t xml:space="preserve"> loans carry virtually no public subsidy due to the surcharge added on graduation and also carry a relatively short repayment period despite maintaining a high earning threshold and progressive repayment structure.</w:t>
      </w:r>
    </w:p>
    <w:p w14:paraId="2F72C963" w14:textId="77777777" w:rsidR="00784436" w:rsidRPr="006C5B94" w:rsidRDefault="00784436" w:rsidP="006B747D">
      <w:r w:rsidRPr="006C5B94">
        <w:t>Understanding how differences in the design of the loan and repayment systems create these different outcomes deserves further investigation but</w:t>
      </w:r>
      <w:r w:rsidR="00552390" w:rsidRPr="006C5B94">
        <w:t>,</w:t>
      </w:r>
      <w:r w:rsidRPr="006C5B94">
        <w:t xml:space="preserve"> first, let us consider what we mean by an income-contingent loan.</w:t>
      </w:r>
    </w:p>
    <w:p w14:paraId="61A4A97D" w14:textId="77777777" w:rsidR="005375DE" w:rsidRPr="006C5B94" w:rsidRDefault="005375DE" w:rsidP="005375DE">
      <w:pPr>
        <w:pStyle w:val="Heading2"/>
      </w:pPr>
      <w:bookmarkStart w:id="15" w:name="_Toc259883102"/>
      <w:r w:rsidRPr="006C5B94">
        <w:t>Understanding income contingent loans</w:t>
      </w:r>
      <w:bookmarkEnd w:id="15"/>
    </w:p>
    <w:p w14:paraId="0507080A" w14:textId="5247B626" w:rsidR="000B0194" w:rsidRPr="006C5B94" w:rsidRDefault="000B0194" w:rsidP="000B0194">
      <w:r w:rsidRPr="006C5B94">
        <w:t xml:space="preserve">In a small higher education (HE) system it is </w:t>
      </w:r>
      <w:r w:rsidR="005375DE" w:rsidRPr="006C5B94">
        <w:t>feasible</w:t>
      </w:r>
      <w:r w:rsidR="00916FCA">
        <w:t>, albeit highly regressive,</w:t>
      </w:r>
      <w:r w:rsidRPr="006C5B94">
        <w:t xml:space="preserve"> for </w:t>
      </w:r>
      <w:r w:rsidR="005375DE" w:rsidRPr="006C5B94">
        <w:t xml:space="preserve">the </w:t>
      </w:r>
      <w:r w:rsidRPr="006C5B94">
        <w:t>government, in other words the taxpayer, to fund higher education</w:t>
      </w:r>
      <w:r w:rsidR="005375DE" w:rsidRPr="006C5B94">
        <w:t xml:space="preserve"> in full</w:t>
      </w:r>
      <w:sdt>
        <w:sdtPr>
          <w:id w:val="885612097"/>
          <w:citation/>
        </w:sdtPr>
        <w:sdtEndPr/>
        <w:sdtContent>
          <w:r w:rsidRPr="006C5B94">
            <w:fldChar w:fldCharType="begin"/>
          </w:r>
          <w:r w:rsidRPr="006C5B94">
            <w:instrText xml:space="preserve">CITATION Bar101 \t  \l 2057 </w:instrText>
          </w:r>
          <w:r w:rsidRPr="006C5B94">
            <w:fldChar w:fldCharType="separate"/>
          </w:r>
          <w:r w:rsidR="00653E76" w:rsidRPr="006C5B94">
            <w:rPr>
              <w:noProof/>
            </w:rPr>
            <w:t xml:space="preserve"> (Barr, 2010)</w:t>
          </w:r>
          <w:r w:rsidRPr="006C5B94">
            <w:fldChar w:fldCharType="end"/>
          </w:r>
        </w:sdtContent>
      </w:sdt>
      <w:r w:rsidRPr="006C5B94">
        <w:t xml:space="preserve">. In countries like </w:t>
      </w:r>
      <w:r w:rsidR="007779C1" w:rsidRPr="006C5B94">
        <w:t>England</w:t>
      </w:r>
      <w:r w:rsidRPr="006C5B94">
        <w:t xml:space="preserve"> and Australia</w:t>
      </w:r>
      <w:r w:rsidR="005375DE" w:rsidRPr="006C5B94">
        <w:t>, however,</w:t>
      </w:r>
      <w:r w:rsidRPr="006C5B94">
        <w:t xml:space="preserve"> where there is mass higher education alongside a political consensus to limit tax increases, it is necessary to bring in private finance of some sort. Assuming most governments would share the broad objectives of seeking to improve quality, access, expansion and control of public expenditure, there are two big questions for any government </w:t>
      </w:r>
      <w:r w:rsidR="00916FCA">
        <w:t>about</w:t>
      </w:r>
      <w:r w:rsidRPr="006C5B94">
        <w:t xml:space="preserve"> higher education: how to bring in private investment and; how to distribute the remaining, significant public investmen</w:t>
      </w:r>
      <w:r w:rsidR="00916FCA">
        <w:t>t</w:t>
      </w:r>
      <w:r w:rsidRPr="006C5B94">
        <w:t xml:space="preserve"> to best achieve these objectives.</w:t>
      </w:r>
    </w:p>
    <w:p w14:paraId="79CC231F" w14:textId="6590192B" w:rsidR="000B0194" w:rsidRPr="006C5B94" w:rsidRDefault="000B0194" w:rsidP="000B0194">
      <w:r w:rsidRPr="006C5B94">
        <w:t>Income-contingent loans (ICLs) are a method of bringing private finance into higher education and, therefore, relate primarily to the first question but the loan design will have implications for the second. ICLs facilitate private contribution without requiring upfront payment, providing a mechanism for consumption smoothing whilst protecting access to HE.</w:t>
      </w:r>
      <w:r w:rsidR="00F47E15">
        <w:t xml:space="preserve"> </w:t>
      </w:r>
      <w:r w:rsidRPr="006C5B94">
        <w:t xml:space="preserve">ICLs also solve the difficult question of how to facilitate loans </w:t>
      </w:r>
      <w:r w:rsidR="00916FCA">
        <w:t>for</w:t>
      </w:r>
      <w:r w:rsidRPr="006C5B94">
        <w:t xml:space="preserve"> human capital </w:t>
      </w:r>
      <w:r w:rsidR="00916FCA">
        <w:t xml:space="preserve">formation </w:t>
      </w:r>
      <w:r w:rsidRPr="006C5B94">
        <w:t>given the obvious lack of physical colla</w:t>
      </w:r>
      <w:r w:rsidR="000A7566" w:rsidRPr="006C5B94">
        <w:t>teral (Freedman, 1955</w:t>
      </w:r>
      <w:r w:rsidRPr="006C5B94">
        <w:t>)</w:t>
      </w:r>
      <w:sdt>
        <w:sdtPr>
          <w:id w:val="1542869068"/>
          <w:citation/>
        </w:sdtPr>
        <w:sdtEndPr/>
        <w:sdtContent>
          <w:r w:rsidR="000A7566" w:rsidRPr="006C5B94">
            <w:fldChar w:fldCharType="begin"/>
          </w:r>
          <w:r w:rsidR="0006162A">
            <w:instrText xml:space="preserve">CITATION Bar01 \t  \l 2057 </w:instrText>
          </w:r>
          <w:r w:rsidR="000A7566" w:rsidRPr="006C5B94">
            <w:fldChar w:fldCharType="separate"/>
          </w:r>
          <w:r w:rsidR="0006162A">
            <w:rPr>
              <w:noProof/>
            </w:rPr>
            <w:t xml:space="preserve"> (Barr N. , 2001)</w:t>
          </w:r>
          <w:r w:rsidR="000A7566" w:rsidRPr="006C5B94">
            <w:fldChar w:fldCharType="end"/>
          </w:r>
        </w:sdtContent>
      </w:sdt>
      <w:r w:rsidR="000A7566" w:rsidRPr="006C5B94">
        <w:rPr>
          <w:noProof/>
        </w:rPr>
        <w:t xml:space="preserve"> (Chapman, 2004)</w:t>
      </w:r>
      <w:r w:rsidRPr="006C5B94">
        <w:t xml:space="preserve">. In effect, the Government offers the student an upfront loan to cover the cost of a ‘fee’ or ‘contribution’ and, in the case of </w:t>
      </w:r>
      <w:r w:rsidR="007779C1" w:rsidRPr="006C5B94">
        <w:t>England</w:t>
      </w:r>
      <w:r w:rsidRPr="006C5B94">
        <w:t>, an additional loan to help with living costs, which the graduate then starts to repay as a percentage of their salary once they cross a specified earnings threshold.</w:t>
      </w:r>
      <w:r w:rsidR="00F47E15">
        <w:t xml:space="preserve"> </w:t>
      </w:r>
      <w:r w:rsidRPr="006C5B94">
        <w:t>In both countries, this repayment is automatically deducted from the graduate’s salary through the central system for income tax payments.</w:t>
      </w:r>
    </w:p>
    <w:p w14:paraId="276C6502" w14:textId="77777777" w:rsidR="003317BD" w:rsidRPr="006C5B94" w:rsidRDefault="003317BD" w:rsidP="000B0194">
      <w:r w:rsidRPr="006C5B94">
        <w:t>As well as establishing the feasibility and suitability of income contingent loans in higher education in the first place</w:t>
      </w:r>
      <w:r w:rsidRPr="006C5B94">
        <w:rPr>
          <w:noProof/>
        </w:rPr>
        <w:t xml:space="preserve"> (Barr, 1989), (Barr, 2001), (Chapman, 2011)</w:t>
      </w:r>
      <w:r w:rsidRPr="006C5B94">
        <w:t xml:space="preserve">, Barr and Chapman have also debated the case for real interest rates </w:t>
      </w:r>
      <w:r w:rsidRPr="006C5B94">
        <w:rPr>
          <w:noProof/>
        </w:rPr>
        <w:t>(Barr &amp; Johnston, 2010), (Chapman, 2011), (Johnston &amp; Barr, 2013). They have also both</w:t>
      </w:r>
      <w:r w:rsidRPr="006C5B94">
        <w:t xml:space="preserve"> examined other applications for income-contingent loans – either in different countries</w:t>
      </w:r>
      <w:sdt>
        <w:sdtPr>
          <w:id w:val="1017203234"/>
          <w:citation/>
        </w:sdtPr>
        <w:sdtEndPr/>
        <w:sdtContent>
          <w:r w:rsidRPr="006C5B94">
            <w:fldChar w:fldCharType="begin"/>
          </w:r>
          <w:r w:rsidRPr="006C5B94">
            <w:instrText xml:space="preserve"> CITATION Bar09 \l 2057 </w:instrText>
          </w:r>
          <w:r w:rsidRPr="006C5B94">
            <w:fldChar w:fldCharType="separate"/>
          </w:r>
          <w:r w:rsidRPr="006C5B94">
            <w:rPr>
              <w:noProof/>
            </w:rPr>
            <w:t xml:space="preserve"> (Barr, et al., 2009)</w:t>
          </w:r>
          <w:r w:rsidRPr="006C5B94">
            <w:fldChar w:fldCharType="end"/>
          </w:r>
        </w:sdtContent>
      </w:sdt>
      <w:r w:rsidRPr="006C5B94">
        <w:rPr>
          <w:noProof/>
        </w:rPr>
        <w:t xml:space="preserve"> (Armstrong &amp; Chapman, 2011) (Chapman &amp; Sinning, 2011)</w:t>
      </w:r>
      <w:r w:rsidRPr="006C5B94">
        <w:t xml:space="preserve"> or, in Chapman’s case, different public policy areas such as extended parental leave</w:t>
      </w:r>
      <w:r w:rsidRPr="006C5B94">
        <w:rPr>
          <w:noProof/>
        </w:rPr>
        <w:t xml:space="preserve"> (Chapman &amp; Hunter, 2009) (Chapman &amp; Higgins, 2009) (Chapman, Higgins, &amp; Withers, 2009)</w:t>
      </w:r>
      <w:r w:rsidRPr="006C5B94">
        <w:t xml:space="preserve">. </w:t>
      </w:r>
    </w:p>
    <w:p w14:paraId="046BC43D" w14:textId="77777777" w:rsidR="000B0194" w:rsidRPr="006C5B94" w:rsidRDefault="000B0194" w:rsidP="000B0194">
      <w:r w:rsidRPr="006C5B94">
        <w:t xml:space="preserve">The main benefits of </w:t>
      </w:r>
      <w:r w:rsidR="003317BD" w:rsidRPr="006C5B94">
        <w:t>an income contingent</w:t>
      </w:r>
      <w:r w:rsidRPr="006C5B94">
        <w:t xml:space="preserve"> loan </w:t>
      </w:r>
      <w:r w:rsidR="003317BD" w:rsidRPr="006C5B94">
        <w:t>system</w:t>
      </w:r>
      <w:r w:rsidRPr="006C5B94">
        <w:t xml:space="preserve"> are:</w:t>
      </w:r>
    </w:p>
    <w:p w14:paraId="355408B7" w14:textId="77777777" w:rsidR="000B0194" w:rsidRPr="006C5B94" w:rsidRDefault="000B0194" w:rsidP="000B0194">
      <w:pPr>
        <w:pStyle w:val="ListParagraph"/>
        <w:numPr>
          <w:ilvl w:val="0"/>
          <w:numId w:val="9"/>
        </w:numPr>
      </w:pPr>
      <w:r w:rsidRPr="006C5B94">
        <w:t>Everyone can afford HE at point of entry (discarding issues of living cost)</w:t>
      </w:r>
    </w:p>
    <w:p w14:paraId="73DF22ED" w14:textId="77777777" w:rsidR="000B0194" w:rsidRPr="006C5B94" w:rsidRDefault="000B0194" w:rsidP="000B0194">
      <w:pPr>
        <w:pStyle w:val="ListParagraph"/>
        <w:numPr>
          <w:ilvl w:val="0"/>
          <w:numId w:val="9"/>
        </w:numPr>
      </w:pPr>
      <w:r w:rsidRPr="006C5B94">
        <w:t xml:space="preserve">Government carries </w:t>
      </w:r>
      <w:r w:rsidR="00916FCA">
        <w:t xml:space="preserve">the </w:t>
      </w:r>
      <w:r w:rsidRPr="006C5B94">
        <w:t>financial risk, not the individual – i.e. low earners are protected</w:t>
      </w:r>
    </w:p>
    <w:p w14:paraId="524BE51E" w14:textId="357D0AD7" w:rsidR="000B0194" w:rsidRPr="006C5B94" w:rsidRDefault="000B0194" w:rsidP="000B0194">
      <w:pPr>
        <w:pStyle w:val="ListParagraph"/>
        <w:numPr>
          <w:ilvl w:val="0"/>
          <w:numId w:val="9"/>
        </w:numPr>
      </w:pPr>
      <w:r w:rsidRPr="006C5B94">
        <w:t xml:space="preserve">The impact on demand for HE of any fee increase will necessarily be muted because of </w:t>
      </w:r>
      <w:r w:rsidR="002B3358">
        <w:t xml:space="preserve">the </w:t>
      </w:r>
      <w:r w:rsidRPr="006C5B94">
        <w:t>nature of ICLs – designed to minimise the effect of upfront ‘fee’ level on demand for HE</w:t>
      </w:r>
    </w:p>
    <w:p w14:paraId="44A19607" w14:textId="77777777" w:rsidR="00E54704" w:rsidRPr="006C5B94" w:rsidRDefault="00E54704" w:rsidP="000B0194">
      <w:r w:rsidRPr="006C5B94">
        <w:t xml:space="preserve">International research has repeatedly demonstrated a relatively low price elasticity of demand for higher education </w:t>
      </w:r>
      <w:sdt>
        <w:sdtPr>
          <w:id w:val="-1359429853"/>
          <w:citation/>
        </w:sdtPr>
        <w:sdtEndPr/>
        <w:sdtContent>
          <w:r w:rsidRPr="006C5B94">
            <w:fldChar w:fldCharType="begin"/>
          </w:r>
          <w:r w:rsidRPr="006C5B94">
            <w:instrText xml:space="preserve"> CITATION Dyngo \l 2057 </w:instrText>
          </w:r>
          <w:r w:rsidRPr="006C5B94">
            <w:fldChar w:fldCharType="separate"/>
          </w:r>
          <w:r w:rsidRPr="006C5B94">
            <w:rPr>
              <w:noProof/>
            </w:rPr>
            <w:t>(Dynarski, 1994)</w:t>
          </w:r>
          <w:r w:rsidRPr="006C5B94">
            <w:fldChar w:fldCharType="end"/>
          </w:r>
        </w:sdtContent>
      </w:sdt>
      <w:r w:rsidR="0022167D" w:rsidRPr="006C5B94">
        <w:t xml:space="preserve"> although it is important to recognise that ‘students from more disadvantaged backgrounds are more sensitive to net price changes’</w:t>
      </w:r>
      <w:sdt>
        <w:sdtPr>
          <w:id w:val="-1240320735"/>
          <w:citation/>
        </w:sdtPr>
        <w:sdtEndPr/>
        <w:sdtContent>
          <w:r w:rsidR="00C3667B" w:rsidRPr="006C5B94">
            <w:fldChar w:fldCharType="begin"/>
          </w:r>
          <w:r w:rsidR="00C3667B" w:rsidRPr="006C5B94">
            <w:instrText xml:space="preserve"> CITATION San08 \l 2057 </w:instrText>
          </w:r>
          <w:r w:rsidR="00C3667B" w:rsidRPr="006C5B94">
            <w:fldChar w:fldCharType="separate"/>
          </w:r>
          <w:r w:rsidR="00C3667B" w:rsidRPr="006C5B94">
            <w:rPr>
              <w:noProof/>
            </w:rPr>
            <w:t xml:space="preserve"> (Santiago, 2008)</w:t>
          </w:r>
          <w:r w:rsidR="00C3667B" w:rsidRPr="006C5B94">
            <w:fldChar w:fldCharType="end"/>
          </w:r>
        </w:sdtContent>
      </w:sdt>
      <w:r w:rsidR="00916FCA">
        <w:t>. IFS has</w:t>
      </w:r>
      <w:r w:rsidRPr="006C5B94">
        <w:t xml:space="preserve"> demonstrated that “increasing fees without increasing loans and/or grants by the same value or more will result in a neg</w:t>
      </w:r>
      <w:r w:rsidR="00121A81" w:rsidRPr="006C5B94">
        <w:t>ative impact on participation</w:t>
      </w:r>
      <w:r w:rsidRPr="006C5B94">
        <w:t xml:space="preserve">” </w:t>
      </w:r>
      <w:sdt>
        <w:sdtPr>
          <w:id w:val="-275565292"/>
          <w:citation/>
        </w:sdtPr>
        <w:sdtEndPr/>
        <w:sdtContent>
          <w:r w:rsidRPr="006C5B94">
            <w:fldChar w:fldCharType="begin"/>
          </w:r>
          <w:r w:rsidR="0050109D">
            <w:instrText xml:space="preserve">CITATION IFS10 \l 2057 </w:instrText>
          </w:r>
          <w:r w:rsidRPr="006C5B94">
            <w:fldChar w:fldCharType="separate"/>
          </w:r>
          <w:r w:rsidR="0050109D">
            <w:rPr>
              <w:noProof/>
            </w:rPr>
            <w:t>(IFS, 2010)</w:t>
          </w:r>
          <w:r w:rsidRPr="006C5B94">
            <w:fldChar w:fldCharType="end"/>
          </w:r>
        </w:sdtContent>
      </w:sdt>
      <w:r w:rsidR="00121A81" w:rsidRPr="006C5B94">
        <w:t>.</w:t>
      </w:r>
      <w:r w:rsidRPr="006C5B94">
        <w:t xml:space="preserve"> Income contingent fee loans are therefore essential to ensuring that an increase in fees does not flatten demand over time – particularly for students from low-participation backgrounds.</w:t>
      </w:r>
      <w:r w:rsidR="00121A81" w:rsidRPr="006C5B94">
        <w:t xml:space="preserve"> For a more in depth review of these issues and consideration of this research, please see the University Alliance report ‘The impact of fees; a review of the evidence’ </w:t>
      </w:r>
      <w:sdt>
        <w:sdtPr>
          <w:id w:val="-1495484858"/>
          <w:citation/>
        </w:sdtPr>
        <w:sdtEndPr/>
        <w:sdtContent>
          <w:r w:rsidR="00121A81" w:rsidRPr="006C5B94">
            <w:fldChar w:fldCharType="begin"/>
          </w:r>
          <w:r w:rsidR="00121A81" w:rsidRPr="006C5B94">
            <w:instrText xml:space="preserve"> CITATION Ast10 \l 2057 </w:instrText>
          </w:r>
          <w:r w:rsidR="00121A81" w:rsidRPr="006C5B94">
            <w:fldChar w:fldCharType="separate"/>
          </w:r>
          <w:r w:rsidR="00121A81" w:rsidRPr="006C5B94">
            <w:rPr>
              <w:noProof/>
            </w:rPr>
            <w:t>(Aston &amp; Shutt, 2010)</w:t>
          </w:r>
          <w:r w:rsidR="00121A81" w:rsidRPr="006C5B94">
            <w:fldChar w:fldCharType="end"/>
          </w:r>
        </w:sdtContent>
      </w:sdt>
      <w:r w:rsidR="00121A81" w:rsidRPr="006C5B94">
        <w:t>.</w:t>
      </w:r>
    </w:p>
    <w:p w14:paraId="06055420" w14:textId="1409995E" w:rsidR="000B0194" w:rsidRPr="006C5B94" w:rsidRDefault="000B0194" w:rsidP="000B0194">
      <w:r w:rsidRPr="006C5B94">
        <w:t xml:space="preserve">This </w:t>
      </w:r>
      <w:r w:rsidR="005375DE" w:rsidRPr="006C5B94">
        <w:t>chapter</w:t>
      </w:r>
      <w:r w:rsidRPr="006C5B94">
        <w:t xml:space="preserve"> does not compare the extent to which ICLs have facilitated a ‘market’ in HE based on fees – precisely because they are designed to flatten the effect of fees on de</w:t>
      </w:r>
      <w:r w:rsidR="004A2C8E">
        <w:t>mand, this is not a particularly illuminating</w:t>
      </w:r>
      <w:r w:rsidRPr="006C5B94">
        <w:t xml:space="preserve"> question to apply to ICLs.</w:t>
      </w:r>
      <w:r w:rsidR="00F47E15">
        <w:t xml:space="preserve"> </w:t>
      </w:r>
      <w:r w:rsidRPr="006C5B94">
        <w:t xml:space="preserve">This </w:t>
      </w:r>
      <w:r w:rsidR="005375DE" w:rsidRPr="006C5B94">
        <w:t>chapter</w:t>
      </w:r>
      <w:r w:rsidRPr="006C5B94">
        <w:t xml:space="preserve"> will not look at the impact of ICLs on ‘choice’ – again because ICLs are specifically designed to enable individuals to afford any course up front and any career choice after graduating because the income contingent nature protects low earners.</w:t>
      </w:r>
      <w:r w:rsidR="00F47E15">
        <w:t xml:space="preserve"> </w:t>
      </w:r>
      <w:r w:rsidRPr="006C5B94">
        <w:t>Whether individuals</w:t>
      </w:r>
      <w:r w:rsidR="004A2C8E">
        <w:t xml:space="preserve"> are making rational choices is</w:t>
      </w:r>
      <w:r w:rsidRPr="006C5B94">
        <w:t xml:space="preserve"> more about the question of information, advice and guidance about how ICLs work rather than the </w:t>
      </w:r>
      <w:r w:rsidR="004A2C8E">
        <w:t>mechanism itself.</w:t>
      </w:r>
      <w:r w:rsidR="00F47E15">
        <w:t xml:space="preserve"> </w:t>
      </w:r>
      <w:r w:rsidR="004A2C8E">
        <w:t>T</w:t>
      </w:r>
      <w:r w:rsidR="00D26AF7">
        <w:t>he dependence</w:t>
      </w:r>
      <w:r w:rsidRPr="006C5B94">
        <w:t xml:space="preserve"> of the success of ICLs on good understanding of how they work is something that justifies further investigation or separate research.</w:t>
      </w:r>
    </w:p>
    <w:p w14:paraId="15791157" w14:textId="7C3AA78A" w:rsidR="005375DE" w:rsidRPr="006C5B94" w:rsidRDefault="005375DE" w:rsidP="005375DE">
      <w:r w:rsidRPr="006C5B94">
        <w:t>Income-contingent loans have been chosen by both countries as a mechanism for increasing private investment in HE. The particular design of the loan and repayment system has varied across the two countries and across different Governments. These differences allow us to observe the impact of design changes.</w:t>
      </w:r>
      <w:r w:rsidR="00F47E15">
        <w:t xml:space="preserve"> </w:t>
      </w:r>
    </w:p>
    <w:p w14:paraId="609AF58B" w14:textId="77777777" w:rsidR="00DB395D" w:rsidRPr="006C5B94" w:rsidRDefault="008B0F41" w:rsidP="00637DEF">
      <w:pPr>
        <w:pStyle w:val="Heading2"/>
      </w:pPr>
      <w:bookmarkStart w:id="16" w:name="_Toc259883103"/>
      <w:r w:rsidRPr="006C5B94">
        <w:t>The</w:t>
      </w:r>
      <w:r w:rsidR="007779C1" w:rsidRPr="006C5B94">
        <w:t xml:space="preserve"> English</w:t>
      </w:r>
      <w:r w:rsidR="009B12AE" w:rsidRPr="006C5B94">
        <w:t xml:space="preserve"> and A</w:t>
      </w:r>
      <w:r w:rsidR="004A2C8E">
        <w:t>ustralian loan system in detail</w:t>
      </w:r>
      <w:r w:rsidR="009B12AE" w:rsidRPr="006C5B94">
        <w:t>: understanding HECS-HELP and FEE-HELP</w:t>
      </w:r>
      <w:bookmarkEnd w:id="16"/>
    </w:p>
    <w:p w14:paraId="316669FC" w14:textId="0C86C0E0" w:rsidR="007F15BC" w:rsidRDefault="007A44CF">
      <w:r w:rsidRPr="006C5B94">
        <w:t>Figure 6 below gives a summary of both</w:t>
      </w:r>
      <w:r w:rsidR="004A2C8E">
        <w:t xml:space="preserve"> HECS-HELP and FEE-HELP</w:t>
      </w:r>
      <w:r w:rsidRPr="006C5B94">
        <w:t xml:space="preserve"> in comparison to </w:t>
      </w:r>
      <w:r w:rsidR="00D41189" w:rsidRPr="006C5B94">
        <w:t>the English sy</w:t>
      </w:r>
      <w:r w:rsidR="001C6F45">
        <w:t>s</w:t>
      </w:r>
      <w:r w:rsidR="00D41189" w:rsidRPr="006C5B94">
        <w:t>tem</w:t>
      </w:r>
      <w:r w:rsidRPr="006C5B94">
        <w:t xml:space="preserve">. </w:t>
      </w:r>
      <w:r w:rsidR="009B12AE" w:rsidRPr="006C5B94">
        <w:t>HECS-HELP is the subsidised fee loan available to most undergraduate students</w:t>
      </w:r>
      <w:r w:rsidR="00546F48">
        <w:t xml:space="preserve"> and 40% of postgraduates</w:t>
      </w:r>
      <w:r w:rsidR="009B12AE" w:rsidRPr="006C5B94">
        <w:t xml:space="preserve"> in Australia. There are HECS-HELP maximums or controls because this is part of the mainstream, subsidised system and these courses / students also </w:t>
      </w:r>
      <w:r w:rsidR="00D26AF7">
        <w:t>attract</w:t>
      </w:r>
      <w:r w:rsidR="009B12AE" w:rsidRPr="006C5B94">
        <w:t xml:space="preserve"> ‘base funding’ – which is direct funding for teaching</w:t>
      </w:r>
      <w:r w:rsidR="0056654D" w:rsidRPr="006C5B94">
        <w:t xml:space="preserve"> (see Figure 5)</w:t>
      </w:r>
      <w:r w:rsidR="009B12AE" w:rsidRPr="006C5B94">
        <w:t xml:space="preserve">. </w:t>
      </w:r>
      <w:r w:rsidRPr="006C5B94">
        <w:t xml:space="preserve">There are </w:t>
      </w:r>
      <w:r w:rsidR="001A7D18">
        <w:t>three HECS</w:t>
      </w:r>
      <w:r w:rsidR="007F15BC">
        <w:t>-HELP maximum</w:t>
      </w:r>
      <w:r w:rsidR="001A7D18">
        <w:t xml:space="preserve"> levels between $6,044 and $10,085 (about £3,505 to £5,849</w:t>
      </w:r>
      <w:r w:rsidRPr="006C5B94">
        <w:t xml:space="preserve">) depending on course (see Chapter 6 for more detail and Annex 1 for a full list of contributions by subject). </w:t>
      </w:r>
      <w:r w:rsidR="009B12AE" w:rsidRPr="006C5B94">
        <w:t>The ratio of HECS</w:t>
      </w:r>
      <w:r w:rsidR="007F15BC">
        <w:t>-HELP</w:t>
      </w:r>
      <w:r w:rsidR="009B12AE" w:rsidRPr="006C5B94">
        <w:t xml:space="preserve"> to base funding, currently stands at</w:t>
      </w:r>
      <w:r w:rsidR="001C6F45">
        <w:t xml:space="preserve"> about 40:60 overall but varies</w:t>
      </w:r>
      <w:r w:rsidR="007F15BC">
        <w:t xml:space="preserve"> significantly</w:t>
      </w:r>
      <w:r w:rsidR="001C6F45">
        <w:t xml:space="preserve"> </w:t>
      </w:r>
      <w:r w:rsidR="009B12AE" w:rsidRPr="006C5B94">
        <w:t>by subject</w:t>
      </w:r>
      <w:r w:rsidRPr="006C5B94">
        <w:t xml:space="preserve"> (see Figure 7)</w:t>
      </w:r>
      <w:r w:rsidR="009B12AE" w:rsidRPr="006C5B94">
        <w:t xml:space="preserve">. </w:t>
      </w:r>
      <w:r w:rsidR="007F15BC">
        <w:t xml:space="preserve">The level of base funding and HECS-HELP is the same for both undergraduate and the 40% of postgraduate courses that attract state support, </w:t>
      </w:r>
      <w:r w:rsidR="00C46147">
        <w:t>based</w:t>
      </w:r>
      <w:r w:rsidR="007F15BC">
        <w:t xml:space="preserve"> on subject. </w:t>
      </w:r>
    </w:p>
    <w:p w14:paraId="050821A3" w14:textId="4EA3C7F3" w:rsidR="002305CC" w:rsidRDefault="00F26D12">
      <w:r>
        <w:t>FEE-HELP is a Government</w:t>
      </w:r>
      <w:r w:rsidR="009B12AE" w:rsidRPr="006C5B94">
        <w:t xml:space="preserve"> loan available to any student that cannot access a</w:t>
      </w:r>
      <w:r>
        <w:t xml:space="preserve"> subsidised place </w:t>
      </w:r>
      <w:r w:rsidR="007B1D8D">
        <w:t xml:space="preserve">which </w:t>
      </w:r>
      <w:r>
        <w:t>comes with a subsidised</w:t>
      </w:r>
      <w:r w:rsidR="009B12AE" w:rsidRPr="006C5B94">
        <w:t xml:space="preserve"> HECS-HELP loan</w:t>
      </w:r>
      <w:r>
        <w:t>, whether at undergraduate or postgraduate level</w:t>
      </w:r>
      <w:r w:rsidR="009B12AE" w:rsidRPr="006C5B94">
        <w:t>.</w:t>
      </w:r>
      <w:r w:rsidR="00F47E15">
        <w:t xml:space="preserve"> </w:t>
      </w:r>
      <w:r w:rsidR="00013688">
        <w:t>In 2012-13</w:t>
      </w:r>
      <w:r w:rsidR="006B6307">
        <w:t xml:space="preserve"> </w:t>
      </w:r>
      <w:r w:rsidR="00013688">
        <w:t>ar</w:t>
      </w:r>
      <w:r>
        <w:t>ound 75,000, 17% of all places,</w:t>
      </w:r>
      <w:r w:rsidR="00013688">
        <w:t xml:space="preserve"> </w:t>
      </w:r>
      <w:r w:rsidR="006B6307">
        <w:t>were FEE-HELP places</w:t>
      </w:r>
      <w:r>
        <w:t xml:space="preserve"> (undergraduate and postgraduate)</w:t>
      </w:r>
      <w:r w:rsidR="00013688">
        <w:t>;</w:t>
      </w:r>
      <w:r w:rsidR="006B6307">
        <w:t xml:space="preserve"> a significant proportion of the overall system</w:t>
      </w:r>
      <w:r w:rsidR="006B6307">
        <w:rPr>
          <w:rStyle w:val="FootnoteReference"/>
        </w:rPr>
        <w:footnoteReference w:id="14"/>
      </w:r>
      <w:r w:rsidR="006B6307">
        <w:t xml:space="preserve">. </w:t>
      </w:r>
      <w:r w:rsidR="009B12AE" w:rsidRPr="006C5B94">
        <w:t>The fee charged by the HE provider is not limited and will usually cover</w:t>
      </w:r>
      <w:r w:rsidR="00D26AF7">
        <w:t xml:space="preserve"> 100% of cost (fees are set according to</w:t>
      </w:r>
      <w:r w:rsidR="009B12AE" w:rsidRPr="006C5B94">
        <w:t xml:space="preserve"> both cost and market value). There is a lifetime loan </w:t>
      </w:r>
      <w:r w:rsidR="009A4503">
        <w:t>allocation of $96,000 (about £56</w:t>
      </w:r>
      <w:r w:rsidR="009B12AE" w:rsidRPr="006C5B94">
        <w:t>,000) to allow students to re-train and re-skill throughout their lifetime.</w:t>
      </w:r>
      <w:r w:rsidR="00F47E15">
        <w:t xml:space="preserve"> </w:t>
      </w:r>
    </w:p>
    <w:p w14:paraId="23FF2509" w14:textId="6678AAD4" w:rsidR="00865AB7" w:rsidRDefault="00C03E5F">
      <w:r>
        <w:t>FEE-HELP</w:t>
      </w:r>
      <w:r w:rsidR="002305CC">
        <w:t xml:space="preserve"> is slightly different for postgraduate and undergraduate students. Undergraduate FEE-HELP</w:t>
      </w:r>
      <w:r w:rsidR="009B12AE" w:rsidRPr="006C5B94">
        <w:t xml:space="preserve"> loans carry a surcharge of </w:t>
      </w:r>
      <w:r w:rsidR="002305CC">
        <w:t>25%</w:t>
      </w:r>
      <w:r w:rsidR="006D57D0">
        <w:t xml:space="preserve"> (not for postgraduate FEE-HELP). T</w:t>
      </w:r>
      <w:r w:rsidR="009B12AE" w:rsidRPr="006C5B94">
        <w:t xml:space="preserve">he surcharge gets added to </w:t>
      </w:r>
      <w:r w:rsidR="007B1D8D">
        <w:t xml:space="preserve">the </w:t>
      </w:r>
      <w:r w:rsidR="009B12AE" w:rsidRPr="006C5B94">
        <w:t>total loan value</w:t>
      </w:r>
      <w:r w:rsidR="00F26D12">
        <w:t>. In effect,</w:t>
      </w:r>
      <w:r w:rsidR="009B12AE" w:rsidRPr="006C5B94">
        <w:t xml:space="preserve"> this covers the Government’s cost of borrowing and any non-repayment </w:t>
      </w:r>
      <w:r w:rsidR="00F3171A">
        <w:t>and means that</w:t>
      </w:r>
      <w:r w:rsidR="00D26AF7">
        <w:t xml:space="preserve"> the</w:t>
      </w:r>
      <w:r w:rsidR="009B12AE" w:rsidRPr="006C5B94">
        <w:t xml:space="preserve"> loan</w:t>
      </w:r>
      <w:r w:rsidR="00D26AF7">
        <w:t xml:space="preserve"> is </w:t>
      </w:r>
      <w:r w:rsidR="00F3171A">
        <w:t>virtually non-</w:t>
      </w:r>
      <w:r w:rsidR="00D26AF7">
        <w:t>subsidised</w:t>
      </w:r>
      <w:r w:rsidR="009B12AE" w:rsidRPr="006C5B94">
        <w:t>.</w:t>
      </w:r>
      <w:r w:rsidR="00A228BB">
        <w:t xml:space="preserve"> This has created a fee loan system, with a lifetime loan allocation, that carries virtually no cost to Government.</w:t>
      </w:r>
      <w:r w:rsidR="00F26D12">
        <w:t xml:space="preserve"> Undergraduate FEE-HELP is proof that a non-subsidised Government loan system is achievable.</w:t>
      </w:r>
    </w:p>
    <w:p w14:paraId="0E3C944D" w14:textId="31198DD7" w:rsidR="002305CC" w:rsidRPr="006C5B94" w:rsidRDefault="002305CC">
      <w:r>
        <w:t xml:space="preserve">Income contingent loans for postgraduates were first </w:t>
      </w:r>
      <w:r w:rsidRPr="006D57D0">
        <w:t>introduced in 2002 as the Postgraduate Educat</w:t>
      </w:r>
      <w:r>
        <w:t>ion Loans Scheme (PELS).</w:t>
      </w:r>
      <w:r w:rsidR="00F47E15">
        <w:t xml:space="preserve"> </w:t>
      </w:r>
      <w:r>
        <w:t>T</w:t>
      </w:r>
      <w:r w:rsidRPr="006D57D0">
        <w:t>hey were the first extension of income contingent loan</w:t>
      </w:r>
      <w:r>
        <w:t>s to full fee paying</w:t>
      </w:r>
      <w:r w:rsidRPr="006D57D0">
        <w:t xml:space="preserve"> places, tho</w:t>
      </w:r>
      <w:r>
        <w:t>ugh</w:t>
      </w:r>
      <w:r w:rsidRPr="006D57D0">
        <w:t xml:space="preserve"> rest</w:t>
      </w:r>
      <w:r>
        <w:t>ricted to public universities at that time, and so</w:t>
      </w:r>
      <w:r w:rsidRPr="006D57D0">
        <w:t xml:space="preserve"> the Government didn't impose a loan fee.</w:t>
      </w:r>
      <w:r>
        <w:t xml:space="preserve"> Postgraduate FEE-HELP replaced PELS in 2005. Access was extended to students at alternative providers but the policy of subsidising postgraduate loans (or not applying a surcharge to these loans) continued.</w:t>
      </w:r>
    </w:p>
    <w:p w14:paraId="6174CBED" w14:textId="22BB92D2" w:rsidR="00D34A22" w:rsidRPr="006C5B94" w:rsidRDefault="00881D96">
      <w:pPr>
        <w:rPr>
          <w:b/>
        </w:rPr>
      </w:pPr>
      <w:r>
        <w:rPr>
          <w:b/>
        </w:rPr>
        <w:br w:type="page"/>
      </w:r>
      <w:r w:rsidR="00D34A22" w:rsidRPr="006C5B94">
        <w:rPr>
          <w:b/>
        </w:rPr>
        <w:t>Figure 6: comparison of</w:t>
      </w:r>
      <w:r w:rsidR="00404C9C">
        <w:rPr>
          <w:b/>
        </w:rPr>
        <w:t xml:space="preserve"> loan design and outcomes for England</w:t>
      </w:r>
      <w:r w:rsidR="00D34A22" w:rsidRPr="006C5B94">
        <w:rPr>
          <w:b/>
        </w:rPr>
        <w:t xml:space="preserve"> and Australia</w:t>
      </w:r>
    </w:p>
    <w:tbl>
      <w:tblPr>
        <w:tblStyle w:val="TableGrid"/>
        <w:tblW w:w="0" w:type="auto"/>
        <w:tblInd w:w="-601" w:type="dxa"/>
        <w:tblLook w:val="04A0" w:firstRow="1" w:lastRow="0" w:firstColumn="1" w:lastColumn="0" w:noHBand="0" w:noVBand="1"/>
      </w:tblPr>
      <w:tblGrid>
        <w:gridCol w:w="2316"/>
        <w:gridCol w:w="2316"/>
        <w:gridCol w:w="2316"/>
        <w:gridCol w:w="2316"/>
      </w:tblGrid>
      <w:tr w:rsidR="00C40CAE" w:rsidRPr="006C5B94" w14:paraId="67A2C0ED" w14:textId="77777777" w:rsidTr="001B614A">
        <w:trPr>
          <w:trHeight w:val="251"/>
        </w:trPr>
        <w:tc>
          <w:tcPr>
            <w:tcW w:w="2316"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58C0355D" w14:textId="77777777" w:rsidR="00C40CAE" w:rsidRPr="006C5B94" w:rsidRDefault="00C40CAE" w:rsidP="005375DE">
            <w:pPr>
              <w:rPr>
                <w:b/>
              </w:rPr>
            </w:pPr>
          </w:p>
        </w:tc>
        <w:tc>
          <w:tcPr>
            <w:tcW w:w="2316" w:type="dxa"/>
            <w:tcBorders>
              <w:top w:val="single" w:sz="24" w:space="0" w:color="auto"/>
              <w:left w:val="single" w:sz="24" w:space="0" w:color="auto"/>
              <w:bottom w:val="single" w:sz="24" w:space="0" w:color="auto"/>
              <w:right w:val="single" w:sz="24" w:space="0" w:color="auto"/>
            </w:tcBorders>
            <w:shd w:val="clear" w:color="auto" w:fill="FFFF00"/>
          </w:tcPr>
          <w:p w14:paraId="60CC0AB3" w14:textId="77777777" w:rsidR="00C40CAE" w:rsidRPr="006C5B94" w:rsidRDefault="00404C9C" w:rsidP="00865AB7">
            <w:pPr>
              <w:jc w:val="center"/>
              <w:rPr>
                <w:b/>
              </w:rPr>
            </w:pPr>
            <w:r>
              <w:rPr>
                <w:b/>
              </w:rPr>
              <w:t>English</w:t>
            </w:r>
            <w:r w:rsidR="00C40CAE" w:rsidRPr="006C5B94">
              <w:rPr>
                <w:b/>
              </w:rPr>
              <w:t xml:space="preserve"> fee loan</w:t>
            </w:r>
          </w:p>
        </w:tc>
        <w:tc>
          <w:tcPr>
            <w:tcW w:w="2316" w:type="dxa"/>
            <w:tcBorders>
              <w:top w:val="single" w:sz="24" w:space="0" w:color="auto"/>
              <w:left w:val="single" w:sz="24" w:space="0" w:color="auto"/>
              <w:bottom w:val="single" w:sz="24" w:space="0" w:color="auto"/>
            </w:tcBorders>
            <w:shd w:val="clear" w:color="auto" w:fill="00CC00"/>
          </w:tcPr>
          <w:p w14:paraId="0EC34DAC" w14:textId="77777777" w:rsidR="00C40CAE" w:rsidRPr="006C5B94" w:rsidRDefault="00C03E5F" w:rsidP="00865AB7">
            <w:pPr>
              <w:jc w:val="center"/>
              <w:rPr>
                <w:b/>
              </w:rPr>
            </w:pPr>
            <w:r>
              <w:rPr>
                <w:b/>
              </w:rPr>
              <w:t>HECS-HELP</w:t>
            </w:r>
          </w:p>
        </w:tc>
        <w:tc>
          <w:tcPr>
            <w:tcW w:w="2316" w:type="dxa"/>
            <w:tcBorders>
              <w:top w:val="single" w:sz="24" w:space="0" w:color="auto"/>
              <w:bottom w:val="single" w:sz="24" w:space="0" w:color="auto"/>
              <w:right w:val="single" w:sz="24" w:space="0" w:color="auto"/>
            </w:tcBorders>
            <w:shd w:val="clear" w:color="auto" w:fill="00CC00"/>
          </w:tcPr>
          <w:p w14:paraId="75876E63" w14:textId="77777777" w:rsidR="00C40CAE" w:rsidRPr="006C5B94" w:rsidRDefault="00C03E5F" w:rsidP="005375DE">
            <w:pPr>
              <w:rPr>
                <w:b/>
              </w:rPr>
            </w:pPr>
            <w:r>
              <w:rPr>
                <w:b/>
              </w:rPr>
              <w:t>FEE-HELP</w:t>
            </w:r>
          </w:p>
        </w:tc>
      </w:tr>
      <w:tr w:rsidR="00764720" w:rsidRPr="006C5B94" w14:paraId="27F51017" w14:textId="77777777" w:rsidTr="001B614A">
        <w:trPr>
          <w:trHeight w:val="17"/>
        </w:trPr>
        <w:tc>
          <w:tcPr>
            <w:tcW w:w="2316" w:type="dxa"/>
            <w:tcBorders>
              <w:top w:val="single" w:sz="24" w:space="0" w:color="auto"/>
              <w:left w:val="single" w:sz="24" w:space="0" w:color="auto"/>
              <w:right w:val="single" w:sz="24" w:space="0" w:color="auto"/>
            </w:tcBorders>
            <w:shd w:val="clear" w:color="auto" w:fill="D9D9D9" w:themeFill="background1" w:themeFillShade="D9"/>
          </w:tcPr>
          <w:p w14:paraId="69D032C4" w14:textId="77777777" w:rsidR="00764720" w:rsidRPr="006C5B94" w:rsidRDefault="00764720" w:rsidP="005375DE">
            <w:pPr>
              <w:rPr>
                <w:b/>
              </w:rPr>
            </w:pPr>
          </w:p>
        </w:tc>
        <w:tc>
          <w:tcPr>
            <w:tcW w:w="2316" w:type="dxa"/>
            <w:tcBorders>
              <w:top w:val="single" w:sz="24" w:space="0" w:color="auto"/>
              <w:left w:val="single" w:sz="24" w:space="0" w:color="auto"/>
              <w:right w:val="single" w:sz="24" w:space="0" w:color="auto"/>
            </w:tcBorders>
            <w:shd w:val="clear" w:color="auto" w:fill="FFFF00"/>
          </w:tcPr>
          <w:p w14:paraId="73386DE7" w14:textId="77777777" w:rsidR="00764720" w:rsidRPr="006C5B94" w:rsidRDefault="00764720" w:rsidP="00865AB7">
            <w:pPr>
              <w:jc w:val="center"/>
              <w:rPr>
                <w:b/>
              </w:rPr>
            </w:pPr>
          </w:p>
        </w:tc>
        <w:tc>
          <w:tcPr>
            <w:tcW w:w="2316" w:type="dxa"/>
            <w:tcBorders>
              <w:top w:val="single" w:sz="24" w:space="0" w:color="auto"/>
              <w:left w:val="single" w:sz="24" w:space="0" w:color="auto"/>
            </w:tcBorders>
            <w:shd w:val="clear" w:color="auto" w:fill="00CC00"/>
          </w:tcPr>
          <w:p w14:paraId="56DD3BEA" w14:textId="77777777" w:rsidR="00764720" w:rsidRPr="006C5B94" w:rsidRDefault="00764720" w:rsidP="00865AB7">
            <w:pPr>
              <w:jc w:val="center"/>
              <w:rPr>
                <w:b/>
              </w:rPr>
            </w:pPr>
          </w:p>
        </w:tc>
        <w:tc>
          <w:tcPr>
            <w:tcW w:w="2316" w:type="dxa"/>
            <w:tcBorders>
              <w:top w:val="single" w:sz="24" w:space="0" w:color="auto"/>
              <w:right w:val="single" w:sz="24" w:space="0" w:color="auto"/>
            </w:tcBorders>
            <w:shd w:val="clear" w:color="auto" w:fill="00CC00"/>
          </w:tcPr>
          <w:p w14:paraId="005069BC" w14:textId="77777777" w:rsidR="00764720" w:rsidRPr="006C5B94" w:rsidRDefault="00764720" w:rsidP="005375DE">
            <w:pPr>
              <w:rPr>
                <w:b/>
              </w:rPr>
            </w:pPr>
          </w:p>
        </w:tc>
      </w:tr>
      <w:tr w:rsidR="00865AB7" w:rsidRPr="006C5B94" w14:paraId="7CD4661C" w14:textId="77777777" w:rsidTr="001B614A">
        <w:trPr>
          <w:trHeight w:val="513"/>
        </w:trPr>
        <w:tc>
          <w:tcPr>
            <w:tcW w:w="2316" w:type="dxa"/>
            <w:tcBorders>
              <w:left w:val="single" w:sz="24" w:space="0" w:color="auto"/>
              <w:right w:val="single" w:sz="24" w:space="0" w:color="auto"/>
            </w:tcBorders>
            <w:shd w:val="clear" w:color="auto" w:fill="D9D9D9" w:themeFill="background1" w:themeFillShade="D9"/>
          </w:tcPr>
          <w:p w14:paraId="7F76FE12" w14:textId="77777777" w:rsidR="00865AB7" w:rsidRPr="006C5B94" w:rsidRDefault="00865AB7" w:rsidP="005375DE">
            <w:pPr>
              <w:rPr>
                <w:b/>
              </w:rPr>
            </w:pPr>
          </w:p>
          <w:p w14:paraId="12FDFE37" w14:textId="77777777" w:rsidR="00865AB7" w:rsidRPr="006C5B94" w:rsidRDefault="00865AB7" w:rsidP="005375DE">
            <w:pPr>
              <w:rPr>
                <w:b/>
              </w:rPr>
            </w:pPr>
            <w:r w:rsidRPr="006C5B94">
              <w:rPr>
                <w:b/>
              </w:rPr>
              <w:t>LOAN</w:t>
            </w:r>
          </w:p>
        </w:tc>
        <w:tc>
          <w:tcPr>
            <w:tcW w:w="2316" w:type="dxa"/>
            <w:tcBorders>
              <w:left w:val="single" w:sz="24" w:space="0" w:color="auto"/>
              <w:right w:val="single" w:sz="24" w:space="0" w:color="auto"/>
            </w:tcBorders>
            <w:shd w:val="clear" w:color="auto" w:fill="FFFF00"/>
          </w:tcPr>
          <w:p w14:paraId="350E3941" w14:textId="77777777" w:rsidR="00865AB7" w:rsidRPr="006C5B94" w:rsidRDefault="00865AB7" w:rsidP="00865AB7">
            <w:pPr>
              <w:jc w:val="center"/>
            </w:pPr>
          </w:p>
        </w:tc>
        <w:tc>
          <w:tcPr>
            <w:tcW w:w="4632" w:type="dxa"/>
            <w:gridSpan w:val="2"/>
            <w:tcBorders>
              <w:left w:val="single" w:sz="24" w:space="0" w:color="auto"/>
              <w:right w:val="single" w:sz="24" w:space="0" w:color="auto"/>
            </w:tcBorders>
            <w:shd w:val="clear" w:color="auto" w:fill="00CC00"/>
          </w:tcPr>
          <w:p w14:paraId="7DB75212" w14:textId="77777777" w:rsidR="00865AB7" w:rsidRPr="006C5B94" w:rsidRDefault="00865AB7" w:rsidP="00865AB7">
            <w:pPr>
              <w:jc w:val="center"/>
            </w:pPr>
          </w:p>
        </w:tc>
      </w:tr>
      <w:tr w:rsidR="00C40CAE" w:rsidRPr="006C5B94" w14:paraId="347DC684" w14:textId="77777777" w:rsidTr="001B614A">
        <w:tc>
          <w:tcPr>
            <w:tcW w:w="2316" w:type="dxa"/>
            <w:tcBorders>
              <w:left w:val="single" w:sz="24" w:space="0" w:color="auto"/>
              <w:right w:val="single" w:sz="24" w:space="0" w:color="auto"/>
            </w:tcBorders>
            <w:shd w:val="clear" w:color="auto" w:fill="D9D9D9" w:themeFill="background1" w:themeFillShade="D9"/>
          </w:tcPr>
          <w:p w14:paraId="7B5E3DD3" w14:textId="77777777" w:rsidR="00C40CAE" w:rsidRPr="006C5B94" w:rsidRDefault="00C40CAE" w:rsidP="005375DE">
            <w:r w:rsidRPr="006C5B94">
              <w:t>Max loan value (1 year)</w:t>
            </w:r>
          </w:p>
        </w:tc>
        <w:tc>
          <w:tcPr>
            <w:tcW w:w="2316" w:type="dxa"/>
            <w:tcBorders>
              <w:left w:val="single" w:sz="24" w:space="0" w:color="auto"/>
              <w:right w:val="single" w:sz="24" w:space="0" w:color="auto"/>
            </w:tcBorders>
            <w:shd w:val="clear" w:color="auto" w:fill="FFFF00"/>
          </w:tcPr>
          <w:p w14:paraId="6976B904" w14:textId="77777777" w:rsidR="00C40CAE" w:rsidRPr="006C5B94" w:rsidRDefault="00C40CAE" w:rsidP="00865AB7">
            <w:pPr>
              <w:jc w:val="center"/>
            </w:pPr>
            <w:r w:rsidRPr="006C5B94">
              <w:t>£9,000</w:t>
            </w:r>
          </w:p>
        </w:tc>
        <w:tc>
          <w:tcPr>
            <w:tcW w:w="2316" w:type="dxa"/>
            <w:tcBorders>
              <w:left w:val="single" w:sz="24" w:space="0" w:color="auto"/>
            </w:tcBorders>
            <w:shd w:val="clear" w:color="auto" w:fill="00CC00"/>
          </w:tcPr>
          <w:p w14:paraId="0AA4C7EA" w14:textId="77777777" w:rsidR="00C40CAE" w:rsidRPr="006C5B94" w:rsidRDefault="00D52A0B" w:rsidP="00865AB7">
            <w:pPr>
              <w:jc w:val="center"/>
            </w:pPr>
            <w:r>
              <w:t>£3,500 - £5,850</w:t>
            </w:r>
          </w:p>
          <w:p w14:paraId="6E962057" w14:textId="77777777" w:rsidR="00C40CAE" w:rsidRPr="006C5B94" w:rsidRDefault="00865AB7" w:rsidP="00865AB7">
            <w:pPr>
              <w:jc w:val="center"/>
            </w:pPr>
            <w:r w:rsidRPr="006C5B94">
              <w:t>(3 bands by subject)</w:t>
            </w:r>
          </w:p>
        </w:tc>
        <w:tc>
          <w:tcPr>
            <w:tcW w:w="2316" w:type="dxa"/>
            <w:tcBorders>
              <w:right w:val="single" w:sz="24" w:space="0" w:color="auto"/>
            </w:tcBorders>
            <w:shd w:val="clear" w:color="auto" w:fill="00CC00"/>
          </w:tcPr>
          <w:p w14:paraId="10639CA0" w14:textId="77777777" w:rsidR="00C40CAE" w:rsidRPr="006C5B94" w:rsidRDefault="003E438D" w:rsidP="005375DE">
            <w:r>
              <w:t>£56</w:t>
            </w:r>
            <w:r w:rsidR="00C40CAE" w:rsidRPr="006C5B94">
              <w:t>,000</w:t>
            </w:r>
          </w:p>
          <w:p w14:paraId="587C52B5" w14:textId="77777777" w:rsidR="008F4424" w:rsidRPr="006C5B94" w:rsidRDefault="008F4424" w:rsidP="005375DE">
            <w:r w:rsidRPr="006C5B94">
              <w:t>(lifetime maximum)</w:t>
            </w:r>
          </w:p>
        </w:tc>
      </w:tr>
      <w:tr w:rsidR="00297B9D" w:rsidRPr="006C5B94" w14:paraId="6251DA39" w14:textId="77777777" w:rsidTr="00987D79">
        <w:tc>
          <w:tcPr>
            <w:tcW w:w="2316" w:type="dxa"/>
            <w:tcBorders>
              <w:left w:val="single" w:sz="24" w:space="0" w:color="auto"/>
              <w:bottom w:val="single" w:sz="24" w:space="0" w:color="auto"/>
              <w:right w:val="single" w:sz="24" w:space="0" w:color="auto"/>
            </w:tcBorders>
            <w:shd w:val="clear" w:color="auto" w:fill="D9D9D9" w:themeFill="background1" w:themeFillShade="D9"/>
          </w:tcPr>
          <w:p w14:paraId="58358AD9" w14:textId="77777777" w:rsidR="00297B9D" w:rsidRPr="006C5B94" w:rsidRDefault="00297B9D" w:rsidP="005375DE">
            <w:r w:rsidRPr="006C5B94">
              <w:t>Average</w:t>
            </w:r>
            <w:r w:rsidR="007F6FD7" w:rsidRPr="006C5B94">
              <w:t xml:space="preserve"> debt on graduate (1)</w:t>
            </w:r>
          </w:p>
        </w:tc>
        <w:tc>
          <w:tcPr>
            <w:tcW w:w="2316" w:type="dxa"/>
            <w:tcBorders>
              <w:left w:val="single" w:sz="24" w:space="0" w:color="auto"/>
              <w:bottom w:val="single" w:sz="24" w:space="0" w:color="auto"/>
              <w:right w:val="single" w:sz="24" w:space="0" w:color="auto"/>
            </w:tcBorders>
            <w:shd w:val="clear" w:color="auto" w:fill="FFFF00"/>
          </w:tcPr>
          <w:p w14:paraId="191C78F5" w14:textId="77777777" w:rsidR="00297B9D" w:rsidRPr="006C5B94" w:rsidRDefault="0098229B" w:rsidP="00865AB7">
            <w:pPr>
              <w:jc w:val="center"/>
            </w:pPr>
            <w:r w:rsidRPr="006C5B94">
              <w:t>£36,87</w:t>
            </w:r>
            <w:r w:rsidR="00297B9D" w:rsidRPr="006C5B94">
              <w:t>0</w:t>
            </w:r>
            <w:r w:rsidR="007F6FD7" w:rsidRPr="006C5B94">
              <w:t xml:space="preserve"> </w:t>
            </w:r>
          </w:p>
        </w:tc>
        <w:tc>
          <w:tcPr>
            <w:tcW w:w="2316" w:type="dxa"/>
            <w:tcBorders>
              <w:left w:val="single" w:sz="24" w:space="0" w:color="auto"/>
              <w:bottom w:val="single" w:sz="24" w:space="0" w:color="auto"/>
            </w:tcBorders>
            <w:shd w:val="clear" w:color="auto" w:fill="00CC00"/>
          </w:tcPr>
          <w:p w14:paraId="74590579" w14:textId="77777777" w:rsidR="00297B9D" w:rsidRPr="006C5B94" w:rsidRDefault="00E10A50" w:rsidP="00865AB7">
            <w:pPr>
              <w:jc w:val="center"/>
            </w:pPr>
            <w:r>
              <w:t>£16,00</w:t>
            </w:r>
            <w:r w:rsidR="006C3139" w:rsidRPr="006C5B94">
              <w:t>0</w:t>
            </w:r>
          </w:p>
        </w:tc>
        <w:tc>
          <w:tcPr>
            <w:tcW w:w="2316" w:type="dxa"/>
            <w:tcBorders>
              <w:bottom w:val="single" w:sz="24" w:space="0" w:color="auto"/>
              <w:right w:val="single" w:sz="24" w:space="0" w:color="auto"/>
            </w:tcBorders>
            <w:shd w:val="clear" w:color="auto" w:fill="12D412"/>
          </w:tcPr>
          <w:p w14:paraId="1633F52F" w14:textId="77777777" w:rsidR="00297B9D" w:rsidRPr="006C5B94" w:rsidRDefault="00E10A50" w:rsidP="00E27738">
            <w:pPr>
              <w:jc w:val="center"/>
            </w:pPr>
            <w:r>
              <w:t>£16,000</w:t>
            </w:r>
          </w:p>
        </w:tc>
      </w:tr>
      <w:tr w:rsidR="00865AB7" w:rsidRPr="006C5B94" w14:paraId="07074B21" w14:textId="77777777" w:rsidTr="001B614A">
        <w:trPr>
          <w:trHeight w:val="429"/>
        </w:trPr>
        <w:tc>
          <w:tcPr>
            <w:tcW w:w="2316" w:type="dxa"/>
            <w:tcBorders>
              <w:top w:val="single" w:sz="24" w:space="0" w:color="auto"/>
              <w:left w:val="single" w:sz="24" w:space="0" w:color="auto"/>
              <w:right w:val="single" w:sz="24" w:space="0" w:color="auto"/>
            </w:tcBorders>
            <w:shd w:val="clear" w:color="auto" w:fill="D9D9D9" w:themeFill="background1" w:themeFillShade="D9"/>
          </w:tcPr>
          <w:p w14:paraId="792DA7DA" w14:textId="77777777" w:rsidR="00865AB7" w:rsidRPr="006C5B94" w:rsidRDefault="00865AB7" w:rsidP="005375DE">
            <w:pPr>
              <w:rPr>
                <w:b/>
              </w:rPr>
            </w:pPr>
          </w:p>
          <w:p w14:paraId="678D4CA8" w14:textId="77777777" w:rsidR="00865AB7" w:rsidRPr="006C5B94" w:rsidRDefault="00865AB7" w:rsidP="005375DE">
            <w:pPr>
              <w:rPr>
                <w:b/>
              </w:rPr>
            </w:pPr>
            <w:r w:rsidRPr="006C5B94">
              <w:rPr>
                <w:b/>
              </w:rPr>
              <w:t>REPAYMENT</w:t>
            </w:r>
          </w:p>
        </w:tc>
        <w:tc>
          <w:tcPr>
            <w:tcW w:w="2316" w:type="dxa"/>
            <w:tcBorders>
              <w:top w:val="single" w:sz="24" w:space="0" w:color="auto"/>
              <w:left w:val="single" w:sz="24" w:space="0" w:color="auto"/>
              <w:right w:val="single" w:sz="24" w:space="0" w:color="auto"/>
            </w:tcBorders>
            <w:shd w:val="clear" w:color="auto" w:fill="FFFF00"/>
          </w:tcPr>
          <w:p w14:paraId="32C2A99D" w14:textId="77777777" w:rsidR="00865AB7" w:rsidRPr="006C5B94" w:rsidRDefault="00865AB7" w:rsidP="00865AB7">
            <w:pPr>
              <w:jc w:val="center"/>
            </w:pPr>
          </w:p>
        </w:tc>
        <w:tc>
          <w:tcPr>
            <w:tcW w:w="4632" w:type="dxa"/>
            <w:gridSpan w:val="2"/>
            <w:tcBorders>
              <w:top w:val="single" w:sz="24" w:space="0" w:color="auto"/>
              <w:left w:val="single" w:sz="24" w:space="0" w:color="auto"/>
              <w:right w:val="single" w:sz="24" w:space="0" w:color="auto"/>
            </w:tcBorders>
            <w:shd w:val="clear" w:color="auto" w:fill="00CC00"/>
          </w:tcPr>
          <w:p w14:paraId="70F1CB0B" w14:textId="77777777" w:rsidR="00865AB7" w:rsidRPr="006C5B94" w:rsidRDefault="00865AB7" w:rsidP="00865AB7">
            <w:pPr>
              <w:jc w:val="center"/>
            </w:pPr>
          </w:p>
        </w:tc>
      </w:tr>
      <w:tr w:rsidR="00C40CAE" w:rsidRPr="006C5B94" w14:paraId="5F9CFE20" w14:textId="77777777" w:rsidTr="001B614A">
        <w:tc>
          <w:tcPr>
            <w:tcW w:w="2316" w:type="dxa"/>
            <w:tcBorders>
              <w:left w:val="single" w:sz="24" w:space="0" w:color="auto"/>
              <w:right w:val="single" w:sz="24" w:space="0" w:color="auto"/>
            </w:tcBorders>
            <w:shd w:val="clear" w:color="auto" w:fill="D9D9D9" w:themeFill="background1" w:themeFillShade="D9"/>
          </w:tcPr>
          <w:p w14:paraId="3DD9D448" w14:textId="77777777" w:rsidR="00C40CAE" w:rsidRPr="006C5B94" w:rsidRDefault="00C40CAE" w:rsidP="005375DE">
            <w:r w:rsidRPr="006C5B94">
              <w:t>Earning threshold</w:t>
            </w:r>
          </w:p>
        </w:tc>
        <w:tc>
          <w:tcPr>
            <w:tcW w:w="2316" w:type="dxa"/>
            <w:tcBorders>
              <w:left w:val="single" w:sz="24" w:space="0" w:color="auto"/>
              <w:right w:val="single" w:sz="24" w:space="0" w:color="auto"/>
            </w:tcBorders>
            <w:shd w:val="clear" w:color="auto" w:fill="FFFF00"/>
          </w:tcPr>
          <w:p w14:paraId="68B196D6" w14:textId="77777777" w:rsidR="00C40CAE" w:rsidRPr="006C5B94" w:rsidRDefault="00C40CAE" w:rsidP="00865AB7">
            <w:pPr>
              <w:jc w:val="center"/>
            </w:pPr>
            <w:r w:rsidRPr="006C5B94">
              <w:t>£21,000</w:t>
            </w:r>
          </w:p>
        </w:tc>
        <w:tc>
          <w:tcPr>
            <w:tcW w:w="4632" w:type="dxa"/>
            <w:gridSpan w:val="2"/>
            <w:tcBorders>
              <w:left w:val="single" w:sz="24" w:space="0" w:color="auto"/>
              <w:right w:val="single" w:sz="24" w:space="0" w:color="auto"/>
            </w:tcBorders>
            <w:shd w:val="clear" w:color="auto" w:fill="00CC00"/>
          </w:tcPr>
          <w:p w14:paraId="7FF470EC" w14:textId="77777777" w:rsidR="00C40CAE" w:rsidRPr="006C5B94" w:rsidRDefault="00CA31DA" w:rsidP="00865AB7">
            <w:pPr>
              <w:jc w:val="center"/>
            </w:pPr>
            <w:r>
              <w:t>£30</w:t>
            </w:r>
            <w:r w:rsidR="00C40CAE" w:rsidRPr="006C5B94">
              <w:t>,000</w:t>
            </w:r>
          </w:p>
        </w:tc>
      </w:tr>
      <w:tr w:rsidR="00C40CAE" w:rsidRPr="006C5B94" w14:paraId="1F96BCC8" w14:textId="77777777" w:rsidTr="001B614A">
        <w:tc>
          <w:tcPr>
            <w:tcW w:w="2316" w:type="dxa"/>
            <w:tcBorders>
              <w:left w:val="single" w:sz="24" w:space="0" w:color="auto"/>
              <w:right w:val="single" w:sz="24" w:space="0" w:color="auto"/>
            </w:tcBorders>
            <w:shd w:val="clear" w:color="auto" w:fill="D9D9D9" w:themeFill="background1" w:themeFillShade="D9"/>
          </w:tcPr>
          <w:p w14:paraId="24CDFD26" w14:textId="77777777" w:rsidR="00C40CAE" w:rsidRPr="006C5B94" w:rsidRDefault="00C40CAE" w:rsidP="005375DE">
            <w:r w:rsidRPr="006C5B94">
              <w:t xml:space="preserve">Repayment </w:t>
            </w:r>
            <w:r w:rsidR="00865AB7" w:rsidRPr="006C5B94">
              <w:t xml:space="preserve">rate </w:t>
            </w:r>
            <w:r w:rsidRPr="006C5B94">
              <w:t>once over earning threshold</w:t>
            </w:r>
          </w:p>
        </w:tc>
        <w:tc>
          <w:tcPr>
            <w:tcW w:w="2316" w:type="dxa"/>
            <w:tcBorders>
              <w:left w:val="single" w:sz="24" w:space="0" w:color="auto"/>
              <w:right w:val="single" w:sz="24" w:space="0" w:color="auto"/>
            </w:tcBorders>
            <w:shd w:val="clear" w:color="auto" w:fill="FFFF00"/>
          </w:tcPr>
          <w:p w14:paraId="0D756763" w14:textId="77777777" w:rsidR="00C40CAE" w:rsidRPr="006C5B94" w:rsidRDefault="00C40CAE" w:rsidP="00865AB7">
            <w:pPr>
              <w:jc w:val="center"/>
            </w:pPr>
            <w:r w:rsidRPr="006C5B94">
              <w:t>9% of earnings over £21,000</w:t>
            </w:r>
          </w:p>
        </w:tc>
        <w:tc>
          <w:tcPr>
            <w:tcW w:w="4632" w:type="dxa"/>
            <w:gridSpan w:val="2"/>
            <w:tcBorders>
              <w:left w:val="single" w:sz="24" w:space="0" w:color="auto"/>
              <w:right w:val="single" w:sz="24" w:space="0" w:color="auto"/>
            </w:tcBorders>
            <w:shd w:val="clear" w:color="auto" w:fill="00CC00"/>
          </w:tcPr>
          <w:p w14:paraId="6C0BE680" w14:textId="77777777" w:rsidR="00C40CAE" w:rsidRPr="006C5B94" w:rsidRDefault="00C40CAE" w:rsidP="00865AB7">
            <w:pPr>
              <w:jc w:val="center"/>
            </w:pPr>
            <w:r w:rsidRPr="006C5B94">
              <w:t>4% - 8% of total earnings</w:t>
            </w:r>
          </w:p>
        </w:tc>
      </w:tr>
      <w:tr w:rsidR="00865AB7" w:rsidRPr="006C5B94" w14:paraId="677760C2" w14:textId="77777777" w:rsidTr="001B614A">
        <w:tc>
          <w:tcPr>
            <w:tcW w:w="2316" w:type="dxa"/>
            <w:tcBorders>
              <w:left w:val="single" w:sz="24" w:space="0" w:color="auto"/>
              <w:right w:val="single" w:sz="24" w:space="0" w:color="auto"/>
            </w:tcBorders>
            <w:shd w:val="clear" w:color="auto" w:fill="D9D9D9" w:themeFill="background1" w:themeFillShade="D9"/>
          </w:tcPr>
          <w:p w14:paraId="74D4F6EE" w14:textId="77777777" w:rsidR="00865AB7" w:rsidRPr="006C5B94" w:rsidRDefault="00865AB7" w:rsidP="00297B9D">
            <w:r w:rsidRPr="006C5B94">
              <w:t>Interest rate</w:t>
            </w:r>
          </w:p>
        </w:tc>
        <w:tc>
          <w:tcPr>
            <w:tcW w:w="2316" w:type="dxa"/>
            <w:tcBorders>
              <w:left w:val="single" w:sz="24" w:space="0" w:color="auto"/>
              <w:right w:val="single" w:sz="24" w:space="0" w:color="auto"/>
            </w:tcBorders>
            <w:shd w:val="clear" w:color="auto" w:fill="FFFF00"/>
          </w:tcPr>
          <w:p w14:paraId="29120418" w14:textId="77777777" w:rsidR="00865AB7" w:rsidRPr="006C5B94" w:rsidRDefault="00865AB7" w:rsidP="00865AB7">
            <w:pPr>
              <w:jc w:val="center"/>
            </w:pPr>
            <w:r w:rsidRPr="006C5B94">
              <w:t>Progressive, up to 3% above inflation</w:t>
            </w:r>
          </w:p>
        </w:tc>
        <w:tc>
          <w:tcPr>
            <w:tcW w:w="4632" w:type="dxa"/>
            <w:gridSpan w:val="2"/>
            <w:tcBorders>
              <w:left w:val="single" w:sz="24" w:space="0" w:color="auto"/>
              <w:right w:val="single" w:sz="24" w:space="0" w:color="auto"/>
            </w:tcBorders>
            <w:shd w:val="clear" w:color="auto" w:fill="00CC00"/>
          </w:tcPr>
          <w:p w14:paraId="3333DB78" w14:textId="77777777" w:rsidR="00865AB7" w:rsidRPr="006C5B94" w:rsidRDefault="00865AB7" w:rsidP="00865AB7">
            <w:pPr>
              <w:jc w:val="center"/>
            </w:pPr>
            <w:r w:rsidRPr="006C5B94">
              <w:t>Zero real interest rate (inflation only)</w:t>
            </w:r>
          </w:p>
        </w:tc>
      </w:tr>
      <w:tr w:rsidR="00865AB7" w:rsidRPr="006C5B94" w14:paraId="6B84A580" w14:textId="77777777" w:rsidTr="001B614A">
        <w:tc>
          <w:tcPr>
            <w:tcW w:w="2316" w:type="dxa"/>
            <w:tcBorders>
              <w:left w:val="single" w:sz="24" w:space="0" w:color="auto"/>
              <w:bottom w:val="single" w:sz="24" w:space="0" w:color="auto"/>
              <w:right w:val="single" w:sz="24" w:space="0" w:color="auto"/>
            </w:tcBorders>
            <w:shd w:val="clear" w:color="auto" w:fill="D9D9D9" w:themeFill="background1" w:themeFillShade="D9"/>
          </w:tcPr>
          <w:p w14:paraId="69C7EE55" w14:textId="77777777" w:rsidR="00865AB7" w:rsidRPr="006C5B94" w:rsidRDefault="00865AB7" w:rsidP="005375DE">
            <w:r w:rsidRPr="006C5B94">
              <w:t>Surcharge</w:t>
            </w:r>
          </w:p>
        </w:tc>
        <w:tc>
          <w:tcPr>
            <w:tcW w:w="2316" w:type="dxa"/>
            <w:tcBorders>
              <w:left w:val="single" w:sz="24" w:space="0" w:color="auto"/>
              <w:bottom w:val="single" w:sz="24" w:space="0" w:color="auto"/>
              <w:right w:val="single" w:sz="24" w:space="0" w:color="auto"/>
            </w:tcBorders>
            <w:shd w:val="clear" w:color="auto" w:fill="FFFF00"/>
          </w:tcPr>
          <w:p w14:paraId="360F1662" w14:textId="77777777" w:rsidR="00865AB7" w:rsidRPr="006C5B94" w:rsidRDefault="00865AB7" w:rsidP="00865AB7">
            <w:pPr>
              <w:jc w:val="center"/>
            </w:pPr>
            <w:r w:rsidRPr="006C5B94">
              <w:t>0</w:t>
            </w:r>
          </w:p>
        </w:tc>
        <w:tc>
          <w:tcPr>
            <w:tcW w:w="2316" w:type="dxa"/>
            <w:tcBorders>
              <w:left w:val="single" w:sz="24" w:space="0" w:color="auto"/>
              <w:bottom w:val="single" w:sz="24" w:space="0" w:color="auto"/>
            </w:tcBorders>
            <w:shd w:val="clear" w:color="auto" w:fill="00CC00"/>
          </w:tcPr>
          <w:p w14:paraId="7BDA8FD4" w14:textId="77777777" w:rsidR="00865AB7" w:rsidRPr="006C5B94" w:rsidRDefault="00865AB7" w:rsidP="00865AB7">
            <w:pPr>
              <w:jc w:val="center"/>
            </w:pPr>
            <w:r w:rsidRPr="006C5B94">
              <w:t>0</w:t>
            </w:r>
          </w:p>
        </w:tc>
        <w:tc>
          <w:tcPr>
            <w:tcW w:w="2316" w:type="dxa"/>
            <w:tcBorders>
              <w:bottom w:val="single" w:sz="24" w:space="0" w:color="auto"/>
              <w:right w:val="single" w:sz="24" w:space="0" w:color="auto"/>
            </w:tcBorders>
            <w:shd w:val="clear" w:color="auto" w:fill="00CC00"/>
          </w:tcPr>
          <w:p w14:paraId="0ACCBD3E" w14:textId="42D644C8" w:rsidR="00865AB7" w:rsidRPr="006C5B94" w:rsidRDefault="00F47E15" w:rsidP="00E27738">
            <w:r>
              <w:t xml:space="preserve">    </w:t>
            </w:r>
            <w:r w:rsidR="00865AB7" w:rsidRPr="006C5B94">
              <w:t xml:space="preserve"> 25% (UG</w:t>
            </w:r>
            <w:r w:rsidR="00E27738">
              <w:t xml:space="preserve"> only</w:t>
            </w:r>
            <w:r w:rsidR="00865AB7" w:rsidRPr="006C5B94">
              <w:t>)</w:t>
            </w:r>
          </w:p>
        </w:tc>
      </w:tr>
      <w:tr w:rsidR="00865AB7" w:rsidRPr="006C5B94" w14:paraId="3269F65C" w14:textId="77777777" w:rsidTr="001B614A">
        <w:trPr>
          <w:trHeight w:val="437"/>
        </w:trPr>
        <w:tc>
          <w:tcPr>
            <w:tcW w:w="2316" w:type="dxa"/>
            <w:tcBorders>
              <w:top w:val="single" w:sz="24" w:space="0" w:color="auto"/>
              <w:left w:val="single" w:sz="24" w:space="0" w:color="auto"/>
              <w:right w:val="single" w:sz="24" w:space="0" w:color="auto"/>
            </w:tcBorders>
            <w:shd w:val="clear" w:color="auto" w:fill="D9D9D9" w:themeFill="background1" w:themeFillShade="D9"/>
          </w:tcPr>
          <w:p w14:paraId="5ACDFF42" w14:textId="77777777" w:rsidR="00865AB7" w:rsidRPr="006C5B94" w:rsidRDefault="00865AB7" w:rsidP="005375DE">
            <w:pPr>
              <w:rPr>
                <w:b/>
              </w:rPr>
            </w:pPr>
          </w:p>
          <w:p w14:paraId="2BC66636" w14:textId="77777777" w:rsidR="00865AB7" w:rsidRPr="006C5B94" w:rsidRDefault="00BA0A7C" w:rsidP="005375DE">
            <w:pPr>
              <w:rPr>
                <w:b/>
              </w:rPr>
            </w:pPr>
            <w:r w:rsidRPr="006C5B94">
              <w:rPr>
                <w:b/>
              </w:rPr>
              <w:t>OUTCOME</w:t>
            </w:r>
          </w:p>
        </w:tc>
        <w:tc>
          <w:tcPr>
            <w:tcW w:w="2316" w:type="dxa"/>
            <w:tcBorders>
              <w:top w:val="single" w:sz="24" w:space="0" w:color="auto"/>
              <w:left w:val="single" w:sz="24" w:space="0" w:color="auto"/>
              <w:right w:val="single" w:sz="24" w:space="0" w:color="auto"/>
            </w:tcBorders>
            <w:shd w:val="clear" w:color="auto" w:fill="FFFF00"/>
          </w:tcPr>
          <w:p w14:paraId="754BFA49" w14:textId="77777777" w:rsidR="00865AB7" w:rsidRPr="006C5B94" w:rsidRDefault="00865AB7" w:rsidP="00865AB7">
            <w:pPr>
              <w:jc w:val="center"/>
              <w:rPr>
                <w:b/>
              </w:rPr>
            </w:pPr>
          </w:p>
        </w:tc>
        <w:tc>
          <w:tcPr>
            <w:tcW w:w="4632" w:type="dxa"/>
            <w:gridSpan w:val="2"/>
            <w:tcBorders>
              <w:top w:val="single" w:sz="24" w:space="0" w:color="auto"/>
              <w:left w:val="single" w:sz="24" w:space="0" w:color="auto"/>
              <w:right w:val="single" w:sz="24" w:space="0" w:color="auto"/>
            </w:tcBorders>
            <w:shd w:val="clear" w:color="auto" w:fill="00CC00"/>
          </w:tcPr>
          <w:p w14:paraId="7ECDA619" w14:textId="77777777" w:rsidR="00865AB7" w:rsidRPr="006C5B94" w:rsidRDefault="00865AB7" w:rsidP="00865AB7">
            <w:pPr>
              <w:jc w:val="center"/>
              <w:rPr>
                <w:b/>
              </w:rPr>
            </w:pPr>
          </w:p>
        </w:tc>
      </w:tr>
      <w:tr w:rsidR="00865AB7" w:rsidRPr="006C5B94" w14:paraId="784EBB95" w14:textId="77777777" w:rsidTr="00987D79">
        <w:tc>
          <w:tcPr>
            <w:tcW w:w="2316" w:type="dxa"/>
            <w:tcBorders>
              <w:left w:val="single" w:sz="24" w:space="0" w:color="auto"/>
              <w:right w:val="single" w:sz="24" w:space="0" w:color="auto"/>
            </w:tcBorders>
            <w:shd w:val="clear" w:color="auto" w:fill="D9D9D9" w:themeFill="background1" w:themeFillShade="D9"/>
          </w:tcPr>
          <w:p w14:paraId="261CE2D8" w14:textId="77777777" w:rsidR="00865AB7" w:rsidRPr="006C5B94" w:rsidRDefault="00865AB7" w:rsidP="005375DE">
            <w:r w:rsidRPr="006C5B94">
              <w:t>Loan subsidy (RAB)</w:t>
            </w:r>
          </w:p>
        </w:tc>
        <w:tc>
          <w:tcPr>
            <w:tcW w:w="2316" w:type="dxa"/>
            <w:tcBorders>
              <w:left w:val="single" w:sz="24" w:space="0" w:color="auto"/>
              <w:right w:val="single" w:sz="24" w:space="0" w:color="auto"/>
            </w:tcBorders>
            <w:shd w:val="clear" w:color="auto" w:fill="FFFF00"/>
          </w:tcPr>
          <w:p w14:paraId="3D372D85" w14:textId="090E42E5" w:rsidR="00865AB7" w:rsidRPr="006C5B94" w:rsidRDefault="00D64B62" w:rsidP="00865AB7">
            <w:pPr>
              <w:jc w:val="center"/>
            </w:pPr>
            <w:r>
              <w:t>45</w:t>
            </w:r>
            <w:r w:rsidR="00865AB7" w:rsidRPr="006C5B94">
              <w:t>%</w:t>
            </w:r>
            <w:r w:rsidR="00D26A93" w:rsidRPr="006C5B94">
              <w:t xml:space="preserve"> (2)</w:t>
            </w:r>
          </w:p>
        </w:tc>
        <w:tc>
          <w:tcPr>
            <w:tcW w:w="2316" w:type="dxa"/>
            <w:tcBorders>
              <w:left w:val="single" w:sz="24" w:space="0" w:color="auto"/>
            </w:tcBorders>
            <w:shd w:val="clear" w:color="auto" w:fill="12D412"/>
          </w:tcPr>
          <w:p w14:paraId="08DA11E0" w14:textId="77777777" w:rsidR="00865AB7" w:rsidRPr="006C5B94" w:rsidRDefault="00865AB7" w:rsidP="00865AB7">
            <w:pPr>
              <w:jc w:val="center"/>
            </w:pPr>
            <w:r w:rsidRPr="006C5B94">
              <w:t>25%</w:t>
            </w:r>
          </w:p>
        </w:tc>
        <w:tc>
          <w:tcPr>
            <w:tcW w:w="2316" w:type="dxa"/>
            <w:tcBorders>
              <w:right w:val="single" w:sz="24" w:space="0" w:color="auto"/>
            </w:tcBorders>
            <w:shd w:val="clear" w:color="auto" w:fill="00CC00"/>
          </w:tcPr>
          <w:p w14:paraId="30EC6796" w14:textId="77777777" w:rsidR="00865AB7" w:rsidRPr="006C5B94" w:rsidRDefault="00E27738" w:rsidP="00865AB7">
            <w:pPr>
              <w:jc w:val="center"/>
            </w:pPr>
            <w:r>
              <w:t>25% (PG), 0% (UG)</w:t>
            </w:r>
          </w:p>
        </w:tc>
      </w:tr>
      <w:tr w:rsidR="00865AB7" w:rsidRPr="006C5B94" w14:paraId="49528583" w14:textId="77777777" w:rsidTr="001B614A">
        <w:tc>
          <w:tcPr>
            <w:tcW w:w="2316" w:type="dxa"/>
            <w:tcBorders>
              <w:left w:val="single" w:sz="24" w:space="0" w:color="auto"/>
              <w:right w:val="single" w:sz="24" w:space="0" w:color="auto"/>
            </w:tcBorders>
            <w:shd w:val="clear" w:color="auto" w:fill="D9D9D9" w:themeFill="background1" w:themeFillShade="D9"/>
          </w:tcPr>
          <w:p w14:paraId="7F7F3803" w14:textId="77777777" w:rsidR="00865AB7" w:rsidRPr="006C5B94" w:rsidRDefault="00865AB7" w:rsidP="005375DE">
            <w:r w:rsidRPr="006C5B94">
              <w:t>Average repayment period</w:t>
            </w:r>
          </w:p>
        </w:tc>
        <w:tc>
          <w:tcPr>
            <w:tcW w:w="2316" w:type="dxa"/>
            <w:tcBorders>
              <w:left w:val="single" w:sz="24" w:space="0" w:color="auto"/>
              <w:right w:val="single" w:sz="24" w:space="0" w:color="auto"/>
            </w:tcBorders>
            <w:shd w:val="clear" w:color="auto" w:fill="FFFF00"/>
          </w:tcPr>
          <w:p w14:paraId="4E94D914" w14:textId="77777777" w:rsidR="00865AB7" w:rsidRPr="006C5B94" w:rsidRDefault="00865AB7" w:rsidP="00865AB7">
            <w:pPr>
              <w:jc w:val="center"/>
            </w:pPr>
            <w:r w:rsidRPr="006C5B94">
              <w:t>26 years+</w:t>
            </w:r>
            <w:r w:rsidR="000035F7" w:rsidRPr="006C5B94">
              <w:t xml:space="preserve"> (3)</w:t>
            </w:r>
          </w:p>
        </w:tc>
        <w:tc>
          <w:tcPr>
            <w:tcW w:w="4632" w:type="dxa"/>
            <w:gridSpan w:val="2"/>
            <w:tcBorders>
              <w:left w:val="single" w:sz="24" w:space="0" w:color="auto"/>
              <w:right w:val="single" w:sz="24" w:space="0" w:color="auto"/>
            </w:tcBorders>
            <w:shd w:val="clear" w:color="auto" w:fill="00CC00"/>
          </w:tcPr>
          <w:p w14:paraId="3F58B633" w14:textId="77777777" w:rsidR="00865AB7" w:rsidRPr="006C5B94" w:rsidRDefault="00916FCA" w:rsidP="00865AB7">
            <w:pPr>
              <w:jc w:val="center"/>
            </w:pPr>
            <w:r>
              <w:t>8.4</w:t>
            </w:r>
            <w:r w:rsidR="00865AB7" w:rsidRPr="006C5B94">
              <w:t xml:space="preserve"> years</w:t>
            </w:r>
            <w:r w:rsidR="00E10A50">
              <w:t xml:space="preserve"> (4)</w:t>
            </w:r>
          </w:p>
        </w:tc>
      </w:tr>
      <w:tr w:rsidR="00865AB7" w:rsidRPr="006C5B94" w14:paraId="5ECF31E5" w14:textId="77777777" w:rsidTr="00987D79">
        <w:tc>
          <w:tcPr>
            <w:tcW w:w="2316" w:type="dxa"/>
            <w:tcBorders>
              <w:left w:val="single" w:sz="24" w:space="0" w:color="auto"/>
              <w:bottom w:val="single" w:sz="24" w:space="0" w:color="auto"/>
              <w:right w:val="single" w:sz="24" w:space="0" w:color="auto"/>
            </w:tcBorders>
            <w:shd w:val="clear" w:color="auto" w:fill="D9D9D9" w:themeFill="background1" w:themeFillShade="D9"/>
          </w:tcPr>
          <w:p w14:paraId="7DD8DB43" w14:textId="77777777" w:rsidR="00865AB7" w:rsidRPr="006C5B94" w:rsidRDefault="00865AB7" w:rsidP="005375DE">
            <w:r w:rsidRPr="006C5B94">
              <w:t xml:space="preserve">Benefit from 30 year write-off </w:t>
            </w:r>
          </w:p>
        </w:tc>
        <w:tc>
          <w:tcPr>
            <w:tcW w:w="2316" w:type="dxa"/>
            <w:tcBorders>
              <w:left w:val="single" w:sz="24" w:space="0" w:color="auto"/>
              <w:bottom w:val="single" w:sz="24" w:space="0" w:color="auto"/>
              <w:right w:val="single" w:sz="24" w:space="0" w:color="auto"/>
            </w:tcBorders>
            <w:shd w:val="clear" w:color="auto" w:fill="FFFF00"/>
          </w:tcPr>
          <w:p w14:paraId="03609008" w14:textId="77777777" w:rsidR="00865AB7" w:rsidRPr="006C5B94" w:rsidRDefault="00865AB7" w:rsidP="00865AB7">
            <w:pPr>
              <w:jc w:val="center"/>
            </w:pPr>
            <w:r w:rsidRPr="006C5B94">
              <w:t>60%</w:t>
            </w:r>
            <w:r w:rsidR="000035F7" w:rsidRPr="006C5B94">
              <w:t xml:space="preserve"> (3)</w:t>
            </w:r>
          </w:p>
        </w:tc>
        <w:tc>
          <w:tcPr>
            <w:tcW w:w="4632" w:type="dxa"/>
            <w:gridSpan w:val="2"/>
            <w:tcBorders>
              <w:left w:val="single" w:sz="24" w:space="0" w:color="auto"/>
              <w:bottom w:val="single" w:sz="24" w:space="0" w:color="auto"/>
              <w:right w:val="single" w:sz="24" w:space="0" w:color="auto"/>
            </w:tcBorders>
            <w:shd w:val="clear" w:color="auto" w:fill="12D412"/>
          </w:tcPr>
          <w:p w14:paraId="2A822B98" w14:textId="77777777" w:rsidR="00865AB7" w:rsidRPr="006C5B94" w:rsidRDefault="00E27738" w:rsidP="00E27738">
            <w:pPr>
              <w:jc w:val="center"/>
            </w:pPr>
            <w:r>
              <w:t>write-off at death</w:t>
            </w:r>
            <w:r w:rsidR="00E10A50">
              <w:t xml:space="preserve"> </w:t>
            </w:r>
          </w:p>
        </w:tc>
      </w:tr>
    </w:tbl>
    <w:p w14:paraId="4DBA0990" w14:textId="6C5BE847" w:rsidR="00C37F7E" w:rsidRPr="006C5B94" w:rsidRDefault="00404C9C" w:rsidP="00C37F7E">
      <w:pPr>
        <w:pStyle w:val="ListParagraph"/>
        <w:numPr>
          <w:ilvl w:val="0"/>
          <w:numId w:val="13"/>
        </w:numPr>
        <w:rPr>
          <w:rStyle w:val="Hyperlink"/>
          <w:color w:val="auto"/>
          <w:u w:val="none"/>
        </w:rPr>
      </w:pPr>
      <w:r>
        <w:t>English</w:t>
      </w:r>
      <w:r w:rsidR="00297B9D" w:rsidRPr="006C5B94">
        <w:t xml:space="preserve"> figures are based on an average fee of £8</w:t>
      </w:r>
      <w:r w:rsidR="007F6FD7" w:rsidRPr="006C5B94">
        <w:t>,450</w:t>
      </w:r>
      <w:r w:rsidR="00297B9D" w:rsidRPr="006C5B94">
        <w:t xml:space="preserve"> per year</w:t>
      </w:r>
      <w:r w:rsidR="007F6FD7" w:rsidRPr="006C5B94">
        <w:t xml:space="preserve"> </w:t>
      </w:r>
      <w:sdt>
        <w:sdtPr>
          <w:id w:val="-2012516969"/>
          <w:citation/>
        </w:sdtPr>
        <w:sdtEndPr/>
        <w:sdtContent>
          <w:r w:rsidR="007F6FD7" w:rsidRPr="006C5B94">
            <w:fldChar w:fldCharType="begin"/>
          </w:r>
          <w:r w:rsidR="007F6FD7" w:rsidRPr="006C5B94">
            <w:instrText xml:space="preserve"> CITATION OFF13 \l 2057 </w:instrText>
          </w:r>
          <w:r w:rsidR="007F6FD7" w:rsidRPr="006C5B94">
            <w:fldChar w:fldCharType="separate"/>
          </w:r>
          <w:r w:rsidR="007F6FD7" w:rsidRPr="006C5B94">
            <w:rPr>
              <w:noProof/>
            </w:rPr>
            <w:t>(OFFA, 2013)</w:t>
          </w:r>
          <w:r w:rsidR="007F6FD7" w:rsidRPr="006C5B94">
            <w:fldChar w:fldCharType="end"/>
          </w:r>
        </w:sdtContent>
      </w:sdt>
      <w:r w:rsidR="00297B9D" w:rsidRPr="006C5B94">
        <w:t xml:space="preserve"> and include average maintenance loan of £3,840 per year </w:t>
      </w:r>
      <w:hyperlink r:id="rId22" w:history="1">
        <w:r w:rsidR="00297B9D" w:rsidRPr="006C5B94">
          <w:rPr>
            <w:rStyle w:val="Hyperlink"/>
          </w:rPr>
          <w:t>www.parliament.uk/briefing-papers/sn01079.pd</w:t>
        </w:r>
      </w:hyperlink>
      <w:r w:rsidR="007B1D8D" w:rsidRPr="006C5B94">
        <w:rPr>
          <w:rStyle w:val="Hyperlink"/>
        </w:rPr>
        <w:t xml:space="preserve"> </w:t>
      </w:r>
      <w:r w:rsidR="007B1D8D" w:rsidRPr="006C5B94">
        <w:t>Australian</w:t>
      </w:r>
      <w:r w:rsidR="00C37F7E" w:rsidRPr="006C5B94">
        <w:t xml:space="preserve"> figures are based on</w:t>
      </w:r>
      <w:r w:rsidR="00E10A50">
        <w:t xml:space="preserve"> information from the Australian Government (see footnote 14) but does not distinguish between HECS-HELP and FEE-HELP figures</w:t>
      </w:r>
      <w:r w:rsidR="00C37F7E" w:rsidRPr="006C5B94">
        <w:t>. There is no maintenance loan equivalent in Australia as their student support system is run through our DWP equivalent.</w:t>
      </w:r>
    </w:p>
    <w:p w14:paraId="750DBE50" w14:textId="00F6D33C" w:rsidR="00D26A93" w:rsidRPr="006C5B94" w:rsidRDefault="00D64B62" w:rsidP="00297B9D">
      <w:pPr>
        <w:pStyle w:val="ListParagraph"/>
        <w:numPr>
          <w:ilvl w:val="0"/>
          <w:numId w:val="13"/>
        </w:numPr>
      </w:pPr>
      <w:r>
        <w:t xml:space="preserve">House of Commons, March 2014 </w:t>
      </w:r>
      <w:r w:rsidR="00305055">
        <w:fldChar w:fldCharType="begin"/>
      </w:r>
      <w:r w:rsidR="00305055">
        <w:instrText xml:space="preserve"> HYPERLINK "http://www.publications.parliament.uk/pa/cm201314/cmhansrd/cm140320/text/140320w0002.htm" \l "140320w0002.htm_wqn21" \t "_blank" </w:instrText>
      </w:r>
      <w:r w:rsidR="00305055">
        <w:fldChar w:fldCharType="separate"/>
      </w:r>
      <w:r>
        <w:rPr>
          <w:rStyle w:val="Hyperlink"/>
          <w:rFonts w:ascii="Arial" w:hAnsi="Arial" w:cs="Arial"/>
          <w:color w:val="1155CC"/>
          <w:sz w:val="20"/>
          <w:szCs w:val="20"/>
          <w:shd w:val="clear" w:color="auto" w:fill="FFFFFF"/>
        </w:rPr>
        <w:t>http://www.publications.parliament.uk/pa/cm201314/cmhansrd/cm140320/text/140320w0002.htm#140320w0002.htm_wqn21</w:t>
      </w:r>
      <w:r w:rsidR="00305055">
        <w:rPr>
          <w:rStyle w:val="Hyperlink"/>
          <w:rFonts w:ascii="Arial" w:hAnsi="Arial" w:cs="Arial"/>
          <w:color w:val="1155CC"/>
          <w:sz w:val="20"/>
          <w:szCs w:val="20"/>
          <w:shd w:val="clear" w:color="auto" w:fill="FFFFFF"/>
        </w:rPr>
        <w:fldChar w:fldCharType="end"/>
      </w:r>
      <w:r>
        <w:t xml:space="preserve"> </w:t>
      </w:r>
    </w:p>
    <w:p w14:paraId="2B4AFD92" w14:textId="77777777" w:rsidR="000035F7" w:rsidRDefault="00471D34" w:rsidP="00297B9D">
      <w:pPr>
        <w:pStyle w:val="ListParagraph"/>
        <w:numPr>
          <w:ilvl w:val="0"/>
          <w:numId w:val="13"/>
        </w:numPr>
      </w:pPr>
      <w:r w:rsidRPr="00471D34">
        <w:t>Institute for Fiscal Studies (IFS), UK</w:t>
      </w:r>
      <w:r w:rsidR="00E10A50">
        <w:t>.</w:t>
      </w:r>
    </w:p>
    <w:p w14:paraId="76EEA347" w14:textId="77777777" w:rsidR="00E10A50" w:rsidRPr="00471D34" w:rsidRDefault="00E10A50" w:rsidP="00297B9D">
      <w:pPr>
        <w:pStyle w:val="ListParagraph"/>
        <w:numPr>
          <w:ilvl w:val="0"/>
          <w:numId w:val="13"/>
        </w:numPr>
      </w:pPr>
      <w:r>
        <w:t>Australian Government information, see footnote 14.</w:t>
      </w:r>
    </w:p>
    <w:p w14:paraId="3BFAC172" w14:textId="230B1466" w:rsidR="00FB5D06" w:rsidRPr="006C5B94" w:rsidRDefault="00F526C0" w:rsidP="005375DE">
      <w:r w:rsidRPr="006C5B94">
        <w:t>The</w:t>
      </w:r>
      <w:r w:rsidR="00DA2196" w:rsidRPr="006C5B94">
        <w:t>re is a single</w:t>
      </w:r>
      <w:r w:rsidRPr="006C5B94">
        <w:t xml:space="preserve"> repayment system for </w:t>
      </w:r>
      <w:r w:rsidR="00DA2196" w:rsidRPr="006C5B94">
        <w:t xml:space="preserve">both </w:t>
      </w:r>
      <w:r w:rsidRPr="006C5B94">
        <w:t xml:space="preserve">HECS-HELP and FEE-HELP </w:t>
      </w:r>
      <w:r w:rsidR="00DA2196" w:rsidRPr="006C5B94">
        <w:t>that does not vary by loan type.</w:t>
      </w:r>
      <w:r w:rsidR="00F47E15">
        <w:t xml:space="preserve"> </w:t>
      </w:r>
      <w:r w:rsidR="009B4896" w:rsidRPr="006C5B94">
        <w:t xml:space="preserve">Similar to </w:t>
      </w:r>
      <w:r w:rsidR="007779C1" w:rsidRPr="006C5B94">
        <w:t>England</w:t>
      </w:r>
      <w:r w:rsidR="009B4896" w:rsidRPr="006C5B94">
        <w:t>, t</w:t>
      </w:r>
      <w:r w:rsidR="00DA2196" w:rsidRPr="006C5B94">
        <w:t>here is a high earnings threshold for repayment</w:t>
      </w:r>
      <w:r w:rsidR="0006185E" w:rsidRPr="006C5B94">
        <w:t>s</w:t>
      </w:r>
      <w:r w:rsidR="009B4896" w:rsidRPr="006C5B94">
        <w:t xml:space="preserve"> of </w:t>
      </w:r>
      <w:r w:rsidR="00A53B52">
        <w:t>$51,309</w:t>
      </w:r>
      <w:r w:rsidR="004274A1">
        <w:rPr>
          <w:rStyle w:val="FootnoteReference"/>
        </w:rPr>
        <w:footnoteReference w:id="15"/>
      </w:r>
      <w:r w:rsidR="0006185E" w:rsidRPr="006C5B94">
        <w:t xml:space="preserve"> </w:t>
      </w:r>
      <w:r w:rsidR="004274A1">
        <w:t xml:space="preserve">in 2013-14 </w:t>
      </w:r>
      <w:r w:rsidR="009B4896" w:rsidRPr="006C5B94">
        <w:t>(this</w:t>
      </w:r>
      <w:r w:rsidR="0006185E" w:rsidRPr="006C5B94">
        <w:t xml:space="preserve"> converts to </w:t>
      </w:r>
      <w:r w:rsidR="00476D76" w:rsidRPr="006C5B94">
        <w:t xml:space="preserve">just </w:t>
      </w:r>
      <w:r w:rsidR="00A53B52">
        <w:t>under</w:t>
      </w:r>
      <w:r w:rsidR="009B4896" w:rsidRPr="006C5B94">
        <w:t xml:space="preserve"> </w:t>
      </w:r>
      <w:r w:rsidR="00A53B52">
        <w:t>£30</w:t>
      </w:r>
      <w:r w:rsidR="009B4896" w:rsidRPr="006C5B94">
        <w:t xml:space="preserve">,000 but </w:t>
      </w:r>
      <w:r w:rsidR="00DA2196" w:rsidRPr="006C5B94">
        <w:t xml:space="preserve">in terms of </w:t>
      </w:r>
      <w:r w:rsidR="009B4896" w:rsidRPr="006C5B94">
        <w:t xml:space="preserve">both </w:t>
      </w:r>
      <w:r w:rsidR="00DA2196" w:rsidRPr="006C5B94">
        <w:t xml:space="preserve">average graduate salaries and purchasing power </w:t>
      </w:r>
      <w:r w:rsidR="009B4896" w:rsidRPr="006C5B94">
        <w:t xml:space="preserve">this </w:t>
      </w:r>
      <w:r w:rsidR="00A53B52">
        <w:t>is</w:t>
      </w:r>
      <w:r w:rsidR="009B4896" w:rsidRPr="006C5B94">
        <w:t xml:space="preserve"> similar to </w:t>
      </w:r>
      <w:r w:rsidR="007779C1" w:rsidRPr="006C5B94">
        <w:t>England</w:t>
      </w:r>
      <w:r w:rsidR="009B4896" w:rsidRPr="006C5B94">
        <w:t>’s</w:t>
      </w:r>
      <w:r w:rsidR="00DA2196" w:rsidRPr="006C5B94">
        <w:t xml:space="preserve"> £21,000 threshold)</w:t>
      </w:r>
      <w:r w:rsidR="009B4896" w:rsidRPr="006C5B94">
        <w:t xml:space="preserve">. </w:t>
      </w:r>
    </w:p>
    <w:p w14:paraId="1DDC0690" w14:textId="77777777" w:rsidR="00DC2296" w:rsidRPr="006C5B94" w:rsidRDefault="00FB5D06" w:rsidP="005375DE">
      <w:r w:rsidRPr="006C5B94">
        <w:t xml:space="preserve">The repayment system above this threshold does vary considerably, however, and in large part explains the different repayment outcomes overall between the two systems. As shown in Figure 6, </w:t>
      </w:r>
      <w:r w:rsidR="00DA2196" w:rsidRPr="006C5B94">
        <w:t xml:space="preserve">once you </w:t>
      </w:r>
      <w:r w:rsidR="00A53B52">
        <w:t>cross the $51,309</w:t>
      </w:r>
      <w:r w:rsidR="00DA2196" w:rsidRPr="006C5B94">
        <w:t xml:space="preserve"> earnings</w:t>
      </w:r>
      <w:r w:rsidRPr="006C5B94">
        <w:t xml:space="preserve"> threshold</w:t>
      </w:r>
      <w:r w:rsidR="00DA2196" w:rsidRPr="006C5B94">
        <w:t xml:space="preserve"> you pay a % of your </w:t>
      </w:r>
      <w:r w:rsidR="00DA2196" w:rsidRPr="006C5B94">
        <w:rPr>
          <w:i/>
        </w:rPr>
        <w:t>total</w:t>
      </w:r>
      <w:r w:rsidR="00DA2196" w:rsidRPr="006C5B94">
        <w:t xml:space="preserve"> earnings, rather than the </w:t>
      </w:r>
      <w:r w:rsidRPr="006C5B94">
        <w:t>9% of earn</w:t>
      </w:r>
      <w:r w:rsidR="00404C9C">
        <w:t>ings above the threshold that English</w:t>
      </w:r>
      <w:r w:rsidRPr="006C5B94">
        <w:t xml:space="preserve"> graduates pay. Australian graduates pay between 4% and 8% of their </w:t>
      </w:r>
      <w:r w:rsidRPr="006C5B94">
        <w:rPr>
          <w:i/>
        </w:rPr>
        <w:t>total</w:t>
      </w:r>
      <w:r w:rsidRPr="006C5B94">
        <w:t xml:space="preserve"> earnings once they are over the threshold. In effect, Australian graduates make larger contributions once they cross the earnings threshold and pay back much faster as a result. </w:t>
      </w:r>
    </w:p>
    <w:p w14:paraId="1CF4751E" w14:textId="77777777" w:rsidR="00DC2296" w:rsidRPr="006C5B94" w:rsidRDefault="00DC2296" w:rsidP="005375DE">
      <w:r w:rsidRPr="006C5B94">
        <w:t>As an</w:t>
      </w:r>
      <w:r w:rsidR="00A53B52">
        <w:t xml:space="preserve"> example, a graduate earning £30</w:t>
      </w:r>
      <w:r w:rsidRPr="006C5B94">
        <w:t>,000 in Australia w</w:t>
      </w:r>
      <w:r w:rsidR="00A53B52">
        <w:t>ould pay £125 a month compared to just £67.30</w:t>
      </w:r>
      <w:r w:rsidRPr="006C5B94">
        <w:t xml:space="preserve"> in England. These higher repayment rates, alongside a lower overall debt value and no real interest rate, explain why an Australian student will pay off</w:t>
      </w:r>
      <w:r w:rsidR="00A53B52">
        <w:t xml:space="preserve"> their loan in an average of 8.4</w:t>
      </w:r>
      <w:r w:rsidRPr="006C5B94">
        <w:t xml:space="preserve"> years compared to 26 years in England.</w:t>
      </w:r>
    </w:p>
    <w:p w14:paraId="693DB937" w14:textId="77777777" w:rsidR="00FB5D06" w:rsidRDefault="00FB5D06" w:rsidP="005375DE">
      <w:r w:rsidRPr="006C5B94">
        <w:t>The Australian system is equally progressive across the system as a whole but tougher on those just above the threshold in order to achieve shorter repay</w:t>
      </w:r>
      <w:r w:rsidR="00DC2296" w:rsidRPr="006C5B94">
        <w:t>ment terms. Arguably, at just £7.50</w:t>
      </w:r>
      <w:r w:rsidRPr="006C5B94">
        <w:t xml:space="preserve"> a week contributions on earnings of £</w:t>
      </w:r>
      <w:r w:rsidR="00404C9C">
        <w:t>25,000, English</w:t>
      </w:r>
      <w:r w:rsidRPr="006C5B94">
        <w:t xml:space="preserve"> graduates could afford to pay more to reduce their</w:t>
      </w:r>
      <w:r w:rsidR="00DC2296" w:rsidRPr="006C5B94">
        <w:t xml:space="preserve"> loan value faster but that is</w:t>
      </w:r>
      <w:r w:rsidRPr="006C5B94">
        <w:t xml:space="preserve"> ultimately a political judgement.</w:t>
      </w:r>
    </w:p>
    <w:tbl>
      <w:tblPr>
        <w:tblStyle w:val="LightShading-Accent2"/>
        <w:tblW w:w="0" w:type="auto"/>
        <w:tblLook w:val="04A0" w:firstRow="1" w:lastRow="0" w:firstColumn="1" w:lastColumn="0" w:noHBand="0" w:noVBand="1"/>
      </w:tblPr>
      <w:tblGrid>
        <w:gridCol w:w="9264"/>
      </w:tblGrid>
      <w:tr w:rsidR="00235833" w:rsidRPr="006C5B94" w14:paraId="71E52C5D" w14:textId="77777777" w:rsidTr="00525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11EFB3D5" w14:textId="04A4FFA2" w:rsidR="00373E3A" w:rsidRDefault="00373E3A" w:rsidP="00373E3A">
            <w:pPr>
              <w:ind w:left="142"/>
            </w:pPr>
            <w:r>
              <w:t xml:space="preserve">9/ </w:t>
            </w:r>
            <w:r>
              <w:rPr>
                <w:bCs w:val="0"/>
              </w:rPr>
              <w:t>For English observers that are concerned about the 4</w:t>
            </w:r>
            <w:r w:rsidR="003C62C9">
              <w:rPr>
                <w:bCs w:val="0"/>
              </w:rPr>
              <w:t>5</w:t>
            </w:r>
            <w:r>
              <w:rPr>
                <w:bCs w:val="0"/>
              </w:rPr>
              <w:t>% public subsidy on student loans, a vital lesson is that i</w:t>
            </w:r>
            <w:r>
              <w:t>t is not better employment prospects that are allowing Australian graduates to pay back their loans faster (8 years on average, compared to our 26 year); it is lower debt levels and a better designed repayment system – something England needs to learn from.</w:t>
            </w:r>
            <w:r w:rsidR="00F47E15">
              <w:t xml:space="preserve"> </w:t>
            </w:r>
          </w:p>
          <w:p w14:paraId="351D1E1E" w14:textId="77777777" w:rsidR="00373E3A" w:rsidRPr="006C5B94" w:rsidRDefault="00373E3A" w:rsidP="00373E3A">
            <w:pPr>
              <w:rPr>
                <w:bCs w:val="0"/>
              </w:rPr>
            </w:pPr>
          </w:p>
          <w:p w14:paraId="52C886B8" w14:textId="33D2B2AB" w:rsidR="00235833" w:rsidRPr="006C5B94" w:rsidRDefault="00373E3A" w:rsidP="00373E3A">
            <w:pPr>
              <w:ind w:left="142"/>
            </w:pPr>
            <w:r>
              <w:t xml:space="preserve">10/ </w:t>
            </w:r>
            <w:r>
              <w:rPr>
                <w:bCs w:val="0"/>
              </w:rPr>
              <w:t>The Australian system is distinct in having a tougher, shorter repayment period once over the earnings threshold. For most graduates, this means an effective – and still affordable - means of getting their loan paid off in full before they reach 30. It also means a lower level of public subsidy (or RAB) on student loans for the Government.</w:t>
            </w:r>
          </w:p>
        </w:tc>
      </w:tr>
    </w:tbl>
    <w:p w14:paraId="7FE3DEB9" w14:textId="77777777" w:rsidR="00235833" w:rsidRPr="006C5B94" w:rsidRDefault="00235833" w:rsidP="005375DE"/>
    <w:p w14:paraId="63E4519F" w14:textId="77777777" w:rsidR="00FB5D06" w:rsidRPr="006C5B94" w:rsidRDefault="00FB5D06" w:rsidP="00AD212B">
      <w:pPr>
        <w:pStyle w:val="Heading2"/>
      </w:pPr>
      <w:bookmarkStart w:id="17" w:name="_Toc259883104"/>
      <w:r w:rsidRPr="006C5B94">
        <w:t>So what does this mean for the outcomes of the loan system?</w:t>
      </w:r>
      <w:bookmarkEnd w:id="17"/>
    </w:p>
    <w:p w14:paraId="491C28B0" w14:textId="77777777" w:rsidR="00297B9D" w:rsidRPr="006C5B94" w:rsidRDefault="00297B9D" w:rsidP="005375DE">
      <w:r w:rsidRPr="006C5B94">
        <w:t xml:space="preserve">Figure 6 lists the four factors in the design of a loan system: earnings threshold for repayment; repayment rate over earnings threshold; interest rate; and surcharge. </w:t>
      </w:r>
      <w:r w:rsidR="002F351E" w:rsidRPr="006C5B94">
        <w:t>Alongside the total debt value of the graduate, it is</w:t>
      </w:r>
      <w:r w:rsidRPr="006C5B94">
        <w:t xml:space="preserve"> these factors </w:t>
      </w:r>
      <w:r w:rsidR="002F351E" w:rsidRPr="006C5B94">
        <w:t>that</w:t>
      </w:r>
      <w:r w:rsidRPr="006C5B94">
        <w:t xml:space="preserve"> affect the outcome of the loan </w:t>
      </w:r>
      <w:r w:rsidR="002F351E" w:rsidRPr="006C5B94">
        <w:t>design</w:t>
      </w:r>
      <w:r w:rsidR="00D26AF7">
        <w:t xml:space="preserve"> for both graduates (for</w:t>
      </w:r>
      <w:r w:rsidR="002F351E" w:rsidRPr="006C5B94">
        <w:t xml:space="preserve"> repayments) and Government (</w:t>
      </w:r>
      <w:r w:rsidR="00D26AF7">
        <w:t>for</w:t>
      </w:r>
      <w:r w:rsidR="002F351E" w:rsidRPr="006C5B94">
        <w:t xml:space="preserve"> subsidies / cost)</w:t>
      </w:r>
      <w:r w:rsidRPr="006C5B94">
        <w:t>.</w:t>
      </w:r>
    </w:p>
    <w:p w14:paraId="5851BF4D" w14:textId="1A168C8C" w:rsidR="00297B9D" w:rsidRPr="006C5B94" w:rsidRDefault="00297B9D" w:rsidP="005375DE">
      <w:r w:rsidRPr="006C5B94">
        <w:t xml:space="preserve">In </w:t>
      </w:r>
      <w:r w:rsidR="007779C1" w:rsidRPr="006C5B94">
        <w:t>England</w:t>
      </w:r>
      <w:r w:rsidRPr="006C5B94">
        <w:t>, it</w:t>
      </w:r>
      <w:r w:rsidR="005A4D9C" w:rsidRPr="006C5B94">
        <w:t xml:space="preserve"> is the combination of a high debt value alongside a relatively high earnings threshold and low contribution requirements over the earnings threshold that result in the long average repayment period of</w:t>
      </w:r>
      <w:r w:rsidR="007B1D8D">
        <w:t xml:space="preserve"> </w:t>
      </w:r>
      <w:r w:rsidR="005A4D9C" w:rsidRPr="006C5B94">
        <w:t>26 years and hig</w:t>
      </w:r>
      <w:r w:rsidR="00D64B62">
        <w:t>h subsidy cost to Government (45</w:t>
      </w:r>
      <w:r w:rsidR="005A4D9C" w:rsidRPr="006C5B94">
        <w:t>% RAB charge)</w:t>
      </w:r>
      <w:r w:rsidR="00817AF7">
        <w:t xml:space="preserve"> as shown in Figure 6</w:t>
      </w:r>
      <w:r w:rsidR="005A4D9C" w:rsidRPr="006C5B94">
        <w:t xml:space="preserve">. The real interest rate is a progressive tool for gaining higher repayment from high earners but, in combination with other factors, is not enough to significantly reduce the Government subsidy. With over 60% of graduates benefiting from the </w:t>
      </w:r>
      <w:r w:rsidR="007B1D8D" w:rsidRPr="006C5B94">
        <w:t>30-year</w:t>
      </w:r>
      <w:r w:rsidR="005A4D9C" w:rsidRPr="006C5B94">
        <w:t xml:space="preserve"> write-off of debt, this is not surprising. </w:t>
      </w:r>
    </w:p>
    <w:p w14:paraId="5324E53B" w14:textId="70C64529" w:rsidR="005A4D9C" w:rsidRPr="006C5B94" w:rsidRDefault="008F355F" w:rsidP="005375DE">
      <w:r w:rsidRPr="006C5B94">
        <w:t xml:space="preserve">By contrast, Australia has </w:t>
      </w:r>
      <w:r w:rsidR="007B1D8D">
        <w:t xml:space="preserve">a </w:t>
      </w:r>
      <w:r w:rsidRPr="006C5B94">
        <w:t>zero</w:t>
      </w:r>
      <w:r w:rsidR="005A4D9C" w:rsidRPr="006C5B94">
        <w:t xml:space="preserve"> real interest rate </w:t>
      </w:r>
      <w:r w:rsidR="003C62C9">
        <w:t xml:space="preserve">and </w:t>
      </w:r>
      <w:r w:rsidR="00D26AF7">
        <w:t>manages a much faster 8</w:t>
      </w:r>
      <w:r w:rsidR="005A4D9C" w:rsidRPr="006C5B94">
        <w:t xml:space="preserve"> year average repayment period. This is a result of much lower overall debt profiles on graduation alongside higher repayments for graduates once they cross the earnings threshold. Interestingly, the earnings threshold is equally high compared to </w:t>
      </w:r>
      <w:r w:rsidR="007779C1" w:rsidRPr="006C5B94">
        <w:t>England</w:t>
      </w:r>
      <w:r w:rsidR="005A4D9C" w:rsidRPr="006C5B94">
        <w:t xml:space="preserve"> – higher in fact – but </w:t>
      </w:r>
      <w:r w:rsidR="00020A3D" w:rsidRPr="006C5B94">
        <w:t xml:space="preserve">payments of </w:t>
      </w:r>
      <w:r w:rsidR="004053F5" w:rsidRPr="006C5B94">
        <w:t xml:space="preserve">4% - 8% of </w:t>
      </w:r>
      <w:r w:rsidR="004053F5" w:rsidRPr="006C5B94">
        <w:rPr>
          <w:i/>
        </w:rPr>
        <w:t>total</w:t>
      </w:r>
      <w:r w:rsidR="004053F5" w:rsidRPr="006C5B94">
        <w:t xml:space="preserve"> earnings once you are over the threshold result in much </w:t>
      </w:r>
      <w:r w:rsidR="007779C1" w:rsidRPr="006C5B94">
        <w:t>higher contributions</w:t>
      </w:r>
      <w:r w:rsidR="003C62C9">
        <w:t xml:space="preserve"> for nearly all</w:t>
      </w:r>
      <w:r w:rsidR="007779C1" w:rsidRPr="006C5B94">
        <w:t xml:space="preserve"> than the English</w:t>
      </w:r>
      <w:r w:rsidR="004053F5" w:rsidRPr="006C5B94">
        <w:t xml:space="preserve"> method of 9% of earnings above the threshold.</w:t>
      </w:r>
    </w:p>
    <w:p w14:paraId="497AF6BA" w14:textId="4FD8F723" w:rsidR="005102DA" w:rsidRPr="006C5B94" w:rsidRDefault="007C3A71" w:rsidP="005102DA">
      <w:r w:rsidRPr="006C5B94">
        <w:t>The</w:t>
      </w:r>
      <w:r w:rsidR="00D26AF7">
        <w:t xml:space="preserve"> undergraduate</w:t>
      </w:r>
      <w:r w:rsidRPr="006C5B94">
        <w:t xml:space="preserve"> </w:t>
      </w:r>
      <w:r w:rsidR="00C03E5F">
        <w:t>FEE-HELP</w:t>
      </w:r>
      <w:r w:rsidRPr="006C5B94">
        <w:t xml:space="preserve"> part of the system then adds a </w:t>
      </w:r>
      <w:r w:rsidR="00D26AF7">
        <w:t xml:space="preserve">25% </w:t>
      </w:r>
      <w:r w:rsidR="00F3171A">
        <w:t xml:space="preserve">surcharge on loans, which means there is virtually no </w:t>
      </w:r>
      <w:r w:rsidRPr="006C5B94">
        <w:t>public subsidy</w:t>
      </w:r>
      <w:r w:rsidR="00F3171A">
        <w:t xml:space="preserve"> on these loans</w:t>
      </w:r>
      <w:r w:rsidRPr="006C5B94">
        <w:t xml:space="preserve">. In a system where, before 2012, any excess demand was taken up on the </w:t>
      </w:r>
      <w:r w:rsidR="00C03E5F">
        <w:t>FEE-HELP</w:t>
      </w:r>
      <w:r w:rsidRPr="006C5B94">
        <w:t xml:space="preserve"> side and these students carried zero public investment from base funding and </w:t>
      </w:r>
      <w:r w:rsidR="00D26AF7">
        <w:t xml:space="preserve">almost </w:t>
      </w:r>
      <w:r w:rsidRPr="006C5B94">
        <w:t xml:space="preserve">zero subsidy on loans, you can </w:t>
      </w:r>
      <w:r w:rsidR="005375DE" w:rsidRPr="006C5B94">
        <w:t xml:space="preserve">start to see why their Government is much more relaxed </w:t>
      </w:r>
      <w:r w:rsidR="00DA2196" w:rsidRPr="006C5B94">
        <w:t>about loans going out.</w:t>
      </w:r>
      <w:r w:rsidR="00861F12" w:rsidRPr="006C5B94">
        <w:t xml:space="preserve"> With 100% of loan value for</w:t>
      </w:r>
      <w:r w:rsidR="00D77643" w:rsidRPr="006C5B94">
        <w:t xml:space="preserve"> non-subsidised</w:t>
      </w:r>
      <w:r w:rsidR="00861F12" w:rsidRPr="006C5B94">
        <w:t xml:space="preserve"> </w:t>
      </w:r>
      <w:r w:rsidR="00C03E5F">
        <w:t>FEE-HELP</w:t>
      </w:r>
      <w:r w:rsidR="00D77643" w:rsidRPr="006C5B94">
        <w:t xml:space="preserve"> loans</w:t>
      </w:r>
      <w:r w:rsidR="00861F12" w:rsidRPr="006C5B94">
        <w:t xml:space="preserve"> sitting on Government books as an asset than</w:t>
      </w:r>
      <w:r w:rsidR="00D26AF7">
        <w:t>ks to accrual accounting method</w:t>
      </w:r>
      <w:r w:rsidR="00861F12" w:rsidRPr="006C5B94">
        <w:t xml:space="preserve"> (</w:t>
      </w:r>
      <w:r w:rsidR="00D26AF7">
        <w:t>the same accounting method</w:t>
      </w:r>
      <w:r w:rsidR="00D77643" w:rsidRPr="006C5B94">
        <w:t xml:space="preserve"> as used in </w:t>
      </w:r>
      <w:r w:rsidR="00404C9C">
        <w:t>England</w:t>
      </w:r>
      <w:r w:rsidR="00D77643" w:rsidRPr="006C5B94">
        <w:t>) and</w:t>
      </w:r>
      <w:r w:rsidR="00861F12" w:rsidRPr="006C5B94">
        <w:t xml:space="preserve"> a much shorter average repayment period compared to </w:t>
      </w:r>
      <w:r w:rsidR="007779C1" w:rsidRPr="006C5B94">
        <w:t>England</w:t>
      </w:r>
      <w:r w:rsidR="00861F12" w:rsidRPr="006C5B94">
        <w:t xml:space="preserve">, the picture becomes </w:t>
      </w:r>
      <w:r w:rsidR="00D77643" w:rsidRPr="006C5B94">
        <w:t xml:space="preserve">even </w:t>
      </w:r>
      <w:r w:rsidR="00861F12" w:rsidRPr="006C5B94">
        <w:t>clear</w:t>
      </w:r>
      <w:r w:rsidR="00D26AF7">
        <w:t>er</w:t>
      </w:r>
      <w:r w:rsidR="00861F12" w:rsidRPr="006C5B94">
        <w:t xml:space="preserve">. </w:t>
      </w:r>
    </w:p>
    <w:p w14:paraId="0D5825CD" w14:textId="77777777" w:rsidR="00417395" w:rsidRPr="006C5B94" w:rsidRDefault="00D26AF7" w:rsidP="005102DA">
      <w:r>
        <w:t>The removal of number controls</w:t>
      </w:r>
      <w:r w:rsidR="00417395" w:rsidRPr="006C5B94">
        <w:t xml:space="preserve"> in 2012 has confused this picture slightly but not entirely. Given that HECS-HELP loans carry a relatively modest subsidy of around 25%, the Government is still more concerned about the increased cost of base funding</w:t>
      </w:r>
      <w:r>
        <w:t xml:space="preserve"> (60% of course cost) than about the</w:t>
      </w:r>
      <w:r w:rsidR="00417395" w:rsidRPr="006C5B94">
        <w:t xml:space="preserve"> loan debt.</w:t>
      </w:r>
    </w:p>
    <w:tbl>
      <w:tblPr>
        <w:tblStyle w:val="LightShading-Accent2"/>
        <w:tblW w:w="0" w:type="auto"/>
        <w:tblLook w:val="04A0" w:firstRow="1" w:lastRow="0" w:firstColumn="1" w:lastColumn="0" w:noHBand="0" w:noVBand="1"/>
      </w:tblPr>
      <w:tblGrid>
        <w:gridCol w:w="9264"/>
      </w:tblGrid>
      <w:tr w:rsidR="00EA48A0" w:rsidRPr="006C5B94" w14:paraId="1BF6DF96" w14:textId="77777777" w:rsidTr="00EA48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126DDE53" w14:textId="5964F68E" w:rsidR="00EA48A0" w:rsidRPr="006C5B94" w:rsidRDefault="00CF1A8A" w:rsidP="005102DA">
            <w:r>
              <w:rPr>
                <w:bCs w:val="0"/>
              </w:rPr>
              <w:t>11</w:t>
            </w:r>
            <w:r w:rsidR="00EA48A0" w:rsidRPr="006C5B94">
              <w:rPr>
                <w:bCs w:val="0"/>
              </w:rPr>
              <w:t xml:space="preserve">/ </w:t>
            </w:r>
            <w:r w:rsidR="00605200">
              <w:t>FEE-HELP</w:t>
            </w:r>
            <w:r w:rsidR="00605200" w:rsidRPr="006C5B94">
              <w:t xml:space="preserve"> loans have enabled the Australian Government to do two really important things that the </w:t>
            </w:r>
            <w:r w:rsidR="00605200">
              <w:t>English system</w:t>
            </w:r>
            <w:r w:rsidR="00605200" w:rsidRPr="006C5B94">
              <w:t xml:space="preserve"> is not able to </w:t>
            </w:r>
            <w:r w:rsidR="00605200">
              <w:t>afford</w:t>
            </w:r>
            <w:r w:rsidR="00605200" w:rsidRPr="006C5B94">
              <w:t>:</w:t>
            </w:r>
            <w:r w:rsidR="00605200">
              <w:t xml:space="preserve"> first,</w:t>
            </w:r>
            <w:r w:rsidR="00605200" w:rsidRPr="006C5B94">
              <w:t xml:space="preserve"> offer a fee loan to every student</w:t>
            </w:r>
            <w:r w:rsidR="00605200">
              <w:t xml:space="preserve"> and second, </w:t>
            </w:r>
            <w:r w:rsidR="00605200" w:rsidRPr="006C5B94">
              <w:t>of</w:t>
            </w:r>
            <w:r w:rsidR="00605200">
              <w:t>fer a lifetime loan allocation;</w:t>
            </w:r>
            <w:r w:rsidR="00605200" w:rsidRPr="006C5B94">
              <w:t xml:space="preserve"> allowing students to re-enter the system and re-train throughout their career. This has to be the primary lesson to learn from the Australian system for England. </w:t>
            </w:r>
          </w:p>
        </w:tc>
      </w:tr>
    </w:tbl>
    <w:p w14:paraId="68EC3144" w14:textId="77777777" w:rsidR="00EA48A0" w:rsidRPr="006C5B94" w:rsidRDefault="00EA48A0" w:rsidP="005102DA"/>
    <w:p w14:paraId="482AEB40" w14:textId="77777777" w:rsidR="00D247B8" w:rsidRPr="006C5B94" w:rsidRDefault="00D247B8">
      <w:pPr>
        <w:rPr>
          <w:b/>
        </w:rPr>
      </w:pPr>
      <w:r w:rsidRPr="006C5B94">
        <w:rPr>
          <w:b/>
        </w:rPr>
        <w:br w:type="page"/>
      </w:r>
    </w:p>
    <w:p w14:paraId="318FBF28" w14:textId="77777777" w:rsidR="004976B3" w:rsidRPr="006C5B94" w:rsidRDefault="0019645A" w:rsidP="0019645A">
      <w:pPr>
        <w:pStyle w:val="Heading1"/>
      </w:pPr>
      <w:bookmarkStart w:id="18" w:name="_Toc259883105"/>
      <w:r w:rsidRPr="006C5B94">
        <w:t>Chapter 5/ Student number controls</w:t>
      </w:r>
      <w:bookmarkEnd w:id="18"/>
    </w:p>
    <w:p w14:paraId="72A53141" w14:textId="77777777" w:rsidR="00893862" w:rsidRPr="006C5B94" w:rsidRDefault="00E67815" w:rsidP="00893862">
      <w:pPr>
        <w:pStyle w:val="Heading2"/>
      </w:pPr>
      <w:bookmarkStart w:id="19" w:name="_Toc259883106"/>
      <w:r>
        <w:t>Understanding ‘demand driven</w:t>
      </w:r>
      <w:r w:rsidR="00893862" w:rsidRPr="006C5B94">
        <w:t>’ policy in Australia</w:t>
      </w:r>
      <w:bookmarkEnd w:id="19"/>
    </w:p>
    <w:p w14:paraId="465F6EA4" w14:textId="77777777" w:rsidR="00516B84" w:rsidRPr="006C5B94" w:rsidRDefault="0060537A" w:rsidP="0032583C">
      <w:r w:rsidRPr="006C5B94">
        <w:t>This chapter provides the opportunity for a closer look at</w:t>
      </w:r>
      <w:r w:rsidR="0032583C" w:rsidRPr="006C5B94">
        <w:t xml:space="preserve"> what has happened in Australia </w:t>
      </w:r>
      <w:r w:rsidRPr="006C5B94">
        <w:t>since their student number cap</w:t>
      </w:r>
      <w:r w:rsidR="008153E3" w:rsidRPr="006C5B94">
        <w:t xml:space="preserve"> </w:t>
      </w:r>
      <w:r w:rsidRPr="006C5B94">
        <w:t>for subsidised HECS-HELP entrants was</w:t>
      </w:r>
      <w:r w:rsidR="008153E3" w:rsidRPr="006C5B94">
        <w:t xml:space="preserve"> removed in 2012</w:t>
      </w:r>
      <w:r w:rsidR="0032583C" w:rsidRPr="006C5B94">
        <w:t>. In very crud</w:t>
      </w:r>
      <w:r w:rsidR="00E67815">
        <w:t>e terms their recent ‘demand driven</w:t>
      </w:r>
      <w:r w:rsidR="0032583C" w:rsidRPr="006C5B94">
        <w:t xml:space="preserve">’ policy </w:t>
      </w:r>
      <w:r w:rsidRPr="006C5B94">
        <w:t>resulted</w:t>
      </w:r>
      <w:r w:rsidR="0032583C" w:rsidRPr="006C5B94">
        <w:t xml:space="preserve"> in a massive explosion of </w:t>
      </w:r>
      <w:r w:rsidR="007F18BC">
        <w:t>university enrolments</w:t>
      </w:r>
      <w:r w:rsidR="00E165DA" w:rsidRPr="006C5B94">
        <w:t xml:space="preserve">. There was a </w:t>
      </w:r>
      <w:r w:rsidR="008153E3" w:rsidRPr="006C5B94">
        <w:t xml:space="preserve">23% </w:t>
      </w:r>
      <w:r w:rsidR="00E165DA" w:rsidRPr="006C5B94">
        <w:t xml:space="preserve">growth in this part of the system </w:t>
      </w:r>
      <w:r w:rsidR="008153E3" w:rsidRPr="006C5B94">
        <w:t>in</w:t>
      </w:r>
      <w:r w:rsidR="00E165DA" w:rsidRPr="006C5B94">
        <w:t xml:space="preserve"> the</w:t>
      </w:r>
      <w:r w:rsidR="008153E3" w:rsidRPr="006C5B94">
        <w:t xml:space="preserve"> four years</w:t>
      </w:r>
      <w:r w:rsidR="00E165DA" w:rsidRPr="006C5B94">
        <w:t xml:space="preserve"> from</w:t>
      </w:r>
      <w:r w:rsidR="008153E3" w:rsidRPr="006C5B94">
        <w:t xml:space="preserve"> 2009-2013</w:t>
      </w:r>
      <w:r w:rsidR="00E165DA" w:rsidRPr="006C5B94">
        <w:t xml:space="preserve">. This started before 2012 </w:t>
      </w:r>
      <w:r w:rsidR="008153E3" w:rsidRPr="006C5B94">
        <w:t xml:space="preserve">because </w:t>
      </w:r>
      <w:r w:rsidR="007F18BC">
        <w:t xml:space="preserve">the Government relaxed caps and </w:t>
      </w:r>
      <w:r w:rsidR="008153E3" w:rsidRPr="006C5B94">
        <w:t>providers started to expand in anticipation of the change</w:t>
      </w:r>
      <w:r w:rsidR="00E165DA" w:rsidRPr="006C5B94">
        <w:t>. This is an impressive level of expansion, particularly when you consider that</w:t>
      </w:r>
      <w:r w:rsidR="0032583C" w:rsidRPr="006C5B94">
        <w:t xml:space="preserve"> participation</w:t>
      </w:r>
      <w:r w:rsidR="00E165DA" w:rsidRPr="006C5B94">
        <w:t xml:space="preserve"> rates were</w:t>
      </w:r>
      <w:r w:rsidR="0032583C" w:rsidRPr="006C5B94">
        <w:t xml:space="preserve"> by no means low before they lifted the cap. </w:t>
      </w:r>
      <w:r w:rsidR="007F18BC">
        <w:t>E</w:t>
      </w:r>
      <w:r w:rsidR="005B7844">
        <w:t>xpansion has started to plateau</w:t>
      </w:r>
      <w:r w:rsidR="007F18BC">
        <w:t xml:space="preserve"> since 2013-14, as you would expect, due to unmet demand being exhausted and the balance of supply and demand coming into closer equilibrium.</w:t>
      </w:r>
    </w:p>
    <w:p w14:paraId="5624764C" w14:textId="58C994DA" w:rsidR="00E165DA" w:rsidRPr="006C5B94" w:rsidRDefault="00E165DA" w:rsidP="0032583C">
      <w:r w:rsidRPr="006C5B94">
        <w:t xml:space="preserve">One of the stated aims of the policy was to improve access for non-traditional students, including those from rural communities. On these grounds, the policy has been </w:t>
      </w:r>
      <w:r w:rsidR="008231FD">
        <w:t>of</w:t>
      </w:r>
      <w:r w:rsidRPr="006C5B94">
        <w:t xml:space="preserve"> </w:t>
      </w:r>
      <w:r w:rsidR="007F18BC">
        <w:t>mixed</w:t>
      </w:r>
      <w:r w:rsidRPr="006C5B94">
        <w:t xml:space="preserve"> success.</w:t>
      </w:r>
      <w:r w:rsidR="00F47E15">
        <w:t xml:space="preserve"> </w:t>
      </w:r>
      <w:r w:rsidR="007F18BC" w:rsidRPr="007F18BC">
        <w:t xml:space="preserve">While the proportion of Indigenous Australian students has increased markedly, the proportion of students from low socio economic status backgrounds has increased measurably but modestly, </w:t>
      </w:r>
      <w:r w:rsidR="008231FD">
        <w:t>and</w:t>
      </w:r>
      <w:r w:rsidR="007F18BC" w:rsidRPr="007F18BC">
        <w:t xml:space="preserve"> the proportions from rural and isolated backgrounds have continued their 15</w:t>
      </w:r>
      <w:r w:rsidR="008231FD">
        <w:t>-</w:t>
      </w:r>
      <w:r w:rsidR="007F18BC" w:rsidRPr="007F18BC">
        <w:t>year fall.</w:t>
      </w:r>
      <w:r w:rsidR="00F47E15">
        <w:t xml:space="preserve"> </w:t>
      </w:r>
      <w:r w:rsidRPr="006C5B94">
        <w:t>Certainly there are those in Australia that sign up to the stubbornly persistent opinion that ‘more equals worse’ but the majority opinion seems t</w:t>
      </w:r>
      <w:r w:rsidR="007F18BC">
        <w:t>o be that this growth has been</w:t>
      </w:r>
      <w:r w:rsidR="00F47E15">
        <w:t xml:space="preserve"> </w:t>
      </w:r>
      <w:r w:rsidRPr="006C5B94">
        <w:t>positive for Australia</w:t>
      </w:r>
      <w:r w:rsidR="007F18BC">
        <w:t>.</w:t>
      </w:r>
      <w:r w:rsidRPr="006C5B94">
        <w:t xml:space="preserve"> The questions it has raised, quite rightly, relate to quality and outcomes (particularly employment outcomes) for students. There are appropriate questions that warrant close investigation – particularly when we know that the average </w:t>
      </w:r>
      <w:r w:rsidR="007E3D32">
        <w:t>entry</w:t>
      </w:r>
      <w:r w:rsidRPr="006C5B94">
        <w:t xml:space="preserve"> </w:t>
      </w:r>
      <w:r w:rsidR="00370BF2" w:rsidRPr="006C5B94">
        <w:t>score</w:t>
      </w:r>
      <w:r w:rsidRPr="006C5B94">
        <w:t xml:space="preserve"> of university entrants has fallen to accommodate this expansion.</w:t>
      </w:r>
    </w:p>
    <w:p w14:paraId="4FDB30F4" w14:textId="01582491" w:rsidR="0032583C" w:rsidRPr="006C5B94" w:rsidRDefault="00370BF2" w:rsidP="0032583C">
      <w:r w:rsidRPr="006C5B94">
        <w:t xml:space="preserve">Another legitimate issue is the financing of such expansion. </w:t>
      </w:r>
      <w:r w:rsidR="0032583C" w:rsidRPr="006C5B94">
        <w:t xml:space="preserve">This </w:t>
      </w:r>
      <w:r w:rsidRPr="006C5B94">
        <w:t xml:space="preserve">particular </w:t>
      </w:r>
      <w:r w:rsidR="0032583C" w:rsidRPr="006C5B94">
        <w:t>expansion has come at significant cost to the Federal Government in</w:t>
      </w:r>
      <w:r w:rsidR="00516B84" w:rsidRPr="006C5B94">
        <w:t xml:space="preserve"> base funding, which is direct Government funding for teaching</w:t>
      </w:r>
      <w:r w:rsidR="0032583C" w:rsidRPr="006C5B94">
        <w:t xml:space="preserve">. The cost has been estimated </w:t>
      </w:r>
      <w:r w:rsidR="008231FD">
        <w:t xml:space="preserve">to be </w:t>
      </w:r>
      <w:r w:rsidR="0032583C" w:rsidRPr="006C5B94">
        <w:t xml:space="preserve">as high as </w:t>
      </w:r>
      <w:r w:rsidR="00516B84" w:rsidRPr="006C5B94">
        <w:t>$</w:t>
      </w:r>
      <w:r w:rsidR="0032583C" w:rsidRPr="006C5B94">
        <w:t>4b</w:t>
      </w:r>
      <w:r w:rsidR="00516B84" w:rsidRPr="006C5B94">
        <w:t>n Australian dollars (about £2.3</w:t>
      </w:r>
      <w:r w:rsidR="0032583C" w:rsidRPr="006C5B94">
        <w:t>bn) – way above any anticipated projections. Again, there is little mention of the</w:t>
      </w:r>
      <w:r w:rsidRPr="006C5B94">
        <w:t xml:space="preserve"> additional</w:t>
      </w:r>
      <w:r w:rsidR="0032583C" w:rsidRPr="006C5B94">
        <w:t xml:space="preserve"> loan cost in Australia</w:t>
      </w:r>
      <w:r w:rsidRPr="006C5B94">
        <w:t xml:space="preserve"> – even though these are HECS-HELP loans that carry a modest public subsidy </w:t>
      </w:r>
      <w:r w:rsidR="00F47E15">
        <w:t>–</w:t>
      </w:r>
      <w:r w:rsidR="0032583C" w:rsidRPr="006C5B94">
        <w:t xml:space="preserve"> but </w:t>
      </w:r>
      <w:r w:rsidR="00516B84" w:rsidRPr="006C5B94">
        <w:t>we now have a better understanding of why that is</w:t>
      </w:r>
      <w:r w:rsidRPr="006C5B94">
        <w:t xml:space="preserve"> (see Chapter 4)</w:t>
      </w:r>
      <w:r w:rsidR="00C9114F">
        <w:t>. No doubt the Government was</w:t>
      </w:r>
      <w:r w:rsidR="0032583C" w:rsidRPr="006C5B94">
        <w:t xml:space="preserve"> keen to introduce more ‘market forces’ into HE but hadn’t quite anticipated how the regulated, subsidised, quasi-mark</w:t>
      </w:r>
      <w:r w:rsidR="00C03536">
        <w:t>et might react; a debate that is very much alive in England</w:t>
      </w:r>
      <w:r w:rsidR="0032583C" w:rsidRPr="006C5B94">
        <w:t xml:space="preserve">. With price controls still in place there was a surge in </w:t>
      </w:r>
      <w:r w:rsidR="00C9114F">
        <w:t>enrolments</w:t>
      </w:r>
      <w:r w:rsidR="0032583C" w:rsidRPr="006C5B94">
        <w:t>, including possible substitution from FE</w:t>
      </w:r>
      <w:r w:rsidR="00DF6C2C">
        <w:t xml:space="preserve"> at the sub-bachelor level,</w:t>
      </w:r>
      <w:r w:rsidR="0032583C" w:rsidRPr="006C5B94">
        <w:t xml:space="preserve"> and the big quest</w:t>
      </w:r>
      <w:r w:rsidR="00C9114F">
        <w:t>ions in Australia are now about</w:t>
      </w:r>
      <w:r w:rsidR="0032583C" w:rsidRPr="006C5B94">
        <w:t xml:space="preserve"> quality and retention. A new </w:t>
      </w:r>
      <w:r w:rsidR="00C9114F">
        <w:t>conservative Coalition Government was</w:t>
      </w:r>
      <w:r w:rsidR="0032583C" w:rsidRPr="006C5B94">
        <w:t xml:space="preserve"> elected in September 2013 </w:t>
      </w:r>
      <w:r w:rsidR="00516B84" w:rsidRPr="006C5B94">
        <w:t>with an election promise of keeping the cap off but this promise is being tested</w:t>
      </w:r>
      <w:r w:rsidR="0032583C" w:rsidRPr="006C5B94">
        <w:t>.</w:t>
      </w:r>
    </w:p>
    <w:p w14:paraId="26F1D756" w14:textId="4902C726" w:rsidR="00A01227" w:rsidRPr="006C5B94" w:rsidRDefault="00D63F0D" w:rsidP="00EC78F0">
      <w:r w:rsidRPr="006C5B94">
        <w:t xml:space="preserve">So the Australian example might suggest that </w:t>
      </w:r>
      <w:r w:rsidR="00404C9C">
        <w:t>England</w:t>
      </w:r>
      <w:r w:rsidRPr="006C5B94">
        <w:t xml:space="preserve"> would have to weigh up improved access against questions of </w:t>
      </w:r>
      <w:r w:rsidR="002041CE" w:rsidRPr="006C5B94">
        <w:t>quality and outcomes for students alongside increased cost</w:t>
      </w:r>
      <w:r w:rsidRPr="006C5B94">
        <w:t xml:space="preserve">? Well, </w:t>
      </w:r>
      <w:r w:rsidR="002041CE" w:rsidRPr="006C5B94">
        <w:t xml:space="preserve">increased cost is inevitable in </w:t>
      </w:r>
      <w:r w:rsidR="00D41189" w:rsidRPr="006C5B94">
        <w:t>the English sy</w:t>
      </w:r>
      <w:r w:rsidR="00BD269C">
        <w:t>s</w:t>
      </w:r>
      <w:r w:rsidR="00D41189" w:rsidRPr="006C5B94">
        <w:t>tem</w:t>
      </w:r>
      <w:r w:rsidR="002041CE" w:rsidRPr="006C5B94">
        <w:t xml:space="preserve"> when it comes to growth of undergraduates </w:t>
      </w:r>
      <w:r w:rsidR="00C9114F">
        <w:t>who</w:t>
      </w:r>
      <w:r w:rsidR="002041CE" w:rsidRPr="006C5B94">
        <w:t xml:space="preserve"> can access a fee loan but apparently this will be covered by the sale of historic loan books.</w:t>
      </w:r>
      <w:r w:rsidR="00F47E15">
        <w:t xml:space="preserve"> </w:t>
      </w:r>
      <w:r w:rsidR="002041CE" w:rsidRPr="006C5B94">
        <w:t>I shall choose not to get distracted by this issue because there are some more interesting insights to be gained on the other side of the picture</w:t>
      </w:r>
      <w:r w:rsidR="004505B9" w:rsidRPr="006C5B94">
        <w:t xml:space="preserve"> – quality, standards and the student experience</w:t>
      </w:r>
      <w:r w:rsidR="002041CE" w:rsidRPr="006C5B94">
        <w:t>.</w:t>
      </w:r>
      <w:r w:rsidR="00F47E15">
        <w:t xml:space="preserve"> </w:t>
      </w:r>
    </w:p>
    <w:p w14:paraId="26DEB7CA" w14:textId="77777777" w:rsidR="004505B9" w:rsidRPr="006C5B94" w:rsidRDefault="004505B9">
      <w:pPr>
        <w:rPr>
          <w:rFonts w:asciiTheme="majorHAnsi" w:eastAsiaTheme="majorEastAsia" w:hAnsiTheme="majorHAnsi" w:cstheme="majorBidi"/>
          <w:b/>
          <w:bCs/>
          <w:color w:val="4F81BD" w:themeColor="accent1"/>
          <w:sz w:val="26"/>
          <w:szCs w:val="26"/>
        </w:rPr>
      </w:pPr>
      <w:r w:rsidRPr="006C5B94">
        <w:br w:type="page"/>
      </w:r>
    </w:p>
    <w:p w14:paraId="493D870A" w14:textId="77777777" w:rsidR="00A01227" w:rsidRPr="006C5B94" w:rsidRDefault="00D63F0D" w:rsidP="00D63F0D">
      <w:pPr>
        <w:pStyle w:val="Heading2"/>
      </w:pPr>
      <w:bookmarkStart w:id="20" w:name="_Toc259883107"/>
      <w:r w:rsidRPr="006C5B94">
        <w:t xml:space="preserve">Why </w:t>
      </w:r>
      <w:r w:rsidR="007779C1" w:rsidRPr="006C5B94">
        <w:t>England</w:t>
      </w:r>
      <w:r w:rsidRPr="006C5B94">
        <w:t xml:space="preserve"> might fare differently following the removal of number controls in 2015-16</w:t>
      </w:r>
      <w:bookmarkEnd w:id="20"/>
    </w:p>
    <w:p w14:paraId="58726F7C" w14:textId="6C673B47" w:rsidR="00BE7276" w:rsidRPr="006C5B94" w:rsidRDefault="00C9114F" w:rsidP="00EC78F0">
      <w:r>
        <w:t>T</w:t>
      </w:r>
      <w:r w:rsidR="004505B9" w:rsidRPr="006C5B94">
        <w:t xml:space="preserve">here are a few small but significant differences in the </w:t>
      </w:r>
      <w:r w:rsidR="007779C1" w:rsidRPr="006C5B94">
        <w:t>English</w:t>
      </w:r>
      <w:r w:rsidR="004505B9" w:rsidRPr="006C5B94">
        <w:t xml:space="preserve"> model</w:t>
      </w:r>
      <w:r w:rsidR="007779C1" w:rsidRPr="006C5B94">
        <w:t xml:space="preserve"> that might mean the English </w:t>
      </w:r>
      <w:r w:rsidR="004505B9" w:rsidRPr="006C5B94">
        <w:t xml:space="preserve">experience </w:t>
      </w:r>
      <w:r>
        <w:t xml:space="preserve">of quality and student outcomes </w:t>
      </w:r>
      <w:r w:rsidR="004505B9" w:rsidRPr="006C5B94">
        <w:t>will not be identical to that of its Australian cousins in recent years</w:t>
      </w:r>
      <w:r w:rsidR="008231FD">
        <w:t>,</w:t>
      </w:r>
      <w:r w:rsidR="00E67815">
        <w:t xml:space="preserve"> since adopting a ‘demand driven</w:t>
      </w:r>
      <w:r w:rsidR="00E002FA" w:rsidRPr="006C5B94">
        <w:t xml:space="preserve">’ policy for subsidised </w:t>
      </w:r>
      <w:r w:rsidR="00C03E5F">
        <w:t>HECS-HELP</w:t>
      </w:r>
      <w:r w:rsidR="00E002FA" w:rsidRPr="006C5B94">
        <w:t xml:space="preserve"> students</w:t>
      </w:r>
      <w:r w:rsidR="004505B9" w:rsidRPr="006C5B94">
        <w:t>.</w:t>
      </w:r>
      <w:r w:rsidR="00F47E15">
        <w:t xml:space="preserve"> </w:t>
      </w:r>
    </w:p>
    <w:p w14:paraId="392BD49E" w14:textId="2D7F8D18" w:rsidR="007F6E56" w:rsidRPr="006C5B94" w:rsidRDefault="00EC78F0" w:rsidP="00EC78F0">
      <w:r w:rsidRPr="006C5B94">
        <w:t xml:space="preserve">First, and most importantly, </w:t>
      </w:r>
      <w:r w:rsidR="0064097D" w:rsidRPr="006C5B94">
        <w:t>the English system</w:t>
      </w:r>
      <w:r w:rsidRPr="006C5B94">
        <w:t xml:space="preserve"> still fund</w:t>
      </w:r>
      <w:r w:rsidR="007D518F" w:rsidRPr="006C5B94">
        <w:t>s</w:t>
      </w:r>
      <w:r w:rsidRPr="006C5B94">
        <w:t xml:space="preserve"> on</w:t>
      </w:r>
      <w:r w:rsidR="007D518F" w:rsidRPr="006C5B94">
        <w:t xml:space="preserve"> the basis of</w:t>
      </w:r>
      <w:r w:rsidRPr="006C5B94">
        <w:t xml:space="preserve"> </w:t>
      </w:r>
      <w:r w:rsidR="005D25C8">
        <w:t>retention. T</w:t>
      </w:r>
      <w:r w:rsidR="00A334EC" w:rsidRPr="006C5B94">
        <w:t>he Australian</w:t>
      </w:r>
      <w:r w:rsidR="00186122" w:rsidRPr="006C5B94">
        <w:t xml:space="preserve"> system</w:t>
      </w:r>
      <w:r w:rsidR="005D25C8">
        <w:t xml:space="preserve"> does make adjustments for any changes in student numbers at the census date but it is slightly less responsive to retention / drop out throughout the year</w:t>
      </w:r>
      <w:r w:rsidR="00186122" w:rsidRPr="006C5B94">
        <w:t xml:space="preserve"> </w:t>
      </w:r>
      <w:r w:rsidR="007D518F" w:rsidRPr="006C5B94">
        <w:t>– as mentioned in Chapter 3</w:t>
      </w:r>
      <w:r w:rsidR="007F6E56" w:rsidRPr="006C5B94">
        <w:t xml:space="preserve">. </w:t>
      </w:r>
      <w:r w:rsidR="009A765B">
        <w:t>I</w:t>
      </w:r>
      <w:r w:rsidR="007F6E56" w:rsidRPr="006C5B94">
        <w:t>n the post-2012 £9,000</w:t>
      </w:r>
      <w:r w:rsidRPr="006C5B94">
        <w:t xml:space="preserve"> </w:t>
      </w:r>
      <w:r w:rsidR="007F6E56" w:rsidRPr="006C5B94">
        <w:t xml:space="preserve">fee </w:t>
      </w:r>
      <w:r w:rsidRPr="006C5B94">
        <w:t>system</w:t>
      </w:r>
      <w:r w:rsidR="0064097D" w:rsidRPr="006C5B94">
        <w:t xml:space="preserve"> in England</w:t>
      </w:r>
      <w:r w:rsidRPr="006C5B94">
        <w:t xml:space="preserve">, the fee loan that goes to the university </w:t>
      </w:r>
      <w:r w:rsidR="00B44C06" w:rsidRPr="006C5B94">
        <w:t>via</w:t>
      </w:r>
      <w:r w:rsidRPr="006C5B94">
        <w:t xml:space="preserve"> the S</w:t>
      </w:r>
      <w:r w:rsidR="00B44C06" w:rsidRPr="006C5B94">
        <w:t xml:space="preserve">tudent </w:t>
      </w:r>
      <w:r w:rsidRPr="006C5B94">
        <w:t>L</w:t>
      </w:r>
      <w:r w:rsidR="00B44C06" w:rsidRPr="006C5B94">
        <w:t xml:space="preserve">oan </w:t>
      </w:r>
      <w:r w:rsidRPr="006C5B94">
        <w:t>C</w:t>
      </w:r>
      <w:r w:rsidR="00B44C06" w:rsidRPr="006C5B94">
        <w:t>ompany (SLC)</w:t>
      </w:r>
      <w:r w:rsidR="008B1F64">
        <w:t xml:space="preserve"> is distributed at three points </w:t>
      </w:r>
      <w:r w:rsidR="007F6E56" w:rsidRPr="006C5B94">
        <w:t>across the year. I</w:t>
      </w:r>
      <w:r w:rsidRPr="006C5B94">
        <w:t xml:space="preserve">f the student has dropped out at any point during that year, the university stops receiving funding for that student. </w:t>
      </w:r>
    </w:p>
    <w:p w14:paraId="618892CE" w14:textId="33F0C1F1" w:rsidR="00B44C06" w:rsidRPr="006C5B94" w:rsidRDefault="00EC78F0" w:rsidP="00EC78F0">
      <w:r w:rsidRPr="006C5B94">
        <w:t>This creates a significant difference in incentives</w:t>
      </w:r>
      <w:r w:rsidR="00B44C06" w:rsidRPr="006C5B94">
        <w:t xml:space="preserve"> and disincentives</w:t>
      </w:r>
      <w:r w:rsidRPr="006C5B94">
        <w:t xml:space="preserve"> for providers</w:t>
      </w:r>
      <w:r w:rsidR="00B44C06" w:rsidRPr="006C5B94">
        <w:t xml:space="preserve"> in the system. The </w:t>
      </w:r>
      <w:r w:rsidR="007779C1" w:rsidRPr="006C5B94">
        <w:t>English</w:t>
      </w:r>
      <w:r w:rsidR="00B44C06" w:rsidRPr="006C5B94">
        <w:t xml:space="preserve"> principle of funding based on </w:t>
      </w:r>
      <w:r w:rsidR="00C9114F">
        <w:t>retention</w:t>
      </w:r>
      <w:r w:rsidR="00B44C06" w:rsidRPr="006C5B94">
        <w:t xml:space="preserve"> creates a strong incentive for institutions to be even more concerned about the </w:t>
      </w:r>
      <w:r w:rsidRPr="006C5B94">
        <w:t xml:space="preserve">success of their students. Of course the vast majority of Australian universities share this concern without the need for funding </w:t>
      </w:r>
      <w:r w:rsidR="00C9114F">
        <w:t>incentives</w:t>
      </w:r>
      <w:r w:rsidRPr="006C5B94">
        <w:t xml:space="preserve"> but there are always those willing to exploit an opportunity if one opens up. </w:t>
      </w:r>
      <w:r w:rsidR="00D41189" w:rsidRPr="006C5B94">
        <w:t xml:space="preserve">The English </w:t>
      </w:r>
      <w:r w:rsidR="003C487C" w:rsidRPr="006C5B94">
        <w:t>system</w:t>
      </w:r>
      <w:r w:rsidR="00294797" w:rsidRPr="006C5B94">
        <w:t xml:space="preserve"> creates a strong disincentive for rogue providers to set up, receive funding, and then close down or let down their student in a way that the Australian system does not. The Australian system has high ‘minimum standard thresholds’ for entry to </w:t>
      </w:r>
      <w:r w:rsidR="008231FD">
        <w:t xml:space="preserve">the </w:t>
      </w:r>
      <w:r w:rsidR="00294797" w:rsidRPr="006C5B94">
        <w:t xml:space="preserve">market for new providers but it </w:t>
      </w:r>
      <w:r w:rsidR="00437981" w:rsidRPr="006C5B94">
        <w:t>is less able to cont</w:t>
      </w:r>
      <w:r w:rsidR="00294797" w:rsidRPr="006C5B94">
        <w:t xml:space="preserve">rol the behaviour of existing providers in quite the same way as </w:t>
      </w:r>
      <w:r w:rsidR="007779C1" w:rsidRPr="006C5B94">
        <w:t>England</w:t>
      </w:r>
      <w:r w:rsidR="00294797" w:rsidRPr="006C5B94">
        <w:t xml:space="preserve"> can </w:t>
      </w:r>
      <w:r w:rsidR="00C9114F">
        <w:t>with</w:t>
      </w:r>
      <w:r w:rsidR="00294797" w:rsidRPr="006C5B94">
        <w:t xml:space="preserve"> staggered funding points throughout the year.</w:t>
      </w:r>
    </w:p>
    <w:p w14:paraId="4F74C7C5" w14:textId="75F91DCC" w:rsidR="00F00568" w:rsidRPr="006C5B94" w:rsidRDefault="00EC78F0" w:rsidP="00EC78F0">
      <w:r w:rsidRPr="006C5B94">
        <w:t xml:space="preserve">Secondly, </w:t>
      </w:r>
      <w:r w:rsidR="0064097D" w:rsidRPr="006C5B94">
        <w:t>England</w:t>
      </w:r>
      <w:r w:rsidR="008B1F64">
        <w:t xml:space="preserve"> has an </w:t>
      </w:r>
      <w:r w:rsidR="008362D5" w:rsidRPr="006C5B94">
        <w:t>established</w:t>
      </w:r>
      <w:r w:rsidRPr="006C5B94">
        <w:t xml:space="preserve"> track record of regulating standards </w:t>
      </w:r>
      <w:r w:rsidR="00C9114F">
        <w:t>by</w:t>
      </w:r>
      <w:r w:rsidRPr="006C5B94">
        <w:t xml:space="preserve"> co-regulation </w:t>
      </w:r>
      <w:r w:rsidR="006657C3" w:rsidRPr="006C5B94">
        <w:t xml:space="preserve">between </w:t>
      </w:r>
      <w:r w:rsidRPr="006C5B94">
        <w:t xml:space="preserve">the </w:t>
      </w:r>
      <w:r w:rsidR="006657C3" w:rsidRPr="006C5B94">
        <w:t>universities themselves and the Quality Assurance Agency (</w:t>
      </w:r>
      <w:r w:rsidRPr="006C5B94">
        <w:t>QAA</w:t>
      </w:r>
      <w:r w:rsidR="006657C3" w:rsidRPr="006C5B94">
        <w:t>)</w:t>
      </w:r>
      <w:r w:rsidRPr="006C5B94">
        <w:t xml:space="preserve"> </w:t>
      </w:r>
      <w:r w:rsidR="008362D5" w:rsidRPr="006C5B94">
        <w:t>as well as</w:t>
      </w:r>
      <w:r w:rsidRPr="006C5B94">
        <w:t xml:space="preserve"> monitoring and bench-marking retention rates </w:t>
      </w:r>
      <w:r w:rsidR="008362D5" w:rsidRPr="006C5B94">
        <w:t>through</w:t>
      </w:r>
      <w:r w:rsidR="0064097D" w:rsidRPr="006C5B94">
        <w:t xml:space="preserve"> the</w:t>
      </w:r>
      <w:r w:rsidRPr="006C5B94">
        <w:t xml:space="preserve"> HEFCE P</w:t>
      </w:r>
      <w:r w:rsidR="008362D5" w:rsidRPr="006C5B94">
        <w:t xml:space="preserve">erformance Indicators. </w:t>
      </w:r>
      <w:r w:rsidR="007779C1" w:rsidRPr="006C5B94">
        <w:t>England</w:t>
      </w:r>
      <w:r w:rsidR="008362D5" w:rsidRPr="006C5B94">
        <w:t xml:space="preserve"> also has </w:t>
      </w:r>
      <w:r w:rsidR="00ED72FC" w:rsidRPr="006C5B94">
        <w:t xml:space="preserve">better (although by no means perfect) student information thanks </w:t>
      </w:r>
      <w:r w:rsidR="008362D5" w:rsidRPr="006C5B94">
        <w:t>to recent developments with</w:t>
      </w:r>
      <w:r w:rsidR="00ED72FC" w:rsidRPr="006C5B94">
        <w:t xml:space="preserve"> the N</w:t>
      </w:r>
      <w:r w:rsidR="008362D5" w:rsidRPr="006C5B94">
        <w:t xml:space="preserve">ational </w:t>
      </w:r>
      <w:r w:rsidR="00ED72FC" w:rsidRPr="006C5B94">
        <w:t>S</w:t>
      </w:r>
      <w:r w:rsidR="008362D5" w:rsidRPr="006C5B94">
        <w:t xml:space="preserve">tudent </w:t>
      </w:r>
      <w:r w:rsidR="00ED72FC" w:rsidRPr="006C5B94">
        <w:t>S</w:t>
      </w:r>
      <w:r w:rsidR="008362D5" w:rsidRPr="006C5B94">
        <w:t>urvey (NSS)</w:t>
      </w:r>
      <w:r w:rsidR="00ED72FC" w:rsidRPr="006C5B94">
        <w:t xml:space="preserve"> and now the </w:t>
      </w:r>
      <w:r w:rsidR="008362D5" w:rsidRPr="006C5B94">
        <w:t>Key Information Set (KI</w:t>
      </w:r>
      <w:r w:rsidR="00ED72FC" w:rsidRPr="006C5B94">
        <w:t>S</w:t>
      </w:r>
      <w:r w:rsidR="008362D5" w:rsidRPr="006C5B94">
        <w:t>)</w:t>
      </w:r>
      <w:r w:rsidRPr="006C5B94">
        <w:t xml:space="preserve">. </w:t>
      </w:r>
      <w:r w:rsidR="0064097D" w:rsidRPr="006C5B94">
        <w:t xml:space="preserve">These give the </w:t>
      </w:r>
      <w:r w:rsidR="00ED72FC" w:rsidRPr="006C5B94">
        <w:t xml:space="preserve">Government </w:t>
      </w:r>
      <w:r w:rsidR="008B1F64">
        <w:t xml:space="preserve">in England </w:t>
      </w:r>
      <w:r w:rsidR="00ED72FC" w:rsidRPr="006C5B94">
        <w:t xml:space="preserve">more tools </w:t>
      </w:r>
      <w:r w:rsidR="00C9114F">
        <w:t>to protect</w:t>
      </w:r>
      <w:r w:rsidR="00ED72FC" w:rsidRPr="006C5B94">
        <w:t xml:space="preserve"> both students and standards in an expanding system. </w:t>
      </w:r>
    </w:p>
    <w:p w14:paraId="4E20AFBA" w14:textId="70F900A2" w:rsidR="00EC78F0" w:rsidRPr="006C5B94" w:rsidRDefault="0064097D" w:rsidP="00EC78F0">
      <w:r w:rsidRPr="006C5B94">
        <w:t>Thirdly, the £9,000</w:t>
      </w:r>
      <w:r w:rsidR="00EC78F0" w:rsidRPr="006C5B94">
        <w:t xml:space="preserve"> fee is </w:t>
      </w:r>
      <w:r w:rsidR="00040EEB" w:rsidRPr="006C5B94">
        <w:t>considerably</w:t>
      </w:r>
      <w:r w:rsidR="00EC78F0" w:rsidRPr="006C5B94">
        <w:t xml:space="preserve"> higher than</w:t>
      </w:r>
      <w:r w:rsidR="00040EEB" w:rsidRPr="006C5B94">
        <w:t xml:space="preserve"> any fees for further educat</w:t>
      </w:r>
      <w:r w:rsidR="00C9114F">
        <w:t>ion level qualifications at FE c</w:t>
      </w:r>
      <w:r w:rsidR="00040EEB" w:rsidRPr="006C5B94">
        <w:t>olleges</w:t>
      </w:r>
      <w:r w:rsidR="00F2728D" w:rsidRPr="006C5B94">
        <w:t xml:space="preserve">, which means that the </w:t>
      </w:r>
      <w:r w:rsidR="00EC78F0" w:rsidRPr="006C5B94">
        <w:t xml:space="preserve">substitution effect </w:t>
      </w:r>
      <w:r w:rsidR="00F2728D" w:rsidRPr="006C5B94">
        <w:t xml:space="preserve">(students undertaking HE qualifications that otherwise would have taken FE qualifications) </w:t>
      </w:r>
      <w:r w:rsidR="00EC78F0" w:rsidRPr="006C5B94">
        <w:t>would be much less likely to happ</w:t>
      </w:r>
      <w:r w:rsidR="00C9114F">
        <w:t>en. High sticker price</w:t>
      </w:r>
      <w:r w:rsidR="00EC78F0" w:rsidRPr="006C5B94">
        <w:t>s, even with fee loans available, mean that the removal of student number controls is much less likely to persuad</w:t>
      </w:r>
      <w:r w:rsidRPr="006C5B94">
        <w:t>e anyone considering FE in England</w:t>
      </w:r>
      <w:r w:rsidR="00EC78F0" w:rsidRPr="006C5B94">
        <w:t xml:space="preserve"> to undertake an HE qualification as an alternative.</w:t>
      </w:r>
    </w:p>
    <w:p w14:paraId="57024045" w14:textId="16F26707" w:rsidR="0007199B" w:rsidRPr="006C5B94" w:rsidRDefault="00D41189">
      <w:r w:rsidRPr="006C5B94">
        <w:t xml:space="preserve">Together, these three </w:t>
      </w:r>
      <w:r w:rsidR="007779C1" w:rsidRPr="006C5B94">
        <w:t>factors mean that the English</w:t>
      </w:r>
      <w:r w:rsidRPr="006C5B94">
        <w:t xml:space="preserve"> experience </w:t>
      </w:r>
      <w:r w:rsidR="008D63D5" w:rsidRPr="006C5B94">
        <w:t xml:space="preserve">is unlikely to have the same experience of 23% growth over four years when student number controls are removed in 2015-16. </w:t>
      </w:r>
      <w:r w:rsidR="0007199B" w:rsidRPr="006C5B94">
        <w:t xml:space="preserve">The wild card, however, is the recent growth of provision </w:t>
      </w:r>
      <w:r w:rsidR="00C9114F">
        <w:t>by</w:t>
      </w:r>
      <w:r w:rsidR="0007199B" w:rsidRPr="006C5B94">
        <w:t xml:space="preserve"> for-profit providers, particularly at sub-degree level</w:t>
      </w:r>
      <w:r w:rsidR="005D25C8">
        <w:t xml:space="preserve"> (or ‘sub-bachelor’)</w:t>
      </w:r>
      <w:r w:rsidR="0007199B" w:rsidRPr="006C5B94">
        <w:t>, whose students can now access subsidised fee loans (up to £6,000) following the 2012 reforms. Depending on the treatment of these providers in a relatively untested market, there may well be a very rapid expansion of growth in this area at cost to Government through subsidised fee loans.</w:t>
      </w:r>
      <w:r w:rsidR="00F47E15">
        <w:t xml:space="preserve"> </w:t>
      </w:r>
      <w:r w:rsidR="0007199B" w:rsidRPr="006C5B94">
        <w:t>The level of this possible growth is hard to project at th</w:t>
      </w:r>
      <w:r w:rsidR="00C9114F">
        <w:t>is point but</w:t>
      </w:r>
      <w:r w:rsidR="0007199B" w:rsidRPr="006C5B94">
        <w:t xml:space="preserve"> it could be</w:t>
      </w:r>
      <w:r w:rsidR="00C9114F">
        <w:t xml:space="preserve"> a</w:t>
      </w:r>
      <w:r w:rsidR="0007199B" w:rsidRPr="006C5B94">
        <w:t xml:space="preserve"> very high </w:t>
      </w:r>
      <w:r w:rsidR="00C9114F">
        <w:t>percentage increase</w:t>
      </w:r>
      <w:r w:rsidR="0007199B" w:rsidRPr="006C5B94">
        <w:t xml:space="preserve"> from a relatively low base. A lot will depend, therefore, on the treatment of new providers – those without degree awarding powers – that are offering sub-degree qualifications. These are likely to be offering qualifications to small numbers of student but cumulatively could start to become significant (similar to </w:t>
      </w:r>
      <w:r w:rsidR="00C9114F">
        <w:t>Australian RTOs</w:t>
      </w:r>
      <w:r w:rsidR="0007199B" w:rsidRPr="006C5B94">
        <w:t xml:space="preserve">). </w:t>
      </w:r>
      <w:r w:rsidR="00E52E79">
        <w:t>For the alternative</w:t>
      </w:r>
      <w:r w:rsidR="00C60D01" w:rsidRPr="006C5B94">
        <w:t xml:space="preserve"> providers </w:t>
      </w:r>
      <w:r w:rsidR="00E52E79">
        <w:t>that will</w:t>
      </w:r>
      <w:r w:rsidR="00C60D01" w:rsidRPr="006C5B94">
        <w:t xml:space="preserve"> benefit from the removal of student number controls</w:t>
      </w:r>
      <w:r w:rsidR="00E52E79" w:rsidRPr="006C5B94">
        <w:rPr>
          <w:rStyle w:val="FootnoteReference"/>
        </w:rPr>
        <w:footnoteReference w:id="16"/>
      </w:r>
      <w:r w:rsidR="0007199B" w:rsidRPr="006C5B94">
        <w:t>, the rate of growth could be very high</w:t>
      </w:r>
      <w:r w:rsidR="00E52E79">
        <w:t>. Based on the current funding system in England, this</w:t>
      </w:r>
      <w:r w:rsidR="0007199B" w:rsidRPr="006C5B94">
        <w:t xml:space="preserve"> will come with </w:t>
      </w:r>
      <w:r w:rsidR="00E52E79">
        <w:t xml:space="preserve">significant </w:t>
      </w:r>
      <w:r w:rsidR="0007199B" w:rsidRPr="006C5B94">
        <w:t>public cost</w:t>
      </w:r>
      <w:r w:rsidR="00E52E79">
        <w:t xml:space="preserve"> in terms of loan subsidy</w:t>
      </w:r>
      <w:r w:rsidR="0007199B" w:rsidRPr="006C5B94">
        <w:t xml:space="preserve"> unless a non-subsidised fee loan (using the model of the Australian </w:t>
      </w:r>
      <w:r w:rsidR="00E52E79">
        <w:t xml:space="preserve">undergraduate </w:t>
      </w:r>
      <w:r w:rsidR="00C03E5F">
        <w:t>FEE-HELP</w:t>
      </w:r>
      <w:r w:rsidR="0007199B" w:rsidRPr="006C5B94">
        <w:t xml:space="preserve"> loan) can be established in this part of the system before 2015-16</w:t>
      </w:r>
      <w:r w:rsidR="00767371">
        <w:t>,</w:t>
      </w:r>
      <w:r w:rsidR="0007199B" w:rsidRPr="006C5B94">
        <w:t xml:space="preserve"> or very shortly after.</w:t>
      </w:r>
    </w:p>
    <w:p w14:paraId="0C687EC5" w14:textId="5849814E" w:rsidR="00795989" w:rsidRPr="006C5B94" w:rsidRDefault="00EF0B2E">
      <w:r w:rsidRPr="006C5B94">
        <w:t xml:space="preserve">In an ideal world, you would not choose </w:t>
      </w:r>
      <w:r w:rsidR="00D1178F">
        <w:t xml:space="preserve">to </w:t>
      </w:r>
      <w:r w:rsidRPr="006C5B94">
        <w:t xml:space="preserve">put tough number controls on new providers because this goes against the principle </w:t>
      </w:r>
      <w:r w:rsidR="00D1178F">
        <w:t>of</w:t>
      </w:r>
      <w:r w:rsidRPr="006C5B94">
        <w:t xml:space="preserve"> increased </w:t>
      </w:r>
      <w:proofErr w:type="spellStart"/>
      <w:r w:rsidRPr="006C5B94">
        <w:t>marketi</w:t>
      </w:r>
      <w:r w:rsidR="008231FD">
        <w:t>s</w:t>
      </w:r>
      <w:r w:rsidRPr="006C5B94">
        <w:t>ation</w:t>
      </w:r>
      <w:proofErr w:type="spellEnd"/>
      <w:r w:rsidRPr="006C5B94">
        <w:t xml:space="preserve"> of the HE system</w:t>
      </w:r>
      <w:r w:rsidR="00767371">
        <w:t>,</w:t>
      </w:r>
      <w:r w:rsidRPr="006C5B94">
        <w:t xml:space="preserve"> where choice and diversity is thought to improve quality and reduce price.</w:t>
      </w:r>
      <w:r w:rsidR="00F47E15">
        <w:t xml:space="preserve"> </w:t>
      </w:r>
      <w:r w:rsidRPr="006C5B94">
        <w:t xml:space="preserve">The risk, of course, is that the opposite happens – that quality is harder to regulate, price actually increases and all of this happens at cost to the public purse because fee loans are carrying a public subsidy. Without wanting to explore the likelihood of either option in any depth I would just observe that the Australian model of a non-subsidised </w:t>
      </w:r>
      <w:r w:rsidR="00E52E79">
        <w:t xml:space="preserve">undergraduate </w:t>
      </w:r>
      <w:r w:rsidR="00C03E5F">
        <w:t>FEE-HELP</w:t>
      </w:r>
      <w:r w:rsidRPr="006C5B94">
        <w:t xml:space="preserve"> loans seems to </w:t>
      </w:r>
      <w:r w:rsidR="00897A5C" w:rsidRPr="006C5B94">
        <w:t xml:space="preserve">provide options that would massively reduce </w:t>
      </w:r>
      <w:r w:rsidR="00BA3477">
        <w:t>the risk to the public purse</w:t>
      </w:r>
      <w:r w:rsidR="00897A5C" w:rsidRPr="006C5B94">
        <w:t xml:space="preserve">. </w:t>
      </w:r>
    </w:p>
    <w:tbl>
      <w:tblPr>
        <w:tblStyle w:val="LightShading-Accent2"/>
        <w:tblW w:w="0" w:type="auto"/>
        <w:tblLook w:val="04A0" w:firstRow="1" w:lastRow="0" w:firstColumn="1" w:lastColumn="0" w:noHBand="0" w:noVBand="1"/>
      </w:tblPr>
      <w:tblGrid>
        <w:gridCol w:w="9264"/>
      </w:tblGrid>
      <w:tr w:rsidR="0069224B" w:rsidRPr="006C5B94" w14:paraId="7DCAA5A4" w14:textId="77777777" w:rsidTr="0069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1FD40E08" w14:textId="6C1E0F9A" w:rsidR="0069224B" w:rsidRPr="006C5B94" w:rsidRDefault="00C0666B" w:rsidP="0069224B">
            <w:pPr>
              <w:ind w:left="142"/>
              <w:rPr>
                <w:bCs w:val="0"/>
              </w:rPr>
            </w:pPr>
            <w:r>
              <w:rPr>
                <w:bCs w:val="0"/>
              </w:rPr>
              <w:t>12</w:t>
            </w:r>
            <w:r w:rsidR="0069224B" w:rsidRPr="006C5B94">
              <w:rPr>
                <w:bCs w:val="0"/>
              </w:rPr>
              <w:t xml:space="preserve">/ The English system already has levers in place to manage quality (funding on the basis of completion, robust retention measures, co-regulation of standards and student information) and price (fee controls). The lesson for England to learn is that a non-subsidised Government fee loan could facilitate the expansion of new providers and new types of provision without carrying considerable public subsidy. </w:t>
            </w:r>
            <w:r w:rsidR="00D12C7D" w:rsidRPr="00D12C7D">
              <w:rPr>
                <w:bCs w:val="0"/>
              </w:rPr>
              <w:t>A FEE-HELP type approach would considerably reduce the risk to the public purse, whilst enabling for-profit providers to grow.</w:t>
            </w:r>
            <w:r w:rsidR="00F47E15">
              <w:rPr>
                <w:bCs w:val="0"/>
              </w:rPr>
              <w:t xml:space="preserve"> </w:t>
            </w:r>
          </w:p>
          <w:p w14:paraId="252B00CE" w14:textId="77777777" w:rsidR="0069224B" w:rsidRPr="006C5B94" w:rsidRDefault="0069224B"/>
        </w:tc>
      </w:tr>
    </w:tbl>
    <w:p w14:paraId="6241775E" w14:textId="77777777" w:rsidR="0069224B" w:rsidRPr="006C5B94" w:rsidRDefault="0069224B"/>
    <w:p w14:paraId="048D357B" w14:textId="77777777" w:rsidR="0081526C" w:rsidRPr="006C5B94" w:rsidRDefault="0081526C">
      <w:pPr>
        <w:rPr>
          <w:rFonts w:asciiTheme="majorHAnsi" w:eastAsiaTheme="majorEastAsia" w:hAnsiTheme="majorHAnsi" w:cstheme="majorBidi"/>
          <w:b/>
          <w:bCs/>
          <w:color w:val="365F91" w:themeColor="accent1" w:themeShade="BF"/>
          <w:sz w:val="28"/>
          <w:szCs w:val="28"/>
        </w:rPr>
      </w:pPr>
      <w:r w:rsidRPr="006C5B94">
        <w:br w:type="page"/>
      </w:r>
    </w:p>
    <w:p w14:paraId="38496B7A" w14:textId="77777777" w:rsidR="0028748C" w:rsidRPr="006C5B94" w:rsidRDefault="0019645A" w:rsidP="00BD1098">
      <w:pPr>
        <w:pStyle w:val="Heading1"/>
      </w:pPr>
      <w:bookmarkStart w:id="21" w:name="_Toc259883108"/>
      <w:r w:rsidRPr="006C5B94">
        <w:t>Chapter 6</w:t>
      </w:r>
      <w:r w:rsidR="00891D6A" w:rsidRPr="006C5B94">
        <w:t>/ Fee variation</w:t>
      </w:r>
      <w:r w:rsidR="004976B3" w:rsidRPr="006C5B94">
        <w:t>, transparency and language</w:t>
      </w:r>
      <w:bookmarkEnd w:id="21"/>
    </w:p>
    <w:p w14:paraId="73ACFF35" w14:textId="77777777" w:rsidR="00BD1098" w:rsidRPr="006C5B94" w:rsidRDefault="00BD1098" w:rsidP="00BD1098">
      <w:pPr>
        <w:pStyle w:val="Heading2"/>
      </w:pPr>
      <w:bookmarkStart w:id="22" w:name="_Toc259883109"/>
      <w:r w:rsidRPr="006C5B94">
        <w:t xml:space="preserve">Fee </w:t>
      </w:r>
      <w:r w:rsidR="00891D6A" w:rsidRPr="006C5B94">
        <w:t>variation</w:t>
      </w:r>
      <w:bookmarkEnd w:id="22"/>
    </w:p>
    <w:p w14:paraId="4EC796EE" w14:textId="26C0048F" w:rsidR="00D47573" w:rsidRPr="006C5B94" w:rsidRDefault="00D47573" w:rsidP="00D47573">
      <w:r w:rsidRPr="006C5B94">
        <w:t>Figure 7 below</w:t>
      </w:r>
      <w:r w:rsidR="00891D6A" w:rsidRPr="006C5B94">
        <w:t xml:space="preserve"> looks at the different sources of public and private investment, including different fee levels by subject in Australia, for humanities and medical degrees (first degree, undergraduate courses). This breakdown </w:t>
      </w:r>
      <w:r w:rsidRPr="006C5B94">
        <w:t xml:space="preserve">allows us to draw some interesting comparisons between the two countries – not just the </w:t>
      </w:r>
      <w:r w:rsidR="00D1178F">
        <w:t xml:space="preserve">balance of </w:t>
      </w:r>
      <w:r w:rsidRPr="006C5B94">
        <w:t>public and private contributions but the overall levels of resource by subject and, with particular importance in this section, the relative transparency (or lack) of the two systems.</w:t>
      </w:r>
    </w:p>
    <w:p w14:paraId="59F5F9E8" w14:textId="77777777" w:rsidR="00162F00" w:rsidRDefault="00D47573" w:rsidP="0024426D">
      <w:r w:rsidRPr="006C5B94">
        <w:t>If we start by comparing the total resource for humanities subjects and medicine in the two countries, the figures are remarkably simila</w:t>
      </w:r>
      <w:r w:rsidR="00162F00">
        <w:t xml:space="preserve">r for medicine at around £18,000 but vary a little more for humanities; just under £7,000 in Australia compared to just under £8,000 in England. </w:t>
      </w:r>
    </w:p>
    <w:p w14:paraId="4C812421" w14:textId="77777777" w:rsidR="00D47573" w:rsidRPr="006C5B94" w:rsidRDefault="007B0AE8" w:rsidP="0024426D">
      <w:r w:rsidRPr="006C5B94">
        <w:t>If we compare this to the average fee for these subjects in both counties, you will notice two things: first that the average fee in England is actually higher than the total resource received by the university for teaching this subject; second that the fee varies by subject in Austr</w:t>
      </w:r>
      <w:r w:rsidR="0086655F" w:rsidRPr="006C5B94">
        <w:t>alia where it does not in England</w:t>
      </w:r>
      <w:r w:rsidRPr="006C5B94">
        <w:t>.</w:t>
      </w:r>
      <w:r w:rsidR="000E4C7C" w:rsidRPr="006C5B94">
        <w:t xml:space="preserve"> </w:t>
      </w:r>
      <w:r w:rsidR="00162F00">
        <w:t>Indeed, the reason the English system provides a slightly higher unit of resource for humanities is because of a flat fee structure compared to the Australian system that varies fee maximum by subject.</w:t>
      </w:r>
    </w:p>
    <w:p w14:paraId="1153E094" w14:textId="77777777" w:rsidR="0024426D" w:rsidRPr="006C5B94" w:rsidRDefault="009D66FA" w:rsidP="0024426D">
      <w:pPr>
        <w:rPr>
          <w:b/>
        </w:rPr>
      </w:pPr>
      <w:r w:rsidRPr="006C5B94">
        <w:rPr>
          <w:b/>
        </w:rPr>
        <w:t>Figure 7</w:t>
      </w:r>
      <w:r w:rsidR="0024426D" w:rsidRPr="006C5B94">
        <w:rPr>
          <w:b/>
        </w:rPr>
        <w:t>: Comparison of public: private contribut</w:t>
      </w:r>
      <w:r w:rsidR="00E761E8" w:rsidRPr="006C5B94">
        <w:rPr>
          <w:b/>
        </w:rPr>
        <w:t>ion between England and Australia (in GBP</w:t>
      </w:r>
      <w:r w:rsidR="0024426D" w:rsidRPr="006C5B94">
        <w:rPr>
          <w:b/>
        </w:rPr>
        <w:t>) for Humanities and Medical degrees</w:t>
      </w:r>
      <w:r w:rsidR="00891D6A" w:rsidRPr="006C5B94">
        <w:rPr>
          <w:b/>
        </w:rPr>
        <w:t xml:space="preserve"> (first degree, undergraduate courses)</w:t>
      </w:r>
    </w:p>
    <w:tbl>
      <w:tblPr>
        <w:tblStyle w:val="TableGrid"/>
        <w:tblW w:w="8931" w:type="dxa"/>
        <w:tblInd w:w="-34" w:type="dxa"/>
        <w:tblLayout w:type="fixed"/>
        <w:tblLook w:val="04A0" w:firstRow="1" w:lastRow="0" w:firstColumn="1" w:lastColumn="0" w:noHBand="0" w:noVBand="1"/>
      </w:tblPr>
      <w:tblGrid>
        <w:gridCol w:w="1384"/>
        <w:gridCol w:w="1701"/>
        <w:gridCol w:w="1452"/>
        <w:gridCol w:w="1417"/>
        <w:gridCol w:w="1418"/>
        <w:gridCol w:w="1559"/>
      </w:tblGrid>
      <w:tr w:rsidR="00E761E8" w:rsidRPr="006C5B94" w14:paraId="0BA4C078" w14:textId="77777777" w:rsidTr="000A6834">
        <w:tc>
          <w:tcPr>
            <w:tcW w:w="3085" w:type="dxa"/>
            <w:gridSpan w:val="2"/>
            <w:vMerge w:val="restart"/>
            <w:tcBorders>
              <w:top w:val="single" w:sz="24" w:space="0" w:color="auto"/>
              <w:left w:val="single" w:sz="24" w:space="0" w:color="auto"/>
              <w:right w:val="single" w:sz="24" w:space="0" w:color="auto"/>
            </w:tcBorders>
            <w:shd w:val="clear" w:color="auto" w:fill="D9D9D9" w:themeFill="background1" w:themeFillShade="D9"/>
          </w:tcPr>
          <w:p w14:paraId="59DB5865" w14:textId="77777777" w:rsidR="00E761E8" w:rsidRPr="006C5B94" w:rsidRDefault="00E761E8" w:rsidP="00297B9D">
            <w:pPr>
              <w:jc w:val="center"/>
              <w:rPr>
                <w:b/>
              </w:rPr>
            </w:pPr>
          </w:p>
        </w:tc>
        <w:tc>
          <w:tcPr>
            <w:tcW w:w="2869" w:type="dxa"/>
            <w:gridSpan w:val="2"/>
            <w:tcBorders>
              <w:top w:val="single" w:sz="24" w:space="0" w:color="auto"/>
              <w:left w:val="single" w:sz="24" w:space="0" w:color="auto"/>
              <w:bottom w:val="single" w:sz="8" w:space="0" w:color="auto"/>
              <w:right w:val="single" w:sz="24" w:space="0" w:color="auto"/>
            </w:tcBorders>
            <w:shd w:val="clear" w:color="auto" w:fill="D9D9D9" w:themeFill="background1" w:themeFillShade="D9"/>
          </w:tcPr>
          <w:p w14:paraId="4EDAF13C" w14:textId="77777777" w:rsidR="00E761E8" w:rsidRPr="006C5B94" w:rsidRDefault="00E761E8" w:rsidP="00297B9D">
            <w:pPr>
              <w:jc w:val="center"/>
              <w:rPr>
                <w:b/>
              </w:rPr>
            </w:pPr>
            <w:r w:rsidRPr="006C5B94">
              <w:rPr>
                <w:b/>
              </w:rPr>
              <w:t>Humanities</w:t>
            </w:r>
          </w:p>
        </w:tc>
        <w:tc>
          <w:tcPr>
            <w:tcW w:w="2977" w:type="dxa"/>
            <w:gridSpan w:val="2"/>
            <w:tcBorders>
              <w:top w:val="single" w:sz="24" w:space="0" w:color="auto"/>
              <w:left w:val="single" w:sz="24" w:space="0" w:color="auto"/>
              <w:bottom w:val="single" w:sz="8" w:space="0" w:color="auto"/>
              <w:right w:val="single" w:sz="24" w:space="0" w:color="auto"/>
            </w:tcBorders>
            <w:shd w:val="clear" w:color="auto" w:fill="D9D9D9" w:themeFill="background1" w:themeFillShade="D9"/>
          </w:tcPr>
          <w:p w14:paraId="40655CC5" w14:textId="77777777" w:rsidR="00E761E8" w:rsidRPr="006C5B94" w:rsidRDefault="00E761E8" w:rsidP="00297B9D">
            <w:pPr>
              <w:jc w:val="center"/>
              <w:rPr>
                <w:b/>
              </w:rPr>
            </w:pPr>
            <w:r w:rsidRPr="006C5B94">
              <w:rPr>
                <w:b/>
              </w:rPr>
              <w:t>Medical</w:t>
            </w:r>
          </w:p>
        </w:tc>
      </w:tr>
      <w:tr w:rsidR="00E761E8" w:rsidRPr="006C5B94" w14:paraId="0F64AEBA" w14:textId="77777777" w:rsidTr="000A6834">
        <w:tc>
          <w:tcPr>
            <w:tcW w:w="3085" w:type="dxa"/>
            <w:gridSpan w:val="2"/>
            <w:vMerge/>
            <w:tcBorders>
              <w:left w:val="single" w:sz="24" w:space="0" w:color="auto"/>
              <w:bottom w:val="single" w:sz="24" w:space="0" w:color="auto"/>
              <w:right w:val="single" w:sz="24" w:space="0" w:color="auto"/>
            </w:tcBorders>
            <w:shd w:val="clear" w:color="auto" w:fill="D9D9D9" w:themeFill="background1" w:themeFillShade="D9"/>
          </w:tcPr>
          <w:p w14:paraId="4A787956" w14:textId="77777777" w:rsidR="00E761E8" w:rsidRPr="006C5B94" w:rsidRDefault="00E761E8" w:rsidP="00297B9D">
            <w:pPr>
              <w:jc w:val="center"/>
              <w:rPr>
                <w:b/>
              </w:rPr>
            </w:pPr>
          </w:p>
        </w:tc>
        <w:tc>
          <w:tcPr>
            <w:tcW w:w="1452" w:type="dxa"/>
            <w:tcBorders>
              <w:top w:val="single" w:sz="8" w:space="0" w:color="auto"/>
              <w:left w:val="single" w:sz="24" w:space="0" w:color="auto"/>
              <w:bottom w:val="single" w:sz="24" w:space="0" w:color="auto"/>
            </w:tcBorders>
            <w:shd w:val="clear" w:color="auto" w:fill="FFFF00"/>
          </w:tcPr>
          <w:p w14:paraId="0AD3A57F" w14:textId="77777777" w:rsidR="00E761E8" w:rsidRPr="006C5B94" w:rsidRDefault="00E761E8" w:rsidP="00702AB2">
            <w:pPr>
              <w:rPr>
                <w:b/>
              </w:rPr>
            </w:pPr>
            <w:r w:rsidRPr="006C5B94">
              <w:rPr>
                <w:b/>
              </w:rPr>
              <w:t>England (a)</w:t>
            </w:r>
          </w:p>
        </w:tc>
        <w:tc>
          <w:tcPr>
            <w:tcW w:w="1417" w:type="dxa"/>
            <w:tcBorders>
              <w:top w:val="single" w:sz="8" w:space="0" w:color="auto"/>
              <w:bottom w:val="single" w:sz="24" w:space="0" w:color="auto"/>
              <w:right w:val="single" w:sz="24" w:space="0" w:color="auto"/>
            </w:tcBorders>
            <w:shd w:val="clear" w:color="auto" w:fill="69EB35"/>
          </w:tcPr>
          <w:p w14:paraId="7480B706" w14:textId="77777777" w:rsidR="00E761E8" w:rsidRPr="006C5B94" w:rsidRDefault="00E761E8" w:rsidP="00702AB2">
            <w:pPr>
              <w:rPr>
                <w:b/>
              </w:rPr>
            </w:pPr>
            <w:r w:rsidRPr="006C5B94">
              <w:rPr>
                <w:b/>
              </w:rPr>
              <w:t>Australia (f)</w:t>
            </w:r>
          </w:p>
        </w:tc>
        <w:tc>
          <w:tcPr>
            <w:tcW w:w="1418" w:type="dxa"/>
            <w:tcBorders>
              <w:top w:val="single" w:sz="8" w:space="0" w:color="auto"/>
              <w:left w:val="single" w:sz="24" w:space="0" w:color="auto"/>
              <w:bottom w:val="single" w:sz="24" w:space="0" w:color="auto"/>
            </w:tcBorders>
            <w:shd w:val="clear" w:color="auto" w:fill="FFFF00"/>
          </w:tcPr>
          <w:p w14:paraId="08FA62BC" w14:textId="77777777" w:rsidR="00E761E8" w:rsidRPr="006C5B94" w:rsidRDefault="00E761E8" w:rsidP="00297B9D">
            <w:pPr>
              <w:rPr>
                <w:b/>
              </w:rPr>
            </w:pPr>
            <w:r w:rsidRPr="006C5B94">
              <w:rPr>
                <w:b/>
              </w:rPr>
              <w:t>England</w:t>
            </w:r>
          </w:p>
        </w:tc>
        <w:tc>
          <w:tcPr>
            <w:tcW w:w="1559" w:type="dxa"/>
            <w:tcBorders>
              <w:top w:val="single" w:sz="8" w:space="0" w:color="auto"/>
              <w:bottom w:val="single" w:sz="24" w:space="0" w:color="auto"/>
              <w:right w:val="single" w:sz="24" w:space="0" w:color="auto"/>
            </w:tcBorders>
            <w:shd w:val="clear" w:color="auto" w:fill="69EB35"/>
          </w:tcPr>
          <w:p w14:paraId="08AA7C06" w14:textId="77777777" w:rsidR="00E761E8" w:rsidRPr="006C5B94" w:rsidRDefault="00E761E8" w:rsidP="00F9386C">
            <w:pPr>
              <w:rPr>
                <w:b/>
              </w:rPr>
            </w:pPr>
            <w:r w:rsidRPr="006C5B94">
              <w:rPr>
                <w:b/>
              </w:rPr>
              <w:t>Australia</w:t>
            </w:r>
          </w:p>
        </w:tc>
      </w:tr>
      <w:tr w:rsidR="00702AB2" w:rsidRPr="006C5B94" w14:paraId="62B95808" w14:textId="77777777" w:rsidTr="00E761E8">
        <w:tc>
          <w:tcPr>
            <w:tcW w:w="1384" w:type="dxa"/>
            <w:vMerge w:val="restart"/>
            <w:tcBorders>
              <w:top w:val="single" w:sz="24" w:space="0" w:color="auto"/>
              <w:left w:val="single" w:sz="24" w:space="0" w:color="auto"/>
            </w:tcBorders>
            <w:shd w:val="clear" w:color="auto" w:fill="D9D9D9" w:themeFill="background1" w:themeFillShade="D9"/>
          </w:tcPr>
          <w:p w14:paraId="248FC00F" w14:textId="77777777" w:rsidR="00702AB2" w:rsidRPr="006C5B94" w:rsidRDefault="00702AB2" w:rsidP="00297B9D">
            <w:pPr>
              <w:rPr>
                <w:b/>
              </w:rPr>
            </w:pPr>
            <w:r w:rsidRPr="006C5B94">
              <w:rPr>
                <w:b/>
              </w:rPr>
              <w:t>Private contribution</w:t>
            </w:r>
          </w:p>
        </w:tc>
        <w:tc>
          <w:tcPr>
            <w:tcW w:w="1701" w:type="dxa"/>
            <w:tcBorders>
              <w:top w:val="single" w:sz="24" w:space="0" w:color="auto"/>
              <w:right w:val="single" w:sz="24" w:space="0" w:color="auto"/>
            </w:tcBorders>
            <w:shd w:val="clear" w:color="auto" w:fill="D9D9D9" w:themeFill="background1" w:themeFillShade="D9"/>
          </w:tcPr>
          <w:p w14:paraId="39C7B28D" w14:textId="77777777" w:rsidR="00702AB2" w:rsidRPr="006C5B94" w:rsidRDefault="00702AB2" w:rsidP="00297B9D">
            <w:pPr>
              <w:rPr>
                <w:b/>
              </w:rPr>
            </w:pPr>
            <w:r w:rsidRPr="006C5B94">
              <w:rPr>
                <w:b/>
              </w:rPr>
              <w:t>Max fee level</w:t>
            </w:r>
          </w:p>
        </w:tc>
        <w:tc>
          <w:tcPr>
            <w:tcW w:w="1452" w:type="dxa"/>
            <w:tcBorders>
              <w:top w:val="single" w:sz="24" w:space="0" w:color="auto"/>
              <w:left w:val="single" w:sz="24" w:space="0" w:color="auto"/>
            </w:tcBorders>
            <w:shd w:val="clear" w:color="auto" w:fill="FFFF00"/>
          </w:tcPr>
          <w:p w14:paraId="3D19A06B" w14:textId="77777777" w:rsidR="00702AB2" w:rsidRPr="006C5B94" w:rsidRDefault="00702AB2" w:rsidP="00702AB2">
            <w:r w:rsidRPr="006C5B94">
              <w:t>£9,000</w:t>
            </w:r>
          </w:p>
        </w:tc>
        <w:tc>
          <w:tcPr>
            <w:tcW w:w="1417" w:type="dxa"/>
            <w:tcBorders>
              <w:top w:val="single" w:sz="24" w:space="0" w:color="auto"/>
              <w:right w:val="single" w:sz="24" w:space="0" w:color="auto"/>
            </w:tcBorders>
            <w:shd w:val="clear" w:color="auto" w:fill="69EB35"/>
          </w:tcPr>
          <w:p w14:paraId="1B2BF081" w14:textId="77777777" w:rsidR="00702AB2" w:rsidRPr="006C5B94" w:rsidRDefault="001A7D18" w:rsidP="00702AB2">
            <w:r>
              <w:t>£3,505</w:t>
            </w:r>
            <w:r w:rsidR="00702AB2" w:rsidRPr="006C5B94">
              <w:t xml:space="preserve"> (g)</w:t>
            </w:r>
          </w:p>
        </w:tc>
        <w:tc>
          <w:tcPr>
            <w:tcW w:w="1418" w:type="dxa"/>
            <w:tcBorders>
              <w:top w:val="single" w:sz="24" w:space="0" w:color="auto"/>
              <w:left w:val="single" w:sz="24" w:space="0" w:color="auto"/>
            </w:tcBorders>
            <w:shd w:val="clear" w:color="auto" w:fill="FFFF00"/>
          </w:tcPr>
          <w:p w14:paraId="7FB65136" w14:textId="77777777" w:rsidR="00702AB2" w:rsidRPr="006C5B94" w:rsidRDefault="00702AB2" w:rsidP="00297B9D">
            <w:r w:rsidRPr="006C5B94">
              <w:t>£9,000</w:t>
            </w:r>
          </w:p>
        </w:tc>
        <w:tc>
          <w:tcPr>
            <w:tcW w:w="1559" w:type="dxa"/>
            <w:tcBorders>
              <w:top w:val="single" w:sz="24" w:space="0" w:color="auto"/>
              <w:right w:val="single" w:sz="24" w:space="0" w:color="auto"/>
            </w:tcBorders>
            <w:shd w:val="clear" w:color="auto" w:fill="69EB35"/>
          </w:tcPr>
          <w:p w14:paraId="10568858" w14:textId="77777777" w:rsidR="00702AB2" w:rsidRPr="006C5B94" w:rsidRDefault="001A7D18" w:rsidP="00297B9D">
            <w:r>
              <w:t>£5,849</w:t>
            </w:r>
          </w:p>
        </w:tc>
      </w:tr>
      <w:tr w:rsidR="00702AB2" w:rsidRPr="006C5B94" w14:paraId="6558BE14" w14:textId="77777777" w:rsidTr="00764720">
        <w:tc>
          <w:tcPr>
            <w:tcW w:w="1384" w:type="dxa"/>
            <w:vMerge/>
            <w:tcBorders>
              <w:left w:val="single" w:sz="24" w:space="0" w:color="auto"/>
            </w:tcBorders>
            <w:shd w:val="clear" w:color="auto" w:fill="D9D9D9" w:themeFill="background1" w:themeFillShade="D9"/>
          </w:tcPr>
          <w:p w14:paraId="7B73105B" w14:textId="77777777" w:rsidR="00702AB2" w:rsidRPr="006C5B94" w:rsidRDefault="00702AB2" w:rsidP="00297B9D">
            <w:pPr>
              <w:rPr>
                <w:b/>
              </w:rPr>
            </w:pPr>
          </w:p>
        </w:tc>
        <w:tc>
          <w:tcPr>
            <w:tcW w:w="1701" w:type="dxa"/>
            <w:tcBorders>
              <w:right w:val="single" w:sz="24" w:space="0" w:color="auto"/>
            </w:tcBorders>
            <w:shd w:val="clear" w:color="auto" w:fill="D9D9D9" w:themeFill="background1" w:themeFillShade="D9"/>
          </w:tcPr>
          <w:p w14:paraId="08477104" w14:textId="77777777" w:rsidR="00702AB2" w:rsidRPr="006C5B94" w:rsidRDefault="00702AB2" w:rsidP="00297B9D">
            <w:pPr>
              <w:rPr>
                <w:b/>
              </w:rPr>
            </w:pPr>
            <w:r w:rsidRPr="006C5B94">
              <w:rPr>
                <w:b/>
              </w:rPr>
              <w:t>Average fee</w:t>
            </w:r>
          </w:p>
        </w:tc>
        <w:tc>
          <w:tcPr>
            <w:tcW w:w="1452" w:type="dxa"/>
            <w:tcBorders>
              <w:left w:val="single" w:sz="24" w:space="0" w:color="auto"/>
            </w:tcBorders>
            <w:shd w:val="clear" w:color="auto" w:fill="FFFF00"/>
          </w:tcPr>
          <w:p w14:paraId="37C766F8" w14:textId="77777777" w:rsidR="00702AB2" w:rsidRPr="006C5B94" w:rsidRDefault="00020575" w:rsidP="00702AB2">
            <w:r w:rsidRPr="006C5B94">
              <w:t>£8,425</w:t>
            </w:r>
            <w:r w:rsidR="00702AB2" w:rsidRPr="006C5B94">
              <w:t xml:space="preserve"> (b)</w:t>
            </w:r>
          </w:p>
        </w:tc>
        <w:tc>
          <w:tcPr>
            <w:tcW w:w="1417" w:type="dxa"/>
            <w:tcBorders>
              <w:right w:val="single" w:sz="24" w:space="0" w:color="auto"/>
            </w:tcBorders>
            <w:shd w:val="clear" w:color="auto" w:fill="69EB35"/>
          </w:tcPr>
          <w:p w14:paraId="77C5FAA1" w14:textId="77777777" w:rsidR="00702AB2" w:rsidRPr="006C5B94" w:rsidRDefault="001A7D18" w:rsidP="00702AB2">
            <w:r>
              <w:t>£3,505</w:t>
            </w:r>
          </w:p>
        </w:tc>
        <w:tc>
          <w:tcPr>
            <w:tcW w:w="1418" w:type="dxa"/>
            <w:tcBorders>
              <w:left w:val="single" w:sz="24" w:space="0" w:color="auto"/>
            </w:tcBorders>
            <w:shd w:val="clear" w:color="auto" w:fill="FFFF00"/>
          </w:tcPr>
          <w:p w14:paraId="012CD7B8" w14:textId="77777777" w:rsidR="00702AB2" w:rsidRPr="006C5B94" w:rsidRDefault="00020575" w:rsidP="00297B9D">
            <w:r w:rsidRPr="006C5B94">
              <w:t>£8,425</w:t>
            </w:r>
          </w:p>
        </w:tc>
        <w:tc>
          <w:tcPr>
            <w:tcW w:w="1559" w:type="dxa"/>
            <w:tcBorders>
              <w:right w:val="single" w:sz="24" w:space="0" w:color="auto"/>
            </w:tcBorders>
            <w:shd w:val="clear" w:color="auto" w:fill="69EB35"/>
          </w:tcPr>
          <w:p w14:paraId="305C709B" w14:textId="77777777" w:rsidR="00702AB2" w:rsidRPr="006C5B94" w:rsidRDefault="001A7D18" w:rsidP="00297B9D">
            <w:r>
              <w:t>£5,849</w:t>
            </w:r>
          </w:p>
        </w:tc>
      </w:tr>
      <w:tr w:rsidR="00702AB2" w:rsidRPr="006C5B94" w14:paraId="337931E9" w14:textId="77777777" w:rsidTr="00764720">
        <w:tc>
          <w:tcPr>
            <w:tcW w:w="1384" w:type="dxa"/>
            <w:vMerge/>
            <w:tcBorders>
              <w:left w:val="single" w:sz="24" w:space="0" w:color="auto"/>
              <w:bottom w:val="single" w:sz="24" w:space="0" w:color="auto"/>
            </w:tcBorders>
            <w:shd w:val="clear" w:color="auto" w:fill="D9D9D9" w:themeFill="background1" w:themeFillShade="D9"/>
          </w:tcPr>
          <w:p w14:paraId="1880ED75" w14:textId="77777777" w:rsidR="00702AB2" w:rsidRPr="006C5B94" w:rsidRDefault="00702AB2" w:rsidP="00297B9D">
            <w:pPr>
              <w:rPr>
                <w:b/>
              </w:rPr>
            </w:pPr>
          </w:p>
        </w:tc>
        <w:tc>
          <w:tcPr>
            <w:tcW w:w="1701" w:type="dxa"/>
            <w:tcBorders>
              <w:bottom w:val="single" w:sz="24" w:space="0" w:color="auto"/>
              <w:right w:val="single" w:sz="24" w:space="0" w:color="auto"/>
            </w:tcBorders>
            <w:shd w:val="clear" w:color="auto" w:fill="D9D9D9" w:themeFill="background1" w:themeFillShade="D9"/>
          </w:tcPr>
          <w:p w14:paraId="252257C1" w14:textId="77777777" w:rsidR="001A3C8F" w:rsidRDefault="001A3C8F" w:rsidP="00297B9D">
            <w:pPr>
              <w:rPr>
                <w:b/>
              </w:rPr>
            </w:pPr>
          </w:p>
          <w:p w14:paraId="318D4E12" w14:textId="77777777" w:rsidR="00702AB2" w:rsidRPr="006C5B94" w:rsidRDefault="00702AB2" w:rsidP="00297B9D">
            <w:pPr>
              <w:rPr>
                <w:b/>
              </w:rPr>
            </w:pPr>
            <w:r w:rsidRPr="006C5B94">
              <w:rPr>
                <w:b/>
              </w:rPr>
              <w:t>Average actual contribution</w:t>
            </w:r>
          </w:p>
        </w:tc>
        <w:tc>
          <w:tcPr>
            <w:tcW w:w="1452" w:type="dxa"/>
            <w:tcBorders>
              <w:left w:val="single" w:sz="24" w:space="0" w:color="auto"/>
              <w:bottom w:val="single" w:sz="24" w:space="0" w:color="auto"/>
            </w:tcBorders>
            <w:shd w:val="clear" w:color="auto" w:fill="FFFF00"/>
          </w:tcPr>
          <w:p w14:paraId="14F8E2E8" w14:textId="77777777" w:rsidR="00702AB2" w:rsidRPr="006C5B94" w:rsidRDefault="00702AB2" w:rsidP="00702AB2">
            <w:pPr>
              <w:rPr>
                <w:b/>
              </w:rPr>
            </w:pPr>
          </w:p>
          <w:p w14:paraId="2B259402" w14:textId="77777777" w:rsidR="00702AB2" w:rsidRPr="006C5B94" w:rsidRDefault="00020575" w:rsidP="00702AB2">
            <w:pPr>
              <w:rPr>
                <w:b/>
              </w:rPr>
            </w:pPr>
            <w:r w:rsidRPr="006C5B94">
              <w:rPr>
                <w:b/>
              </w:rPr>
              <w:t>£5,055</w:t>
            </w:r>
            <w:r w:rsidR="00702AB2" w:rsidRPr="006C5B94">
              <w:rPr>
                <w:b/>
              </w:rPr>
              <w:t xml:space="preserve"> (c)</w:t>
            </w:r>
          </w:p>
        </w:tc>
        <w:tc>
          <w:tcPr>
            <w:tcW w:w="1417" w:type="dxa"/>
            <w:tcBorders>
              <w:bottom w:val="single" w:sz="24" w:space="0" w:color="auto"/>
              <w:right w:val="single" w:sz="24" w:space="0" w:color="auto"/>
            </w:tcBorders>
            <w:shd w:val="clear" w:color="auto" w:fill="69EB35"/>
          </w:tcPr>
          <w:p w14:paraId="5BABCD44" w14:textId="77777777" w:rsidR="00702AB2" w:rsidRPr="006C5B94" w:rsidRDefault="00702AB2" w:rsidP="00702AB2">
            <w:pPr>
              <w:rPr>
                <w:b/>
              </w:rPr>
            </w:pPr>
          </w:p>
          <w:p w14:paraId="68EEA0E9" w14:textId="77777777" w:rsidR="00702AB2" w:rsidRPr="006C5B94" w:rsidRDefault="004A1D4E" w:rsidP="00702AB2">
            <w:pPr>
              <w:rPr>
                <w:b/>
              </w:rPr>
            </w:pPr>
            <w:r>
              <w:rPr>
                <w:b/>
              </w:rPr>
              <w:t>£2,630</w:t>
            </w:r>
            <w:r w:rsidR="00702AB2" w:rsidRPr="006C5B94">
              <w:rPr>
                <w:b/>
              </w:rPr>
              <w:t xml:space="preserve"> (h)</w:t>
            </w:r>
          </w:p>
          <w:p w14:paraId="25A00A79" w14:textId="77777777" w:rsidR="00702AB2" w:rsidRPr="006C5B94" w:rsidRDefault="00702AB2" w:rsidP="00702AB2">
            <w:pPr>
              <w:rPr>
                <w:b/>
              </w:rPr>
            </w:pPr>
          </w:p>
          <w:p w14:paraId="07BE9927" w14:textId="77777777" w:rsidR="00702AB2" w:rsidRPr="006C5B94" w:rsidRDefault="00702AB2" w:rsidP="00702AB2">
            <w:pPr>
              <w:rPr>
                <w:b/>
              </w:rPr>
            </w:pPr>
          </w:p>
        </w:tc>
        <w:tc>
          <w:tcPr>
            <w:tcW w:w="1418" w:type="dxa"/>
            <w:tcBorders>
              <w:left w:val="single" w:sz="24" w:space="0" w:color="auto"/>
              <w:bottom w:val="single" w:sz="24" w:space="0" w:color="auto"/>
            </w:tcBorders>
            <w:shd w:val="clear" w:color="auto" w:fill="FFFF00"/>
          </w:tcPr>
          <w:p w14:paraId="360634CD" w14:textId="77777777" w:rsidR="00702AB2" w:rsidRPr="006C5B94" w:rsidRDefault="00702AB2" w:rsidP="00297B9D">
            <w:pPr>
              <w:rPr>
                <w:b/>
              </w:rPr>
            </w:pPr>
          </w:p>
          <w:p w14:paraId="272468D4" w14:textId="77777777" w:rsidR="00702AB2" w:rsidRPr="006C5B94" w:rsidRDefault="00020575" w:rsidP="00297B9D">
            <w:pPr>
              <w:rPr>
                <w:b/>
              </w:rPr>
            </w:pPr>
            <w:r w:rsidRPr="006C5B94">
              <w:rPr>
                <w:b/>
              </w:rPr>
              <w:t>£5,055</w:t>
            </w:r>
          </w:p>
        </w:tc>
        <w:tc>
          <w:tcPr>
            <w:tcW w:w="1559" w:type="dxa"/>
            <w:tcBorders>
              <w:bottom w:val="single" w:sz="24" w:space="0" w:color="auto"/>
              <w:right w:val="single" w:sz="24" w:space="0" w:color="auto"/>
            </w:tcBorders>
            <w:shd w:val="clear" w:color="auto" w:fill="69EB35"/>
          </w:tcPr>
          <w:p w14:paraId="3AD64403" w14:textId="77777777" w:rsidR="00702AB2" w:rsidRPr="006C5B94" w:rsidRDefault="00702AB2" w:rsidP="00297B9D">
            <w:pPr>
              <w:rPr>
                <w:b/>
              </w:rPr>
            </w:pPr>
          </w:p>
          <w:p w14:paraId="48FC0D5E" w14:textId="77777777" w:rsidR="00702AB2" w:rsidRPr="006C5B94" w:rsidRDefault="004A1D4E" w:rsidP="00297B9D">
            <w:pPr>
              <w:rPr>
                <w:b/>
              </w:rPr>
            </w:pPr>
            <w:r>
              <w:rPr>
                <w:b/>
              </w:rPr>
              <w:t>£4,385</w:t>
            </w:r>
          </w:p>
          <w:p w14:paraId="0899A6AB" w14:textId="77777777" w:rsidR="00702AB2" w:rsidRPr="006C5B94" w:rsidRDefault="00702AB2" w:rsidP="00297B9D">
            <w:pPr>
              <w:rPr>
                <w:b/>
              </w:rPr>
            </w:pPr>
          </w:p>
          <w:p w14:paraId="099BA798" w14:textId="77777777" w:rsidR="00702AB2" w:rsidRPr="006C5B94" w:rsidRDefault="00702AB2" w:rsidP="00297B9D">
            <w:pPr>
              <w:rPr>
                <w:b/>
              </w:rPr>
            </w:pPr>
          </w:p>
        </w:tc>
      </w:tr>
      <w:tr w:rsidR="00702AB2" w:rsidRPr="006C5B94" w14:paraId="37B1FE6A" w14:textId="77777777" w:rsidTr="00764720">
        <w:tc>
          <w:tcPr>
            <w:tcW w:w="1384" w:type="dxa"/>
            <w:vMerge w:val="restart"/>
            <w:tcBorders>
              <w:top w:val="single" w:sz="24" w:space="0" w:color="auto"/>
              <w:left w:val="single" w:sz="24" w:space="0" w:color="auto"/>
            </w:tcBorders>
            <w:shd w:val="clear" w:color="auto" w:fill="D9D9D9" w:themeFill="background1" w:themeFillShade="D9"/>
          </w:tcPr>
          <w:p w14:paraId="4B7C7A41" w14:textId="77777777" w:rsidR="00702AB2" w:rsidRPr="006C5B94" w:rsidRDefault="00702AB2" w:rsidP="00297B9D">
            <w:pPr>
              <w:rPr>
                <w:b/>
              </w:rPr>
            </w:pPr>
            <w:r w:rsidRPr="006C5B94">
              <w:rPr>
                <w:b/>
              </w:rPr>
              <w:t>Public contribution</w:t>
            </w:r>
          </w:p>
        </w:tc>
        <w:tc>
          <w:tcPr>
            <w:tcW w:w="1701" w:type="dxa"/>
            <w:tcBorders>
              <w:top w:val="single" w:sz="24" w:space="0" w:color="auto"/>
              <w:right w:val="single" w:sz="24" w:space="0" w:color="auto"/>
            </w:tcBorders>
            <w:shd w:val="clear" w:color="auto" w:fill="D9D9D9" w:themeFill="background1" w:themeFillShade="D9"/>
          </w:tcPr>
          <w:p w14:paraId="016AFBD0" w14:textId="77777777" w:rsidR="00702AB2" w:rsidRPr="006C5B94" w:rsidRDefault="00702AB2" w:rsidP="00297B9D">
            <w:pPr>
              <w:rPr>
                <w:b/>
              </w:rPr>
            </w:pPr>
            <w:r w:rsidRPr="006C5B94">
              <w:rPr>
                <w:b/>
              </w:rPr>
              <w:t>Direct funding</w:t>
            </w:r>
          </w:p>
        </w:tc>
        <w:tc>
          <w:tcPr>
            <w:tcW w:w="1452" w:type="dxa"/>
            <w:tcBorders>
              <w:top w:val="single" w:sz="24" w:space="0" w:color="auto"/>
              <w:left w:val="single" w:sz="24" w:space="0" w:color="auto"/>
            </w:tcBorders>
            <w:shd w:val="clear" w:color="auto" w:fill="FFFF00"/>
          </w:tcPr>
          <w:p w14:paraId="004B1922" w14:textId="77777777" w:rsidR="00702AB2" w:rsidRPr="006C5B94" w:rsidRDefault="00702AB2" w:rsidP="00702AB2">
            <w:r w:rsidRPr="006C5B94">
              <w:t>£0 (d)</w:t>
            </w:r>
          </w:p>
        </w:tc>
        <w:tc>
          <w:tcPr>
            <w:tcW w:w="1417" w:type="dxa"/>
            <w:tcBorders>
              <w:top w:val="single" w:sz="24" w:space="0" w:color="auto"/>
              <w:right w:val="single" w:sz="24" w:space="0" w:color="auto"/>
            </w:tcBorders>
            <w:shd w:val="clear" w:color="auto" w:fill="69EB35"/>
          </w:tcPr>
          <w:p w14:paraId="5C0FD42A" w14:textId="77777777" w:rsidR="00702AB2" w:rsidRPr="006C5B94" w:rsidRDefault="00A2217D" w:rsidP="00702AB2">
            <w:r>
              <w:t>£3,143</w:t>
            </w:r>
            <w:r w:rsidR="00702AB2" w:rsidRPr="006C5B94">
              <w:t xml:space="preserve"> (g)</w:t>
            </w:r>
          </w:p>
        </w:tc>
        <w:tc>
          <w:tcPr>
            <w:tcW w:w="1418" w:type="dxa"/>
            <w:tcBorders>
              <w:top w:val="single" w:sz="24" w:space="0" w:color="auto"/>
              <w:left w:val="single" w:sz="24" w:space="0" w:color="auto"/>
            </w:tcBorders>
            <w:shd w:val="clear" w:color="auto" w:fill="FFFF00"/>
          </w:tcPr>
          <w:p w14:paraId="664B380A" w14:textId="77777777" w:rsidR="00702AB2" w:rsidRPr="006C5B94" w:rsidRDefault="00702AB2" w:rsidP="00297B9D">
            <w:r w:rsidRPr="006C5B94">
              <w:t>£10,000 (</w:t>
            </w:r>
            <w:proofErr w:type="spellStart"/>
            <w:r w:rsidRPr="006C5B94">
              <w:t>i</w:t>
            </w:r>
            <w:proofErr w:type="spellEnd"/>
            <w:r w:rsidRPr="006C5B94">
              <w:t>)</w:t>
            </w:r>
          </w:p>
        </w:tc>
        <w:tc>
          <w:tcPr>
            <w:tcW w:w="1559" w:type="dxa"/>
            <w:tcBorders>
              <w:top w:val="single" w:sz="24" w:space="0" w:color="auto"/>
              <w:right w:val="single" w:sz="24" w:space="0" w:color="auto"/>
            </w:tcBorders>
            <w:shd w:val="clear" w:color="auto" w:fill="69EB35"/>
          </w:tcPr>
          <w:p w14:paraId="6EB1D7D5" w14:textId="77777777" w:rsidR="00702AB2" w:rsidRPr="006C5B94" w:rsidRDefault="00A2217D" w:rsidP="00297B9D">
            <w:r>
              <w:t>£12,338</w:t>
            </w:r>
          </w:p>
        </w:tc>
      </w:tr>
      <w:tr w:rsidR="00702AB2" w:rsidRPr="006C5B94" w14:paraId="038FA953" w14:textId="77777777" w:rsidTr="00764720">
        <w:tc>
          <w:tcPr>
            <w:tcW w:w="1384" w:type="dxa"/>
            <w:vMerge/>
            <w:tcBorders>
              <w:left w:val="single" w:sz="24" w:space="0" w:color="auto"/>
            </w:tcBorders>
            <w:shd w:val="clear" w:color="auto" w:fill="D9D9D9" w:themeFill="background1" w:themeFillShade="D9"/>
          </w:tcPr>
          <w:p w14:paraId="427A020C" w14:textId="77777777" w:rsidR="00702AB2" w:rsidRPr="006C5B94" w:rsidRDefault="00702AB2" w:rsidP="00297B9D">
            <w:pPr>
              <w:rPr>
                <w:b/>
              </w:rPr>
            </w:pPr>
          </w:p>
        </w:tc>
        <w:tc>
          <w:tcPr>
            <w:tcW w:w="1701" w:type="dxa"/>
            <w:tcBorders>
              <w:right w:val="single" w:sz="24" w:space="0" w:color="auto"/>
            </w:tcBorders>
            <w:shd w:val="clear" w:color="auto" w:fill="D9D9D9" w:themeFill="background1" w:themeFillShade="D9"/>
          </w:tcPr>
          <w:p w14:paraId="5DAD6285" w14:textId="77777777" w:rsidR="00702AB2" w:rsidRPr="006C5B94" w:rsidRDefault="00702AB2" w:rsidP="00297B9D">
            <w:pPr>
              <w:rPr>
                <w:b/>
              </w:rPr>
            </w:pPr>
            <w:r w:rsidRPr="006C5B94">
              <w:rPr>
                <w:b/>
              </w:rPr>
              <w:t>Loan subsidy</w:t>
            </w:r>
          </w:p>
        </w:tc>
        <w:tc>
          <w:tcPr>
            <w:tcW w:w="1452" w:type="dxa"/>
            <w:tcBorders>
              <w:left w:val="single" w:sz="24" w:space="0" w:color="auto"/>
            </w:tcBorders>
            <w:shd w:val="clear" w:color="auto" w:fill="FFFF00"/>
          </w:tcPr>
          <w:p w14:paraId="5FA97230" w14:textId="77777777" w:rsidR="00702AB2" w:rsidRPr="006C5B94" w:rsidRDefault="004A1D4E" w:rsidP="00702AB2">
            <w:r>
              <w:t>£3,37</w:t>
            </w:r>
            <w:r w:rsidR="00702AB2" w:rsidRPr="006C5B94">
              <w:t>0 (c)</w:t>
            </w:r>
          </w:p>
        </w:tc>
        <w:tc>
          <w:tcPr>
            <w:tcW w:w="1417" w:type="dxa"/>
            <w:tcBorders>
              <w:right w:val="single" w:sz="24" w:space="0" w:color="auto"/>
            </w:tcBorders>
            <w:shd w:val="clear" w:color="auto" w:fill="69EB35"/>
          </w:tcPr>
          <w:p w14:paraId="028E8E88" w14:textId="77777777" w:rsidR="00702AB2" w:rsidRPr="006C5B94" w:rsidRDefault="004A1D4E" w:rsidP="00702AB2">
            <w:r>
              <w:t>£875</w:t>
            </w:r>
          </w:p>
        </w:tc>
        <w:tc>
          <w:tcPr>
            <w:tcW w:w="1418" w:type="dxa"/>
            <w:tcBorders>
              <w:left w:val="single" w:sz="24" w:space="0" w:color="auto"/>
            </w:tcBorders>
            <w:shd w:val="clear" w:color="auto" w:fill="FFFF00"/>
          </w:tcPr>
          <w:p w14:paraId="31FEAAE2" w14:textId="77777777" w:rsidR="00702AB2" w:rsidRPr="006C5B94" w:rsidRDefault="004A1D4E" w:rsidP="00297B9D">
            <w:r>
              <w:t>£3,37</w:t>
            </w:r>
            <w:r w:rsidR="00702AB2" w:rsidRPr="006C5B94">
              <w:t>0</w:t>
            </w:r>
          </w:p>
        </w:tc>
        <w:tc>
          <w:tcPr>
            <w:tcW w:w="1559" w:type="dxa"/>
            <w:tcBorders>
              <w:right w:val="single" w:sz="24" w:space="0" w:color="auto"/>
            </w:tcBorders>
            <w:shd w:val="clear" w:color="auto" w:fill="69EB35"/>
          </w:tcPr>
          <w:p w14:paraId="11EE71C7" w14:textId="77777777" w:rsidR="00702AB2" w:rsidRPr="006C5B94" w:rsidRDefault="004A1D4E" w:rsidP="00297B9D">
            <w:r>
              <w:t>£1,464</w:t>
            </w:r>
          </w:p>
        </w:tc>
      </w:tr>
      <w:tr w:rsidR="00702AB2" w:rsidRPr="006C5B94" w14:paraId="322EEC11" w14:textId="77777777" w:rsidTr="00764720">
        <w:tc>
          <w:tcPr>
            <w:tcW w:w="1384" w:type="dxa"/>
            <w:vMerge/>
            <w:tcBorders>
              <w:left w:val="single" w:sz="24" w:space="0" w:color="auto"/>
              <w:bottom w:val="single" w:sz="24" w:space="0" w:color="auto"/>
            </w:tcBorders>
            <w:shd w:val="clear" w:color="auto" w:fill="D9D9D9" w:themeFill="background1" w:themeFillShade="D9"/>
          </w:tcPr>
          <w:p w14:paraId="395F9A50" w14:textId="77777777" w:rsidR="00702AB2" w:rsidRPr="006C5B94" w:rsidRDefault="00702AB2" w:rsidP="00297B9D">
            <w:pPr>
              <w:rPr>
                <w:b/>
              </w:rPr>
            </w:pPr>
          </w:p>
        </w:tc>
        <w:tc>
          <w:tcPr>
            <w:tcW w:w="1701" w:type="dxa"/>
            <w:tcBorders>
              <w:bottom w:val="single" w:sz="24" w:space="0" w:color="auto"/>
              <w:right w:val="single" w:sz="24" w:space="0" w:color="auto"/>
            </w:tcBorders>
            <w:shd w:val="clear" w:color="auto" w:fill="D9D9D9" w:themeFill="background1" w:themeFillShade="D9"/>
          </w:tcPr>
          <w:p w14:paraId="23AFBBA4" w14:textId="77777777" w:rsidR="001A3C8F" w:rsidRDefault="001A3C8F" w:rsidP="00297B9D">
            <w:pPr>
              <w:rPr>
                <w:b/>
              </w:rPr>
            </w:pPr>
          </w:p>
          <w:p w14:paraId="27BE4E7B" w14:textId="77777777" w:rsidR="00702AB2" w:rsidRPr="006C5B94" w:rsidRDefault="00702AB2" w:rsidP="00297B9D">
            <w:pPr>
              <w:rPr>
                <w:b/>
              </w:rPr>
            </w:pPr>
            <w:r w:rsidRPr="006C5B94">
              <w:rPr>
                <w:b/>
              </w:rPr>
              <w:t>Total public contribution</w:t>
            </w:r>
          </w:p>
        </w:tc>
        <w:tc>
          <w:tcPr>
            <w:tcW w:w="1452" w:type="dxa"/>
            <w:tcBorders>
              <w:left w:val="single" w:sz="24" w:space="0" w:color="auto"/>
              <w:bottom w:val="single" w:sz="24" w:space="0" w:color="auto"/>
            </w:tcBorders>
            <w:shd w:val="clear" w:color="auto" w:fill="FFFF00"/>
          </w:tcPr>
          <w:p w14:paraId="4AD59E99" w14:textId="77777777" w:rsidR="00702AB2" w:rsidRPr="006C5B94" w:rsidRDefault="00702AB2" w:rsidP="00702AB2">
            <w:pPr>
              <w:rPr>
                <w:b/>
              </w:rPr>
            </w:pPr>
          </w:p>
          <w:p w14:paraId="00322C3A" w14:textId="77777777" w:rsidR="00702AB2" w:rsidRPr="006C5B94" w:rsidRDefault="004A1D4E" w:rsidP="00702AB2">
            <w:pPr>
              <w:rPr>
                <w:b/>
              </w:rPr>
            </w:pPr>
            <w:r>
              <w:rPr>
                <w:b/>
              </w:rPr>
              <w:t>£3,37</w:t>
            </w:r>
            <w:r w:rsidR="00702AB2" w:rsidRPr="006C5B94">
              <w:rPr>
                <w:b/>
              </w:rPr>
              <w:t>0</w:t>
            </w:r>
          </w:p>
        </w:tc>
        <w:tc>
          <w:tcPr>
            <w:tcW w:w="1417" w:type="dxa"/>
            <w:tcBorders>
              <w:bottom w:val="single" w:sz="24" w:space="0" w:color="auto"/>
              <w:right w:val="single" w:sz="24" w:space="0" w:color="auto"/>
            </w:tcBorders>
            <w:shd w:val="clear" w:color="auto" w:fill="69EB35"/>
          </w:tcPr>
          <w:p w14:paraId="1FD75BFA" w14:textId="77777777" w:rsidR="00702AB2" w:rsidRPr="006C5B94" w:rsidRDefault="00702AB2" w:rsidP="00702AB2">
            <w:pPr>
              <w:rPr>
                <w:b/>
              </w:rPr>
            </w:pPr>
          </w:p>
          <w:p w14:paraId="23F0546C" w14:textId="77777777" w:rsidR="00702AB2" w:rsidRPr="006C5B94" w:rsidRDefault="001A3C8F" w:rsidP="00702AB2">
            <w:pPr>
              <w:rPr>
                <w:b/>
              </w:rPr>
            </w:pPr>
            <w:r>
              <w:rPr>
                <w:b/>
              </w:rPr>
              <w:t>£4,0</w:t>
            </w:r>
            <w:r w:rsidR="00A2217D">
              <w:rPr>
                <w:b/>
              </w:rPr>
              <w:t>18</w:t>
            </w:r>
          </w:p>
          <w:p w14:paraId="55E389DA" w14:textId="77777777" w:rsidR="00702AB2" w:rsidRPr="006C5B94" w:rsidRDefault="00702AB2" w:rsidP="00702AB2">
            <w:pPr>
              <w:rPr>
                <w:b/>
              </w:rPr>
            </w:pPr>
          </w:p>
          <w:p w14:paraId="152C4923" w14:textId="77777777" w:rsidR="00702AB2" w:rsidRPr="006C5B94" w:rsidRDefault="00702AB2" w:rsidP="00702AB2">
            <w:pPr>
              <w:rPr>
                <w:b/>
              </w:rPr>
            </w:pPr>
          </w:p>
        </w:tc>
        <w:tc>
          <w:tcPr>
            <w:tcW w:w="1418" w:type="dxa"/>
            <w:tcBorders>
              <w:left w:val="single" w:sz="24" w:space="0" w:color="auto"/>
              <w:bottom w:val="single" w:sz="24" w:space="0" w:color="auto"/>
            </w:tcBorders>
            <w:shd w:val="clear" w:color="auto" w:fill="FFFF00"/>
          </w:tcPr>
          <w:p w14:paraId="5EFE8E7E" w14:textId="77777777" w:rsidR="00702AB2" w:rsidRPr="006C5B94" w:rsidRDefault="00702AB2" w:rsidP="00297B9D">
            <w:pPr>
              <w:rPr>
                <w:b/>
              </w:rPr>
            </w:pPr>
          </w:p>
          <w:p w14:paraId="66AD5C40" w14:textId="77777777" w:rsidR="00702AB2" w:rsidRPr="006C5B94" w:rsidRDefault="004A1D4E" w:rsidP="00297B9D">
            <w:pPr>
              <w:rPr>
                <w:b/>
              </w:rPr>
            </w:pPr>
            <w:r>
              <w:rPr>
                <w:b/>
              </w:rPr>
              <w:t>£13,37</w:t>
            </w:r>
            <w:r w:rsidR="00702AB2" w:rsidRPr="006C5B94">
              <w:rPr>
                <w:b/>
              </w:rPr>
              <w:t>0</w:t>
            </w:r>
          </w:p>
        </w:tc>
        <w:tc>
          <w:tcPr>
            <w:tcW w:w="1559" w:type="dxa"/>
            <w:tcBorders>
              <w:bottom w:val="single" w:sz="24" w:space="0" w:color="auto"/>
              <w:right w:val="single" w:sz="24" w:space="0" w:color="auto"/>
            </w:tcBorders>
            <w:shd w:val="clear" w:color="auto" w:fill="69EB35"/>
          </w:tcPr>
          <w:p w14:paraId="23B8F358" w14:textId="77777777" w:rsidR="00702AB2" w:rsidRPr="006C5B94" w:rsidRDefault="00702AB2" w:rsidP="00297B9D">
            <w:pPr>
              <w:rPr>
                <w:b/>
              </w:rPr>
            </w:pPr>
          </w:p>
          <w:p w14:paraId="095C469F" w14:textId="77777777" w:rsidR="00702AB2" w:rsidRPr="006C5B94" w:rsidRDefault="004A1D4E" w:rsidP="00297B9D">
            <w:pPr>
              <w:rPr>
                <w:b/>
              </w:rPr>
            </w:pPr>
            <w:r>
              <w:rPr>
                <w:b/>
              </w:rPr>
              <w:t>£1</w:t>
            </w:r>
            <w:r w:rsidR="001A3C8F">
              <w:rPr>
                <w:b/>
              </w:rPr>
              <w:t>3,8</w:t>
            </w:r>
            <w:r w:rsidR="00A2217D">
              <w:rPr>
                <w:b/>
              </w:rPr>
              <w:t>02</w:t>
            </w:r>
          </w:p>
          <w:p w14:paraId="340DF876" w14:textId="77777777" w:rsidR="00702AB2" w:rsidRPr="006C5B94" w:rsidRDefault="00702AB2" w:rsidP="00297B9D">
            <w:pPr>
              <w:rPr>
                <w:b/>
              </w:rPr>
            </w:pPr>
          </w:p>
          <w:p w14:paraId="17019146" w14:textId="77777777" w:rsidR="00702AB2" w:rsidRPr="006C5B94" w:rsidRDefault="00702AB2" w:rsidP="00297B9D">
            <w:pPr>
              <w:rPr>
                <w:b/>
              </w:rPr>
            </w:pPr>
          </w:p>
        </w:tc>
      </w:tr>
      <w:tr w:rsidR="00702AB2" w:rsidRPr="006C5B94" w14:paraId="018D6985" w14:textId="77777777" w:rsidTr="00764720">
        <w:trPr>
          <w:trHeight w:val="738"/>
        </w:trPr>
        <w:tc>
          <w:tcPr>
            <w:tcW w:w="3085"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4D232683" w14:textId="77777777" w:rsidR="00702AB2" w:rsidRPr="006C5B94" w:rsidRDefault="00702AB2" w:rsidP="00297B9D">
            <w:pPr>
              <w:rPr>
                <w:b/>
              </w:rPr>
            </w:pPr>
          </w:p>
          <w:p w14:paraId="58893D5D" w14:textId="77777777" w:rsidR="00702AB2" w:rsidRPr="006C5B94" w:rsidRDefault="00702AB2" w:rsidP="00297B9D">
            <w:pPr>
              <w:jc w:val="center"/>
              <w:rPr>
                <w:b/>
              </w:rPr>
            </w:pPr>
            <w:r w:rsidRPr="006C5B94">
              <w:rPr>
                <w:b/>
              </w:rPr>
              <w:t>Total resource</w:t>
            </w:r>
          </w:p>
        </w:tc>
        <w:tc>
          <w:tcPr>
            <w:tcW w:w="1452" w:type="dxa"/>
            <w:tcBorders>
              <w:top w:val="single" w:sz="24" w:space="0" w:color="auto"/>
              <w:left w:val="single" w:sz="24" w:space="0" w:color="auto"/>
              <w:bottom w:val="single" w:sz="24" w:space="0" w:color="auto"/>
            </w:tcBorders>
            <w:shd w:val="clear" w:color="auto" w:fill="FFFF00"/>
          </w:tcPr>
          <w:p w14:paraId="24040775" w14:textId="77777777" w:rsidR="00702AB2" w:rsidRPr="006C5B94" w:rsidRDefault="00702AB2" w:rsidP="00702AB2"/>
          <w:p w14:paraId="499ED1D8" w14:textId="77777777" w:rsidR="00702AB2" w:rsidRPr="006C5B94" w:rsidRDefault="004A1D4E" w:rsidP="00702AB2">
            <w:r>
              <w:t>£7,925</w:t>
            </w:r>
            <w:r w:rsidR="00702AB2" w:rsidRPr="006C5B94">
              <w:t xml:space="preserve"> (e)</w:t>
            </w:r>
          </w:p>
        </w:tc>
        <w:tc>
          <w:tcPr>
            <w:tcW w:w="1417" w:type="dxa"/>
            <w:tcBorders>
              <w:top w:val="single" w:sz="24" w:space="0" w:color="auto"/>
              <w:bottom w:val="single" w:sz="24" w:space="0" w:color="auto"/>
              <w:right w:val="single" w:sz="24" w:space="0" w:color="auto"/>
            </w:tcBorders>
            <w:shd w:val="clear" w:color="auto" w:fill="69EB35"/>
          </w:tcPr>
          <w:p w14:paraId="6CE52A1A" w14:textId="77777777" w:rsidR="00702AB2" w:rsidRPr="006C5B94" w:rsidRDefault="00702AB2" w:rsidP="00702AB2"/>
          <w:p w14:paraId="2E8D1118" w14:textId="77777777" w:rsidR="00702AB2" w:rsidRPr="006C5B94" w:rsidRDefault="001A3C8F" w:rsidP="00702AB2">
            <w:r>
              <w:t>£6,6</w:t>
            </w:r>
            <w:r w:rsidR="00A2217D">
              <w:t>50</w:t>
            </w:r>
          </w:p>
        </w:tc>
        <w:tc>
          <w:tcPr>
            <w:tcW w:w="1418" w:type="dxa"/>
            <w:tcBorders>
              <w:top w:val="single" w:sz="24" w:space="0" w:color="auto"/>
              <w:left w:val="single" w:sz="24" w:space="0" w:color="auto"/>
              <w:bottom w:val="single" w:sz="24" w:space="0" w:color="auto"/>
            </w:tcBorders>
            <w:shd w:val="clear" w:color="auto" w:fill="FFFF00"/>
          </w:tcPr>
          <w:p w14:paraId="74D5A40D" w14:textId="77777777" w:rsidR="00702AB2" w:rsidRPr="006C5B94" w:rsidRDefault="00702AB2" w:rsidP="00297B9D"/>
          <w:p w14:paraId="43037ADD" w14:textId="77777777" w:rsidR="00702AB2" w:rsidRPr="006C5B94" w:rsidRDefault="004A1D4E" w:rsidP="00297B9D">
            <w:r>
              <w:t>£17,925</w:t>
            </w:r>
            <w:r w:rsidR="00702AB2" w:rsidRPr="006C5B94">
              <w:t xml:space="preserve"> (e)</w:t>
            </w:r>
          </w:p>
        </w:tc>
        <w:tc>
          <w:tcPr>
            <w:tcW w:w="1559" w:type="dxa"/>
            <w:tcBorders>
              <w:top w:val="single" w:sz="24" w:space="0" w:color="auto"/>
              <w:bottom w:val="single" w:sz="24" w:space="0" w:color="auto"/>
              <w:right w:val="single" w:sz="24" w:space="0" w:color="auto"/>
            </w:tcBorders>
            <w:shd w:val="clear" w:color="auto" w:fill="69EB35"/>
          </w:tcPr>
          <w:p w14:paraId="778D38BD" w14:textId="77777777" w:rsidR="00702AB2" w:rsidRPr="006C5B94" w:rsidRDefault="00702AB2" w:rsidP="00297B9D"/>
          <w:p w14:paraId="7FC69D4C" w14:textId="77777777" w:rsidR="00702AB2" w:rsidRPr="006C5B94" w:rsidRDefault="004A1D4E" w:rsidP="00297B9D">
            <w:r>
              <w:t>£18,</w:t>
            </w:r>
            <w:r w:rsidR="001A3C8F">
              <w:t>1</w:t>
            </w:r>
            <w:r w:rsidR="00A2217D">
              <w:t>87</w:t>
            </w:r>
          </w:p>
        </w:tc>
      </w:tr>
      <w:tr w:rsidR="00764720" w:rsidRPr="006C5B94" w14:paraId="6FE76C20" w14:textId="77777777" w:rsidTr="00764720">
        <w:tc>
          <w:tcPr>
            <w:tcW w:w="3085"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2915BF00" w14:textId="77777777" w:rsidR="0024426D" w:rsidRPr="006C5B94" w:rsidRDefault="0024426D" w:rsidP="00297B9D">
            <w:pPr>
              <w:jc w:val="center"/>
              <w:rPr>
                <w:b/>
              </w:rPr>
            </w:pPr>
            <w:r w:rsidRPr="006C5B94">
              <w:rPr>
                <w:b/>
              </w:rPr>
              <w:t>Private contribution as a % of total funding</w:t>
            </w:r>
          </w:p>
        </w:tc>
        <w:tc>
          <w:tcPr>
            <w:tcW w:w="1452" w:type="dxa"/>
            <w:tcBorders>
              <w:top w:val="single" w:sz="24" w:space="0" w:color="auto"/>
              <w:left w:val="single" w:sz="24" w:space="0" w:color="auto"/>
              <w:bottom w:val="single" w:sz="24" w:space="0" w:color="auto"/>
            </w:tcBorders>
            <w:shd w:val="clear" w:color="auto" w:fill="FFFF00"/>
          </w:tcPr>
          <w:p w14:paraId="424D38DF" w14:textId="77777777" w:rsidR="0024426D" w:rsidRPr="006C5B94" w:rsidRDefault="0024426D" w:rsidP="00702AB2">
            <w:pPr>
              <w:rPr>
                <w:b/>
              </w:rPr>
            </w:pPr>
          </w:p>
          <w:p w14:paraId="278B8823" w14:textId="77777777" w:rsidR="0024426D" w:rsidRPr="006C5B94" w:rsidRDefault="00502A13" w:rsidP="00702AB2">
            <w:pPr>
              <w:rPr>
                <w:b/>
              </w:rPr>
            </w:pPr>
            <w:r w:rsidRPr="006C5B94">
              <w:rPr>
                <w:b/>
              </w:rPr>
              <w:t>64</w:t>
            </w:r>
            <w:r w:rsidR="0024426D" w:rsidRPr="006C5B94">
              <w:rPr>
                <w:b/>
              </w:rPr>
              <w:t>%</w:t>
            </w:r>
          </w:p>
        </w:tc>
        <w:tc>
          <w:tcPr>
            <w:tcW w:w="1417" w:type="dxa"/>
            <w:tcBorders>
              <w:top w:val="single" w:sz="24" w:space="0" w:color="auto"/>
              <w:bottom w:val="single" w:sz="24" w:space="0" w:color="auto"/>
              <w:right w:val="single" w:sz="24" w:space="0" w:color="auto"/>
            </w:tcBorders>
            <w:shd w:val="clear" w:color="auto" w:fill="69EB35"/>
          </w:tcPr>
          <w:p w14:paraId="2EF25CAA" w14:textId="77777777" w:rsidR="0024426D" w:rsidRPr="006C5B94" w:rsidRDefault="0024426D" w:rsidP="00702AB2">
            <w:pPr>
              <w:rPr>
                <w:b/>
              </w:rPr>
            </w:pPr>
          </w:p>
          <w:p w14:paraId="22D9B735" w14:textId="77777777" w:rsidR="0024426D" w:rsidRPr="006C5B94" w:rsidRDefault="001A3C8F" w:rsidP="00702AB2">
            <w:pPr>
              <w:rPr>
                <w:b/>
              </w:rPr>
            </w:pPr>
            <w:r>
              <w:rPr>
                <w:b/>
              </w:rPr>
              <w:t>40</w:t>
            </w:r>
            <w:r w:rsidR="0024426D" w:rsidRPr="006C5B94">
              <w:rPr>
                <w:b/>
              </w:rPr>
              <w:t>%</w:t>
            </w:r>
          </w:p>
        </w:tc>
        <w:tc>
          <w:tcPr>
            <w:tcW w:w="1418" w:type="dxa"/>
            <w:tcBorders>
              <w:top w:val="single" w:sz="24" w:space="0" w:color="auto"/>
              <w:left w:val="single" w:sz="24" w:space="0" w:color="auto"/>
              <w:bottom w:val="single" w:sz="24" w:space="0" w:color="auto"/>
            </w:tcBorders>
            <w:shd w:val="clear" w:color="auto" w:fill="FFFF00"/>
          </w:tcPr>
          <w:p w14:paraId="155630BE" w14:textId="77777777" w:rsidR="0024426D" w:rsidRPr="006C5B94" w:rsidRDefault="0024426D" w:rsidP="00297B9D">
            <w:pPr>
              <w:jc w:val="center"/>
              <w:rPr>
                <w:b/>
              </w:rPr>
            </w:pPr>
          </w:p>
          <w:p w14:paraId="26989D40" w14:textId="77777777" w:rsidR="0024426D" w:rsidRPr="006C5B94" w:rsidRDefault="00502A13" w:rsidP="00297B9D">
            <w:pPr>
              <w:jc w:val="center"/>
              <w:rPr>
                <w:b/>
              </w:rPr>
            </w:pPr>
            <w:r w:rsidRPr="006C5B94">
              <w:rPr>
                <w:b/>
              </w:rPr>
              <w:t>28</w:t>
            </w:r>
            <w:r w:rsidR="0024426D" w:rsidRPr="006C5B94">
              <w:rPr>
                <w:b/>
              </w:rPr>
              <w:t>%</w:t>
            </w:r>
          </w:p>
        </w:tc>
        <w:tc>
          <w:tcPr>
            <w:tcW w:w="1559" w:type="dxa"/>
            <w:tcBorders>
              <w:top w:val="single" w:sz="24" w:space="0" w:color="auto"/>
              <w:bottom w:val="single" w:sz="24" w:space="0" w:color="auto"/>
              <w:right w:val="single" w:sz="24" w:space="0" w:color="auto"/>
            </w:tcBorders>
            <w:shd w:val="clear" w:color="auto" w:fill="69EB35"/>
          </w:tcPr>
          <w:p w14:paraId="47D56AE1" w14:textId="77777777" w:rsidR="0024426D" w:rsidRPr="006C5B94" w:rsidRDefault="0024426D" w:rsidP="00297B9D">
            <w:pPr>
              <w:jc w:val="center"/>
              <w:rPr>
                <w:b/>
              </w:rPr>
            </w:pPr>
          </w:p>
          <w:p w14:paraId="61721047" w14:textId="77777777" w:rsidR="0024426D" w:rsidRPr="006C5B94" w:rsidRDefault="001A3C8F" w:rsidP="00297B9D">
            <w:pPr>
              <w:jc w:val="center"/>
              <w:rPr>
                <w:b/>
              </w:rPr>
            </w:pPr>
            <w:r>
              <w:rPr>
                <w:b/>
              </w:rPr>
              <w:t>24</w:t>
            </w:r>
            <w:r w:rsidR="0024426D" w:rsidRPr="006C5B94">
              <w:rPr>
                <w:b/>
              </w:rPr>
              <w:t>%</w:t>
            </w:r>
          </w:p>
        </w:tc>
      </w:tr>
    </w:tbl>
    <w:p w14:paraId="1C2BFCE4" w14:textId="77777777" w:rsidR="0024426D" w:rsidRPr="006C5B94" w:rsidRDefault="0024426D" w:rsidP="0024426D">
      <w:pPr>
        <w:pStyle w:val="ListParagraph"/>
        <w:numPr>
          <w:ilvl w:val="0"/>
          <w:numId w:val="12"/>
        </w:numPr>
      </w:pPr>
      <w:r w:rsidRPr="006C5B94">
        <w:t>Figures based on new regime students entering in 12-13.</w:t>
      </w:r>
    </w:p>
    <w:p w14:paraId="5E9174A4" w14:textId="77777777" w:rsidR="0024426D" w:rsidRPr="006C5B94" w:rsidRDefault="00020575" w:rsidP="0024426D">
      <w:pPr>
        <w:pStyle w:val="ListParagraph"/>
        <w:numPr>
          <w:ilvl w:val="0"/>
          <w:numId w:val="12"/>
        </w:numPr>
      </w:pPr>
      <w:r w:rsidRPr="006C5B94">
        <w:t xml:space="preserve">Average fee minus fee waiver </w:t>
      </w:r>
      <w:sdt>
        <w:sdtPr>
          <w:id w:val="941648467"/>
          <w:citation/>
        </w:sdtPr>
        <w:sdtEndPr/>
        <w:sdtContent>
          <w:r w:rsidRPr="006C5B94">
            <w:fldChar w:fldCharType="begin"/>
          </w:r>
          <w:r w:rsidRPr="006C5B94">
            <w:instrText xml:space="preserve"> CITATION OFF13 \l 2057 </w:instrText>
          </w:r>
          <w:r w:rsidRPr="006C5B94">
            <w:fldChar w:fldCharType="separate"/>
          </w:r>
          <w:r w:rsidRPr="006C5B94">
            <w:rPr>
              <w:noProof/>
            </w:rPr>
            <w:t>(OFFA, 2013)</w:t>
          </w:r>
          <w:r w:rsidRPr="006C5B94">
            <w:fldChar w:fldCharType="end"/>
          </w:r>
        </w:sdtContent>
      </w:sdt>
      <w:r w:rsidR="0024426D" w:rsidRPr="006C5B94">
        <w:t>.</w:t>
      </w:r>
    </w:p>
    <w:p w14:paraId="0D34B22A" w14:textId="3D4A8A65" w:rsidR="0024426D" w:rsidRPr="006C5B94" w:rsidRDefault="00546F48" w:rsidP="0024426D">
      <w:pPr>
        <w:pStyle w:val="ListParagraph"/>
        <w:numPr>
          <w:ilvl w:val="0"/>
          <w:numId w:val="12"/>
        </w:numPr>
      </w:pPr>
      <w:r>
        <w:t xml:space="preserve">Based on </w:t>
      </w:r>
      <w:r w:rsidR="00211F7F">
        <w:t>2013</w:t>
      </w:r>
      <w:r>
        <w:t xml:space="preserve"> estimates of 40</w:t>
      </w:r>
      <w:r w:rsidR="0024426D" w:rsidRPr="006C5B94">
        <w:t>% subsidy</w:t>
      </w:r>
      <w:r w:rsidR="00211F7F">
        <w:t>, this has since increased further to 45% in 2014</w:t>
      </w:r>
      <w:r w:rsidR="0024426D" w:rsidRPr="006C5B94">
        <w:t xml:space="preserve">. </w:t>
      </w:r>
    </w:p>
    <w:p w14:paraId="39A3AF07" w14:textId="77777777" w:rsidR="0024426D" w:rsidRPr="006C5B94" w:rsidRDefault="00C6303A" w:rsidP="0024426D">
      <w:pPr>
        <w:pStyle w:val="ListParagraph"/>
        <w:numPr>
          <w:ilvl w:val="0"/>
          <w:numId w:val="12"/>
        </w:numPr>
      </w:pPr>
      <w:r w:rsidRPr="006C5B94">
        <w:t>The post-2012 system provides no direct public f</w:t>
      </w:r>
      <w:r w:rsidR="0024426D" w:rsidRPr="006C5B94">
        <w:t>unding for teaching for humanities subjects.</w:t>
      </w:r>
    </w:p>
    <w:p w14:paraId="577E7B1B" w14:textId="77777777" w:rsidR="0024426D" w:rsidRPr="006C5B94" w:rsidRDefault="0024426D" w:rsidP="0024426D">
      <w:pPr>
        <w:pStyle w:val="ListParagraph"/>
        <w:numPr>
          <w:ilvl w:val="0"/>
          <w:numId w:val="12"/>
        </w:numPr>
      </w:pPr>
      <w:r w:rsidRPr="006C5B94">
        <w:t>Average fee, plus direct funding, minus 20% of fee income over £6,000 (£500), which is around the average spend of HEIs on direc</w:t>
      </w:r>
      <w:r w:rsidR="003C487C">
        <w:t>t student support (bursaries</w:t>
      </w:r>
      <w:r w:rsidRPr="006C5B94">
        <w:t xml:space="preserve">) </w:t>
      </w:r>
      <w:sdt>
        <w:sdtPr>
          <w:id w:val="-1676491945"/>
          <w:citation/>
        </w:sdtPr>
        <w:sdtEndPr/>
        <w:sdtContent>
          <w:r w:rsidR="00020575" w:rsidRPr="006C5B94">
            <w:fldChar w:fldCharType="begin"/>
          </w:r>
          <w:r w:rsidR="00020575" w:rsidRPr="006C5B94">
            <w:instrText xml:space="preserve"> CITATION OFF13 \l 2057 </w:instrText>
          </w:r>
          <w:r w:rsidR="00020575" w:rsidRPr="006C5B94">
            <w:fldChar w:fldCharType="separate"/>
          </w:r>
          <w:r w:rsidR="00020575" w:rsidRPr="006C5B94">
            <w:rPr>
              <w:noProof/>
            </w:rPr>
            <w:t>(OFFA, 2013)</w:t>
          </w:r>
          <w:r w:rsidR="00020575" w:rsidRPr="006C5B94">
            <w:fldChar w:fldCharType="end"/>
          </w:r>
        </w:sdtContent>
      </w:sdt>
    </w:p>
    <w:p w14:paraId="2A45934D" w14:textId="77777777" w:rsidR="0024426D" w:rsidRPr="006C5B94" w:rsidRDefault="0024426D" w:rsidP="0024426D">
      <w:pPr>
        <w:pStyle w:val="ListParagraph"/>
        <w:numPr>
          <w:ilvl w:val="0"/>
          <w:numId w:val="12"/>
        </w:numPr>
      </w:pPr>
      <w:r w:rsidRPr="006C5B94">
        <w:t>Based on HECS-HELP system of publicly-subsidised HE. Conversion rate of $1AUD :£0.58GBP.</w:t>
      </w:r>
    </w:p>
    <w:p w14:paraId="4A30B84E" w14:textId="77777777" w:rsidR="0024426D" w:rsidRPr="006C5B94" w:rsidRDefault="0024426D" w:rsidP="0024426D">
      <w:pPr>
        <w:pStyle w:val="ListParagraph"/>
        <w:numPr>
          <w:ilvl w:val="0"/>
          <w:numId w:val="12"/>
        </w:numPr>
      </w:pPr>
      <w:r w:rsidRPr="006C5B94">
        <w:t>2013 figures for HECS maximum and Commonwealth contribution, DIISRTE.</w:t>
      </w:r>
    </w:p>
    <w:p w14:paraId="4A1B5F2D" w14:textId="77777777" w:rsidR="0024426D" w:rsidRPr="006C5B94" w:rsidRDefault="0024426D" w:rsidP="0024426D">
      <w:pPr>
        <w:pStyle w:val="ListParagraph"/>
        <w:numPr>
          <w:ilvl w:val="0"/>
          <w:numId w:val="12"/>
        </w:numPr>
      </w:pPr>
      <w:r w:rsidRPr="006C5B94">
        <w:t>Based on estimate of 25% loan subsidy. Data not available to allow variation by subject.</w:t>
      </w:r>
    </w:p>
    <w:p w14:paraId="171F2F32" w14:textId="77777777" w:rsidR="00782150" w:rsidRPr="006C5B94" w:rsidRDefault="0024426D" w:rsidP="000E4C7C">
      <w:pPr>
        <w:pStyle w:val="ListParagraph"/>
        <w:numPr>
          <w:ilvl w:val="0"/>
          <w:numId w:val="12"/>
        </w:numPr>
      </w:pPr>
      <w:r w:rsidRPr="006C5B94">
        <w:t xml:space="preserve">Funding for high cost subjects plus share of other direct funding (see (d)) </w:t>
      </w:r>
      <w:sdt>
        <w:sdtPr>
          <w:id w:val="872508078"/>
          <w:citation/>
        </w:sdtPr>
        <w:sdtEndPr/>
        <w:sdtContent>
          <w:r w:rsidRPr="006C5B94">
            <w:fldChar w:fldCharType="begin"/>
          </w:r>
          <w:r w:rsidRPr="006C5B94">
            <w:instrText xml:space="preserve"> CITATION HEF13 \l 2057 </w:instrText>
          </w:r>
          <w:r w:rsidRPr="006C5B94">
            <w:fldChar w:fldCharType="separate"/>
          </w:r>
          <w:r w:rsidR="00653E76" w:rsidRPr="006C5B94">
            <w:rPr>
              <w:noProof/>
            </w:rPr>
            <w:t>(HEFCE, 2013)</w:t>
          </w:r>
          <w:r w:rsidRPr="006C5B94">
            <w:fldChar w:fldCharType="end"/>
          </w:r>
        </w:sdtContent>
      </w:sdt>
      <w:r w:rsidRPr="006C5B94">
        <w:t xml:space="preserve"> .</w:t>
      </w:r>
    </w:p>
    <w:p w14:paraId="22624F95" w14:textId="77777777" w:rsidR="00782150" w:rsidRPr="006C5B94" w:rsidRDefault="00782150" w:rsidP="00782150">
      <w:r w:rsidRPr="006C5B94">
        <w:t>T</w:t>
      </w:r>
      <w:r w:rsidR="004922EE" w:rsidRPr="006C5B94">
        <w:t>he first observation - that the total resource a university receives for a human</w:t>
      </w:r>
      <w:r w:rsidR="00B60BB4">
        <w:t>ities student in England (£7,925</w:t>
      </w:r>
      <w:r w:rsidR="004922EE" w:rsidRPr="006C5B94">
        <w:t>) is actually lower than the aver</w:t>
      </w:r>
      <w:r w:rsidR="00B60BB4">
        <w:t>age fee for that subject (£8,425</w:t>
      </w:r>
      <w:r w:rsidR="004922EE" w:rsidRPr="006C5B94">
        <w:t>) -</w:t>
      </w:r>
      <w:r w:rsidRPr="006C5B94">
        <w:t xml:space="preserve"> is because, on average, </w:t>
      </w:r>
      <w:r w:rsidR="009E5C44">
        <w:t>Engli</w:t>
      </w:r>
      <w:r w:rsidRPr="006C5B94">
        <w:t xml:space="preserve">sh universities spend £500 of fee income per student on improving access, including providing bursaries, for the most hard to reach students. Whilst this benefits the student cohort as a whole, it is not resource for teaching. </w:t>
      </w:r>
    </w:p>
    <w:p w14:paraId="3093C65F" w14:textId="003AD585" w:rsidR="00782150" w:rsidRPr="006C5B94" w:rsidRDefault="004922EE" w:rsidP="00782150">
      <w:r w:rsidRPr="006C5B94">
        <w:t xml:space="preserve">The second observation </w:t>
      </w:r>
      <w:r w:rsidR="002F24D5">
        <w:t>is</w:t>
      </w:r>
      <w:r w:rsidRPr="006C5B94">
        <w:t xml:space="preserve"> that fees (or HECS maximums) vary by subject in Australia. </w:t>
      </w:r>
      <w:r w:rsidR="00632EC3" w:rsidRPr="006C5B94">
        <w:t>Figure 8</w:t>
      </w:r>
      <w:r w:rsidR="00782150" w:rsidRPr="006C5B94">
        <w:t xml:space="preserve"> shows fee v</w:t>
      </w:r>
      <w:r w:rsidRPr="006C5B94">
        <w:t>ariation in Australia in more detail</w:t>
      </w:r>
      <w:r w:rsidR="00782150" w:rsidRPr="006C5B94">
        <w:t xml:space="preserve">. The three levels of HECS maximums (a fee for </w:t>
      </w:r>
      <w:r w:rsidR="00B60BB4">
        <w:t>comparative purposes) are £3,505, £4,995 and £5,849</w:t>
      </w:r>
      <w:r w:rsidR="00782150" w:rsidRPr="006C5B94">
        <w:t xml:space="preserve">, depending on your subject. The HECS maximum is set partly </w:t>
      </w:r>
      <w:r w:rsidR="002F24D5">
        <w:t>by</w:t>
      </w:r>
      <w:r w:rsidR="00782150" w:rsidRPr="006C5B94">
        <w:t xml:space="preserve"> subject cost but also </w:t>
      </w:r>
      <w:r w:rsidR="002F24D5">
        <w:t>by</w:t>
      </w:r>
      <w:r w:rsidR="00782150" w:rsidRPr="006C5B94">
        <w:t xml:space="preserve"> market value</w:t>
      </w:r>
      <w:r w:rsidR="00EB1DE2" w:rsidRPr="006C5B94">
        <w:t xml:space="preserve"> – this is demonstrated by the fact that both medicine and veterinary sciences (both high cost subjects) sit alongside law, economics and accountancy (all high market value subjects) in the highest fee band</w:t>
      </w:r>
      <w:r w:rsidR="00782150" w:rsidRPr="006C5B94">
        <w:t>. There are then eight public funding levels that vary to achieve a particular level of total resource for each subject</w:t>
      </w:r>
      <w:r w:rsidR="002F24D5">
        <w:t xml:space="preserve"> in</w:t>
      </w:r>
      <w:r w:rsidR="00EB1DE2" w:rsidRPr="006C5B94">
        <w:t xml:space="preserve"> university funding</w:t>
      </w:r>
      <w:r w:rsidR="00782150" w:rsidRPr="006C5B94">
        <w:t xml:space="preserve">. Annex 1 gives a full list of HECS </w:t>
      </w:r>
      <w:r w:rsidR="00EB1DE2" w:rsidRPr="006C5B94">
        <w:t xml:space="preserve">or fee </w:t>
      </w:r>
      <w:r w:rsidR="00782150" w:rsidRPr="006C5B94">
        <w:t>maximums and</w:t>
      </w:r>
      <w:r w:rsidR="00EB1DE2" w:rsidRPr="006C5B94">
        <w:t xml:space="preserve"> core public funding, referred to as</w:t>
      </w:r>
      <w:r w:rsidR="00782150" w:rsidRPr="006C5B94">
        <w:t xml:space="preserve"> base funding</w:t>
      </w:r>
      <w:r w:rsidR="00EB1DE2" w:rsidRPr="006C5B94">
        <w:t>,</w:t>
      </w:r>
      <w:r w:rsidR="00782150" w:rsidRPr="006C5B94">
        <w:t xml:space="preserve"> by subject.</w:t>
      </w:r>
      <w:r w:rsidR="00F47E15">
        <w:t xml:space="preserve"> </w:t>
      </w:r>
    </w:p>
    <w:p w14:paraId="302DE9AD" w14:textId="77777777" w:rsidR="00632EC3" w:rsidRPr="006C5B94" w:rsidRDefault="00632EC3" w:rsidP="00782150">
      <w:pPr>
        <w:rPr>
          <w:b/>
        </w:rPr>
      </w:pPr>
      <w:r w:rsidRPr="006C5B94">
        <w:rPr>
          <w:b/>
        </w:rPr>
        <w:t xml:space="preserve">Figure 8: </w:t>
      </w:r>
      <w:r w:rsidR="00DE0161" w:rsidRPr="006C5B94">
        <w:rPr>
          <w:b/>
        </w:rPr>
        <w:t xml:space="preserve">Australian </w:t>
      </w:r>
      <w:r w:rsidRPr="006C5B94">
        <w:rPr>
          <w:b/>
        </w:rPr>
        <w:t>HECS</w:t>
      </w:r>
      <w:r w:rsidR="008922ED" w:rsidRPr="006C5B94">
        <w:rPr>
          <w:b/>
        </w:rPr>
        <w:t xml:space="preserve"> or fee</w:t>
      </w:r>
      <w:r w:rsidRPr="006C5B94">
        <w:rPr>
          <w:b/>
        </w:rPr>
        <w:t xml:space="preserve"> maximums by subject (summary)</w:t>
      </w:r>
    </w:p>
    <w:tbl>
      <w:tblPr>
        <w:tblStyle w:val="MediumShading2-Accent3"/>
        <w:tblW w:w="0" w:type="auto"/>
        <w:jc w:val="center"/>
        <w:tblLook w:val="04A0" w:firstRow="1" w:lastRow="0" w:firstColumn="1" w:lastColumn="0" w:noHBand="0" w:noVBand="1"/>
      </w:tblPr>
      <w:tblGrid>
        <w:gridCol w:w="4632"/>
        <w:gridCol w:w="4632"/>
      </w:tblGrid>
      <w:tr w:rsidR="00632EC3" w:rsidRPr="006C5B94" w14:paraId="7288193F" w14:textId="77777777" w:rsidTr="003169B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632" w:type="dxa"/>
            <w:shd w:val="clear" w:color="auto" w:fill="339966"/>
          </w:tcPr>
          <w:p w14:paraId="6C6A7068" w14:textId="77777777" w:rsidR="00632EC3" w:rsidRPr="006C5B94" w:rsidRDefault="00632EC3" w:rsidP="00D3747F">
            <w:pPr>
              <w:jc w:val="center"/>
            </w:pPr>
            <w:r w:rsidRPr="006C5B94">
              <w:t>Subject groups</w:t>
            </w:r>
          </w:p>
        </w:tc>
        <w:tc>
          <w:tcPr>
            <w:tcW w:w="4632" w:type="dxa"/>
            <w:shd w:val="clear" w:color="auto" w:fill="339966"/>
          </w:tcPr>
          <w:p w14:paraId="4A672876" w14:textId="77777777" w:rsidR="00632EC3" w:rsidRPr="006C5B94" w:rsidRDefault="00632EC3" w:rsidP="00D3747F">
            <w:pPr>
              <w:jc w:val="center"/>
              <w:cnfStyle w:val="100000000000" w:firstRow="1" w:lastRow="0" w:firstColumn="0" w:lastColumn="0" w:oddVBand="0" w:evenVBand="0" w:oddHBand="0" w:evenHBand="0" w:firstRowFirstColumn="0" w:firstRowLastColumn="0" w:lastRowFirstColumn="0" w:lastRowLastColumn="0"/>
            </w:pPr>
            <w:r w:rsidRPr="006C5B94">
              <w:t>HECS maximum</w:t>
            </w:r>
          </w:p>
        </w:tc>
      </w:tr>
      <w:tr w:rsidR="008922ED" w:rsidRPr="006C5B94" w14:paraId="5F2823E7" w14:textId="77777777" w:rsidTr="00F14F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2" w:type="dxa"/>
            <w:shd w:val="clear" w:color="auto" w:fill="33CC33"/>
          </w:tcPr>
          <w:p w14:paraId="6A3D72AE" w14:textId="77777777" w:rsidR="008922ED" w:rsidRPr="006C5B94" w:rsidRDefault="008922ED" w:rsidP="00F14FC9">
            <w:pPr>
              <w:rPr>
                <w:color w:val="auto"/>
              </w:rPr>
            </w:pPr>
            <w:r w:rsidRPr="006C5B94">
              <w:rPr>
                <w:color w:val="auto"/>
              </w:rPr>
              <w:t xml:space="preserve">Medicine, veterinary science, dentistry, </w:t>
            </w:r>
          </w:p>
          <w:p w14:paraId="52657386" w14:textId="77777777" w:rsidR="008922ED" w:rsidRPr="006C5B94" w:rsidRDefault="008922ED" w:rsidP="00F14FC9">
            <w:pPr>
              <w:rPr>
                <w:color w:val="auto"/>
              </w:rPr>
            </w:pPr>
            <w:r w:rsidRPr="006C5B94">
              <w:rPr>
                <w:color w:val="auto"/>
              </w:rPr>
              <w:t>law, economics, accounting</w:t>
            </w:r>
          </w:p>
          <w:p w14:paraId="190DAE41" w14:textId="77777777" w:rsidR="008922ED" w:rsidRPr="006C5B94" w:rsidRDefault="008922ED" w:rsidP="00F14FC9">
            <w:pPr>
              <w:rPr>
                <w:color w:val="auto"/>
              </w:rPr>
            </w:pPr>
          </w:p>
        </w:tc>
        <w:tc>
          <w:tcPr>
            <w:tcW w:w="4632" w:type="dxa"/>
            <w:shd w:val="clear" w:color="auto" w:fill="33CC33"/>
          </w:tcPr>
          <w:p w14:paraId="3CE2AD89" w14:textId="77777777" w:rsidR="008922ED" w:rsidRPr="006C5B94" w:rsidRDefault="00B60BB4" w:rsidP="00F14FC9">
            <w:pPr>
              <w:jc w:val="center"/>
              <w:cnfStyle w:val="000000100000" w:firstRow="0" w:lastRow="0" w:firstColumn="0" w:lastColumn="0" w:oddVBand="0" w:evenVBand="0" w:oddHBand="1" w:evenHBand="0" w:firstRowFirstColumn="0" w:firstRowLastColumn="0" w:lastRowFirstColumn="0" w:lastRowLastColumn="0"/>
              <w:rPr>
                <w:b/>
              </w:rPr>
            </w:pPr>
            <w:r>
              <w:rPr>
                <w:b/>
              </w:rPr>
              <w:t>£5,849</w:t>
            </w:r>
          </w:p>
        </w:tc>
      </w:tr>
      <w:tr w:rsidR="008922ED" w:rsidRPr="006C5B94" w14:paraId="68E20340" w14:textId="77777777" w:rsidTr="00F14FC9">
        <w:trPr>
          <w:jc w:val="center"/>
        </w:trPr>
        <w:tc>
          <w:tcPr>
            <w:cnfStyle w:val="001000000000" w:firstRow="0" w:lastRow="0" w:firstColumn="1" w:lastColumn="0" w:oddVBand="0" w:evenVBand="0" w:oddHBand="0" w:evenHBand="0" w:firstRowFirstColumn="0" w:firstRowLastColumn="0" w:lastRowFirstColumn="0" w:lastRowLastColumn="0"/>
            <w:tcW w:w="4632" w:type="dxa"/>
            <w:shd w:val="clear" w:color="auto" w:fill="33CC33"/>
          </w:tcPr>
          <w:p w14:paraId="21F64B88" w14:textId="77777777" w:rsidR="008922ED" w:rsidRPr="006C5B94" w:rsidRDefault="008922ED" w:rsidP="00F14FC9">
            <w:pPr>
              <w:rPr>
                <w:color w:val="auto"/>
              </w:rPr>
            </w:pPr>
            <w:r w:rsidRPr="006C5B94">
              <w:rPr>
                <w:color w:val="auto"/>
              </w:rPr>
              <w:t>Science, engineering, allied health, agriculture</w:t>
            </w:r>
          </w:p>
          <w:p w14:paraId="00BC687E" w14:textId="77777777" w:rsidR="008922ED" w:rsidRPr="006C5B94" w:rsidRDefault="008922ED" w:rsidP="00F14FC9">
            <w:pPr>
              <w:rPr>
                <w:color w:val="auto"/>
              </w:rPr>
            </w:pPr>
          </w:p>
        </w:tc>
        <w:tc>
          <w:tcPr>
            <w:tcW w:w="4632" w:type="dxa"/>
            <w:shd w:val="clear" w:color="auto" w:fill="33CC33"/>
          </w:tcPr>
          <w:p w14:paraId="57015335" w14:textId="77777777" w:rsidR="008922ED" w:rsidRPr="006C5B94" w:rsidRDefault="00B60BB4" w:rsidP="00F14FC9">
            <w:pPr>
              <w:jc w:val="center"/>
              <w:cnfStyle w:val="000000000000" w:firstRow="0" w:lastRow="0" w:firstColumn="0" w:lastColumn="0" w:oddVBand="0" w:evenVBand="0" w:oddHBand="0" w:evenHBand="0" w:firstRowFirstColumn="0" w:firstRowLastColumn="0" w:lastRowFirstColumn="0" w:lastRowLastColumn="0"/>
              <w:rPr>
                <w:b/>
              </w:rPr>
            </w:pPr>
            <w:r>
              <w:rPr>
                <w:b/>
              </w:rPr>
              <w:t>£4,995</w:t>
            </w:r>
          </w:p>
        </w:tc>
      </w:tr>
      <w:tr w:rsidR="003169BB" w:rsidRPr="006C5B94" w14:paraId="423D4654" w14:textId="77777777" w:rsidTr="00F14F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32" w:type="dxa"/>
            <w:shd w:val="clear" w:color="auto" w:fill="33CC33"/>
          </w:tcPr>
          <w:p w14:paraId="41A3A23D" w14:textId="77777777" w:rsidR="003169BB" w:rsidRPr="006C5B94" w:rsidRDefault="003169BB" w:rsidP="00F14FC9">
            <w:pPr>
              <w:rPr>
                <w:color w:val="auto"/>
              </w:rPr>
            </w:pPr>
            <w:r w:rsidRPr="006C5B94">
              <w:rPr>
                <w:color w:val="auto"/>
              </w:rPr>
              <w:t xml:space="preserve">Education, nursing, humanities, maths, </w:t>
            </w:r>
          </w:p>
          <w:p w14:paraId="3D93DEE5" w14:textId="77777777" w:rsidR="003169BB" w:rsidRPr="006C5B94" w:rsidRDefault="003169BB" w:rsidP="00F14FC9">
            <w:pPr>
              <w:rPr>
                <w:color w:val="auto"/>
              </w:rPr>
            </w:pPr>
            <w:r w:rsidRPr="006C5B94">
              <w:rPr>
                <w:color w:val="auto"/>
              </w:rPr>
              <w:t>computing, art and design, social studies, languages, performing arts</w:t>
            </w:r>
          </w:p>
          <w:p w14:paraId="6CDABDC5" w14:textId="77777777" w:rsidR="003169BB" w:rsidRPr="006C5B94" w:rsidRDefault="003169BB" w:rsidP="00F14FC9">
            <w:pPr>
              <w:rPr>
                <w:color w:val="auto"/>
              </w:rPr>
            </w:pPr>
          </w:p>
        </w:tc>
        <w:tc>
          <w:tcPr>
            <w:tcW w:w="4632" w:type="dxa"/>
            <w:shd w:val="clear" w:color="auto" w:fill="33CC33"/>
          </w:tcPr>
          <w:p w14:paraId="1EAF32D1" w14:textId="77777777" w:rsidR="003169BB" w:rsidRPr="006C5B94" w:rsidRDefault="00B60BB4" w:rsidP="00F14FC9">
            <w:pPr>
              <w:jc w:val="center"/>
              <w:cnfStyle w:val="000000100000" w:firstRow="0" w:lastRow="0" w:firstColumn="0" w:lastColumn="0" w:oddVBand="0" w:evenVBand="0" w:oddHBand="1" w:evenHBand="0" w:firstRowFirstColumn="0" w:firstRowLastColumn="0" w:lastRowFirstColumn="0" w:lastRowLastColumn="0"/>
              <w:rPr>
                <w:b/>
              </w:rPr>
            </w:pPr>
            <w:r>
              <w:rPr>
                <w:b/>
              </w:rPr>
              <w:t>£3,505</w:t>
            </w:r>
          </w:p>
        </w:tc>
      </w:tr>
    </w:tbl>
    <w:p w14:paraId="43BFEC84" w14:textId="77777777" w:rsidR="00632EC3" w:rsidRPr="006C5B94" w:rsidRDefault="00632EC3" w:rsidP="00782150">
      <w:pPr>
        <w:rPr>
          <w:b/>
        </w:rPr>
      </w:pPr>
    </w:p>
    <w:p w14:paraId="34E1624A" w14:textId="77777777" w:rsidR="00BD1098" w:rsidRPr="006C5B94" w:rsidRDefault="00BD1098" w:rsidP="00BD1098">
      <w:pPr>
        <w:pStyle w:val="Heading2"/>
      </w:pPr>
      <w:bookmarkStart w:id="23" w:name="_Toc259883110"/>
      <w:r w:rsidRPr="006C5B94">
        <w:t>Transparency</w:t>
      </w:r>
      <w:bookmarkEnd w:id="23"/>
    </w:p>
    <w:p w14:paraId="45847EA9" w14:textId="77777777" w:rsidR="000E4C7C" w:rsidRPr="006C5B94" w:rsidRDefault="000E4C7C" w:rsidP="000E4C7C">
      <w:r w:rsidRPr="006C5B94">
        <w:t xml:space="preserve">Possibly </w:t>
      </w:r>
      <w:r w:rsidR="005901AC" w:rsidRPr="006C5B94">
        <w:t>t</w:t>
      </w:r>
      <w:r w:rsidRPr="006C5B94">
        <w:t>he more surprising observation for English</w:t>
      </w:r>
      <w:r w:rsidR="005901AC" w:rsidRPr="006C5B94">
        <w:t xml:space="preserve"> humanities</w:t>
      </w:r>
      <w:r w:rsidRPr="006C5B94">
        <w:t xml:space="preserve"> students would </w:t>
      </w:r>
      <w:r w:rsidR="0027359E">
        <w:t xml:space="preserve">be </w:t>
      </w:r>
      <w:r w:rsidRPr="006C5B94">
        <w:t xml:space="preserve">that their average </w:t>
      </w:r>
      <w:r w:rsidR="005901AC" w:rsidRPr="006C5B94">
        <w:t xml:space="preserve">contribution is </w:t>
      </w:r>
      <w:r w:rsidR="005901AC" w:rsidRPr="006C5B94">
        <w:rPr>
          <w:i/>
        </w:rPr>
        <w:t>only</w:t>
      </w:r>
      <w:r w:rsidR="005901AC" w:rsidRPr="006C5B94">
        <w:t xml:space="preserve"> 64% of total resource. The high sticker price close to £9,000 means that most students, parents and commentator</w:t>
      </w:r>
      <w:r w:rsidR="0027359E">
        <w:t>s would be surprised to realise</w:t>
      </w:r>
      <w:r w:rsidR="005901AC" w:rsidRPr="006C5B94">
        <w:t xml:space="preserve"> that the average private contribution of English students is actually only just over £5,000 because of the high public subsidies that apply to fee loans. </w:t>
      </w:r>
    </w:p>
    <w:p w14:paraId="06FBE1B4" w14:textId="67E855A6" w:rsidR="00911A5F" w:rsidRPr="006C5B94" w:rsidRDefault="0027359E" w:rsidP="000E4C7C">
      <w:r>
        <w:t>T</w:t>
      </w:r>
      <w:r w:rsidR="00911A5F" w:rsidRPr="006C5B94">
        <w:t xml:space="preserve">his highlights a significant problem with the </w:t>
      </w:r>
      <w:r w:rsidR="009755AB">
        <w:t xml:space="preserve">transparency of the </w:t>
      </w:r>
      <w:r w:rsidR="00911A5F" w:rsidRPr="006C5B94">
        <w:t>English system post 2012. It could be characterised as the worst of both worlds where the Gover</w:t>
      </w:r>
      <w:r w:rsidR="00546F48">
        <w:t>nment is still putting nearly 45</w:t>
      </w:r>
      <w:r w:rsidR="00911A5F" w:rsidRPr="006C5B94">
        <w:t>% of all investment into humanities subjects through generous loan subsidies but is getting absolutely no credit for doing so – quite the opposite in fact. Equally, students are convinced that they are paying the full cost of their degree, which is far from the truth of the matter for the cohort as a whole.</w:t>
      </w:r>
    </w:p>
    <w:p w14:paraId="080E74BC" w14:textId="4732BAF3" w:rsidR="0061330E" w:rsidRPr="009755AB" w:rsidRDefault="0061330E" w:rsidP="000E4C7C">
      <w:r w:rsidRPr="006C5B94">
        <w:t xml:space="preserve">Other interesting observations that Table 7 allows, is the fact that for medicine, the </w:t>
      </w:r>
      <w:r w:rsidRPr="006C5B94">
        <w:rPr>
          <w:i/>
        </w:rPr>
        <w:t>actual</w:t>
      </w:r>
      <w:r w:rsidRPr="006C5B94">
        <w:t xml:space="preserve"> fee contribution (not the sticker price but the average contribution when you discount subsidies) is very similar between the two countries - £5,0</w:t>
      </w:r>
      <w:r w:rsidR="00E36417">
        <w:t>00 in England compared to £4,385</w:t>
      </w:r>
      <w:r w:rsidRPr="006C5B94">
        <w:t xml:space="preserve"> in Australia.</w:t>
      </w:r>
      <w:r w:rsidR="00F47E15">
        <w:t xml:space="preserve"> </w:t>
      </w:r>
      <w:r w:rsidR="00D87792" w:rsidRPr="006C5B94">
        <w:t xml:space="preserve">The public contribution to </w:t>
      </w:r>
      <w:r w:rsidR="00D87792" w:rsidRPr="009755AB">
        <w:t>me</w:t>
      </w:r>
      <w:r w:rsidR="00E36417">
        <w:t xml:space="preserve">dicine is </w:t>
      </w:r>
      <w:r w:rsidR="00C952BF">
        <w:t>even closer at £13,370 and £13,8</w:t>
      </w:r>
      <w:r w:rsidR="00E36417">
        <w:t>02</w:t>
      </w:r>
      <w:r w:rsidR="00D87792" w:rsidRPr="009755AB">
        <w:t xml:space="preserve"> in England and Australia respectively.</w:t>
      </w:r>
    </w:p>
    <w:p w14:paraId="2DA10892" w14:textId="5C1585DF" w:rsidR="002A0274" w:rsidRPr="006C5B94" w:rsidRDefault="00D87792" w:rsidP="000E4C7C">
      <w:r w:rsidRPr="009755AB">
        <w:t>For humanities, again it is really interesting to observe that the public contr</w:t>
      </w:r>
      <w:r w:rsidR="00E36417">
        <w:t>ibution is very simil</w:t>
      </w:r>
      <w:r w:rsidR="00C952BF">
        <w:t>ar at £3,370 in England and £4,0</w:t>
      </w:r>
      <w:r w:rsidR="00E36417">
        <w:t>18</w:t>
      </w:r>
      <w:r w:rsidRPr="009755AB">
        <w:t xml:space="preserve"> in Australia. Total resource for </w:t>
      </w:r>
      <w:r w:rsidR="002A0274" w:rsidRPr="009755AB">
        <w:t xml:space="preserve">humanities is </w:t>
      </w:r>
      <w:r w:rsidR="00C952BF">
        <w:t>slightly higher in England given the flat fee structure</w:t>
      </w:r>
      <w:r w:rsidR="002A0274" w:rsidRPr="009755AB">
        <w:t>.</w:t>
      </w:r>
      <w:r w:rsidR="00F47E15">
        <w:t xml:space="preserve"> </w:t>
      </w:r>
      <w:r w:rsidR="002A0274" w:rsidRPr="009755AB">
        <w:t>This is particularly important to recognise in light of reaction to the 2012 reforms in England from</w:t>
      </w:r>
      <w:r w:rsidR="002A0274" w:rsidRPr="006C5B94">
        <w:t xml:space="preserve"> those in the humanities as well as many public commentators. It was widely reported that the Government was removing all funding for the humanities. This is an excellent illustration of the problem the English Government has with transparency of its chosen approach to move public investment away from direct funding for teaching and into fee subsidy. Yes, it is true that there is no longer direct funding for teaching in the humanities in England but public investment remains significant.</w:t>
      </w:r>
      <w:r w:rsidR="00F47E15">
        <w:t xml:space="preserve"> </w:t>
      </w:r>
      <w:r w:rsidR="002A0274" w:rsidRPr="006C5B94">
        <w:t>Public investment in the humanities is not far off that in Australia where there is still direct public funding for humanities teaching</w:t>
      </w:r>
      <w:r w:rsidR="00C952BF">
        <w:t>; and overall resource for the humanities is actually higher in England than Australia</w:t>
      </w:r>
      <w:r w:rsidR="002A0274" w:rsidRPr="006C5B94">
        <w:t>. The problem the Government has in England is that fee subsidies are not well understood – they are not transparent. The result is that students think they are paying the full cost of humanities subjects and that Government are lambasted for pulling out all public investment in the humanities – neither is true.</w:t>
      </w:r>
      <w:r w:rsidR="00F47E15">
        <w:t xml:space="preserve"> </w:t>
      </w:r>
      <w:r w:rsidR="002A0274" w:rsidRPr="006C5B94">
        <w:t>Transparency, however, is a very real issue.</w:t>
      </w:r>
    </w:p>
    <w:tbl>
      <w:tblPr>
        <w:tblStyle w:val="LightShading-Accent2"/>
        <w:tblW w:w="0" w:type="auto"/>
        <w:tblLook w:val="04A0" w:firstRow="1" w:lastRow="0" w:firstColumn="1" w:lastColumn="0" w:noHBand="0" w:noVBand="1"/>
      </w:tblPr>
      <w:tblGrid>
        <w:gridCol w:w="9264"/>
      </w:tblGrid>
      <w:tr w:rsidR="0069224B" w:rsidRPr="006C5B94" w14:paraId="3C8B0B72" w14:textId="77777777" w:rsidTr="0069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15D28C54" w14:textId="343F6840" w:rsidR="0069224B" w:rsidRPr="006C5B94" w:rsidRDefault="00C0666B" w:rsidP="0069224B">
            <w:pPr>
              <w:ind w:left="142"/>
              <w:rPr>
                <w:bCs w:val="0"/>
              </w:rPr>
            </w:pPr>
            <w:r>
              <w:rPr>
                <w:bCs w:val="0"/>
              </w:rPr>
              <w:t>13</w:t>
            </w:r>
            <w:r w:rsidR="0069224B" w:rsidRPr="006C5B94">
              <w:rPr>
                <w:bCs w:val="0"/>
              </w:rPr>
              <w:t>/ The lesson for England here is that transparency matters in the fundi</w:t>
            </w:r>
            <w:r w:rsidR="009755AB">
              <w:rPr>
                <w:bCs w:val="0"/>
              </w:rPr>
              <w:t xml:space="preserve">ng system – particularly if you aim </w:t>
            </w:r>
            <w:r w:rsidR="0069224B" w:rsidRPr="006C5B94">
              <w:rPr>
                <w:bCs w:val="0"/>
              </w:rPr>
              <w:t xml:space="preserve">to build a social contract </w:t>
            </w:r>
            <w:r w:rsidR="009755AB">
              <w:rPr>
                <w:bCs w:val="0"/>
              </w:rPr>
              <w:t xml:space="preserve">on </w:t>
            </w:r>
            <w:r w:rsidR="0069224B" w:rsidRPr="006C5B94">
              <w:rPr>
                <w:bCs w:val="0"/>
              </w:rPr>
              <w:t xml:space="preserve">the idea of a shared contribution towards the cost of gaining a degree. </w:t>
            </w:r>
          </w:p>
          <w:p w14:paraId="495E2A56" w14:textId="77777777" w:rsidR="0069224B" w:rsidRPr="006C5B94" w:rsidRDefault="0069224B" w:rsidP="000E4C7C"/>
        </w:tc>
      </w:tr>
    </w:tbl>
    <w:p w14:paraId="3D42E4F6" w14:textId="77777777" w:rsidR="0069224B" w:rsidRPr="006C5B94" w:rsidRDefault="0069224B" w:rsidP="000E4C7C"/>
    <w:p w14:paraId="4A569552" w14:textId="77777777" w:rsidR="00BD1098" w:rsidRPr="006C5B94" w:rsidRDefault="00BD1098" w:rsidP="00BD1098">
      <w:pPr>
        <w:pStyle w:val="Heading2"/>
      </w:pPr>
      <w:bookmarkStart w:id="24" w:name="_Toc259883111"/>
      <w:r w:rsidRPr="006C5B94">
        <w:t>Language</w:t>
      </w:r>
      <w:bookmarkEnd w:id="24"/>
    </w:p>
    <w:p w14:paraId="76AB5077" w14:textId="097E016B" w:rsidR="00DC069D" w:rsidRPr="006C5B94" w:rsidRDefault="00DC069D">
      <w:r w:rsidRPr="006C5B94">
        <w:t xml:space="preserve">Related to the issue of transparency, is the importance of </w:t>
      </w:r>
      <w:r w:rsidR="00AF59D7">
        <w:t xml:space="preserve">the </w:t>
      </w:r>
      <w:r w:rsidRPr="006C5B94">
        <w:t>language used to describe the financial system for students and parents. It is notable that Australia uses the language of HELP – the Higher Education Loan Programme – and the public understanding of this system, broadly speaking, is that this is about the Government providing ‘help’ for students to meet the cost of studying a</w:t>
      </w:r>
      <w:r w:rsidR="00B713A0">
        <w:t>t</w:t>
      </w:r>
      <w:r w:rsidRPr="006C5B94">
        <w:t xml:space="preserve"> the point of purchase.</w:t>
      </w:r>
      <w:r w:rsidR="00404C9C">
        <w:t xml:space="preserve"> </w:t>
      </w:r>
      <w:r w:rsidR="00AF59D7" w:rsidRPr="00AF59D7">
        <w:t>HECS fees are called student contributions and direct funding is called the Commonwealth contribution in official documents.</w:t>
      </w:r>
      <w:r w:rsidR="00F47E15">
        <w:t xml:space="preserve"> </w:t>
      </w:r>
      <w:r w:rsidR="00404C9C">
        <w:t>In England</w:t>
      </w:r>
      <w:r w:rsidR="00212391" w:rsidRPr="006C5B94">
        <w:t xml:space="preserve">, we are still using the language of ‘fees’ and ‘fee loans’ to describe exactly the same thing and we wonder why we get students rioting and public discourse dominated by a debate of ‘fees’ and ‘debt’. </w:t>
      </w:r>
    </w:p>
    <w:p w14:paraId="253AD1BB" w14:textId="7449F808" w:rsidR="0047611B" w:rsidRPr="006C5B94" w:rsidRDefault="0047611B">
      <w:r w:rsidRPr="006C5B94">
        <w:t xml:space="preserve">The Australians got this right from the start. While we were establishing the language of ‘fees’ and then ‘top-up fees’ the Australians were establishing the language of the Higher Education Contribution Scheme or ‘HECS’ in the public </w:t>
      </w:r>
      <w:r w:rsidR="000A6834" w:rsidRPr="006C5B94">
        <w:t>mind-set</w:t>
      </w:r>
      <w:r w:rsidRPr="006C5B94">
        <w:t xml:space="preserve">. The idea of HECS was that graduates made a contribution towards the cost of gaining a degree. This has since evolved in Australia to </w:t>
      </w:r>
      <w:r w:rsidR="00C03E5F">
        <w:t>HECS-HELP</w:t>
      </w:r>
      <w:r w:rsidRPr="006C5B94">
        <w:t xml:space="preserve"> and </w:t>
      </w:r>
      <w:r w:rsidR="00C03E5F">
        <w:t>FEE-HELP</w:t>
      </w:r>
      <w:r w:rsidRPr="006C5B94">
        <w:t xml:space="preserve"> – a shared language that is built </w:t>
      </w:r>
      <w:r w:rsidR="00AF59D7">
        <w:t>on</w:t>
      </w:r>
      <w:r w:rsidRPr="006C5B94">
        <w:t xml:space="preserve"> graduate contribution and Government help to finance the upfront cost of your studies. </w:t>
      </w:r>
      <w:r w:rsidR="003835FA">
        <w:t xml:space="preserve">Meanwhile, </w:t>
      </w:r>
      <w:r w:rsidRPr="006C5B94">
        <w:t xml:space="preserve">England was battling against public misconception </w:t>
      </w:r>
      <w:r w:rsidR="00AF59D7">
        <w:t>of</w:t>
      </w:r>
      <w:r w:rsidRPr="006C5B94">
        <w:t xml:space="preserve"> the upfront cost fees and burdensome graduate debt. It is a fascinating contrast when you realise that before 2012, these were almost identical systems with almost identical levels of graduate contribution and Government support.</w:t>
      </w:r>
    </w:p>
    <w:p w14:paraId="5C8CA702" w14:textId="4FDA6C6A" w:rsidR="0069224B" w:rsidRPr="006C5B94" w:rsidRDefault="00D92F2C">
      <w:r w:rsidRPr="006C5B94">
        <w:t xml:space="preserve">Of course, </w:t>
      </w:r>
      <w:r w:rsidR="00DE2716" w:rsidRPr="006C5B94">
        <w:t>public reaction in 2012 was also to do with England</w:t>
      </w:r>
      <w:r w:rsidRPr="006C5B94">
        <w:t xml:space="preserve"> trebling the </w:t>
      </w:r>
      <w:r w:rsidR="00DE2716" w:rsidRPr="006C5B94">
        <w:t>graduate</w:t>
      </w:r>
      <w:r w:rsidRPr="006C5B94">
        <w:t xml:space="preserve"> contribution </w:t>
      </w:r>
      <w:r w:rsidR="00DE2716" w:rsidRPr="006C5B94">
        <w:t xml:space="preserve">or ‘fee’ </w:t>
      </w:r>
      <w:r w:rsidRPr="006C5B94">
        <w:t>from £3,000 to £9,000 and also to do with the lack of transparency in the system due to high loan subsidies (a Government contribution) that go un-noticed and unrecognised, but surely we would have stood a better chance of students understanding that this is about a shared cost with both public and private contributions if we’d have used differ</w:t>
      </w:r>
      <w:r w:rsidR="00DE2716" w:rsidRPr="006C5B94">
        <w:t>ent language to describe the finance</w:t>
      </w:r>
      <w:r w:rsidRPr="006C5B94">
        <w:t xml:space="preserve"> system.</w:t>
      </w:r>
      <w:r w:rsidR="00F47E15">
        <w:t xml:space="preserve"> </w:t>
      </w:r>
      <w:r w:rsidRPr="006C5B94">
        <w:t>A graduate contribution scheme</w:t>
      </w:r>
      <w:r w:rsidR="00DE2716" w:rsidRPr="006C5B94">
        <w:t>, higher education contribution scheme (HECS)</w:t>
      </w:r>
      <w:r w:rsidRPr="006C5B94">
        <w:t xml:space="preserve"> or a Government HELP </w:t>
      </w:r>
      <w:r w:rsidR="00DE2716" w:rsidRPr="006C5B94">
        <w:t xml:space="preserve">scheme </w:t>
      </w:r>
      <w:r w:rsidRPr="006C5B94">
        <w:t>(higher e</w:t>
      </w:r>
      <w:r w:rsidR="00DE2716" w:rsidRPr="006C5B94">
        <w:t xml:space="preserve">ducation loan programme) </w:t>
      </w:r>
      <w:r w:rsidRPr="006C5B94">
        <w:t xml:space="preserve">would surely have helped </w:t>
      </w:r>
      <w:r w:rsidR="009D61C6" w:rsidRPr="006C5B94">
        <w:t xml:space="preserve">students to understand that they would only be asked to make a contribution towards the cost of their degree </w:t>
      </w:r>
      <w:r w:rsidR="00DE2716" w:rsidRPr="006C5B94">
        <w:t>after</w:t>
      </w:r>
      <w:r w:rsidR="009D61C6" w:rsidRPr="006C5B94">
        <w:t xml:space="preserve"> they had graduated and were </w:t>
      </w:r>
      <w:r w:rsidR="00DE2716" w:rsidRPr="006C5B94">
        <w:t>earning</w:t>
      </w:r>
      <w:r w:rsidR="009D61C6" w:rsidRPr="006C5B94">
        <w:t>.</w:t>
      </w:r>
    </w:p>
    <w:tbl>
      <w:tblPr>
        <w:tblStyle w:val="LightShading-Accent2"/>
        <w:tblW w:w="0" w:type="auto"/>
        <w:tblLook w:val="04A0" w:firstRow="1" w:lastRow="0" w:firstColumn="1" w:lastColumn="0" w:noHBand="0" w:noVBand="1"/>
      </w:tblPr>
      <w:tblGrid>
        <w:gridCol w:w="9264"/>
      </w:tblGrid>
      <w:tr w:rsidR="0069224B" w:rsidRPr="006C5B94" w14:paraId="7EA90970" w14:textId="77777777" w:rsidTr="0069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1AEFDAC9" w14:textId="26303135" w:rsidR="0069224B" w:rsidRPr="006C5B94" w:rsidRDefault="00C0666B" w:rsidP="009E219F">
            <w:r>
              <w:rPr>
                <w:bCs w:val="0"/>
              </w:rPr>
              <w:t>14</w:t>
            </w:r>
            <w:r w:rsidR="0069224B" w:rsidRPr="006C5B94">
              <w:rPr>
                <w:bCs w:val="0"/>
              </w:rPr>
              <w:t>/ The lesson for England here is that language matters in the fundi</w:t>
            </w:r>
            <w:r w:rsidR="009E219F">
              <w:rPr>
                <w:bCs w:val="0"/>
              </w:rPr>
              <w:t xml:space="preserve">ng system – particularly if you aim </w:t>
            </w:r>
            <w:r w:rsidR="0069224B" w:rsidRPr="006C5B94">
              <w:rPr>
                <w:bCs w:val="0"/>
              </w:rPr>
              <w:t xml:space="preserve">to build a social contract </w:t>
            </w:r>
            <w:r w:rsidR="009E219F">
              <w:rPr>
                <w:bCs w:val="0"/>
              </w:rPr>
              <w:t>on</w:t>
            </w:r>
            <w:r w:rsidR="0069224B" w:rsidRPr="006C5B94">
              <w:rPr>
                <w:bCs w:val="0"/>
              </w:rPr>
              <w:t xml:space="preserve"> the idea of a shared contribution towards the cost of gaining a degree.</w:t>
            </w:r>
          </w:p>
        </w:tc>
      </w:tr>
    </w:tbl>
    <w:p w14:paraId="35DC0546" w14:textId="77777777" w:rsidR="0069224B" w:rsidRPr="006C5B94" w:rsidRDefault="0069224B"/>
    <w:p w14:paraId="54C3245F" w14:textId="77777777" w:rsidR="009D61C6" w:rsidRPr="006C5B94" w:rsidRDefault="009D61C6" w:rsidP="009C6BBE">
      <w:pPr>
        <w:spacing w:after="0" w:line="240" w:lineRule="auto"/>
        <w:ind w:left="142"/>
      </w:pPr>
      <w:r w:rsidRPr="006C5B94">
        <w:rPr>
          <w:b/>
          <w:bCs/>
        </w:rPr>
        <w:br w:type="page"/>
      </w:r>
    </w:p>
    <w:p w14:paraId="5D573776" w14:textId="77777777" w:rsidR="004976B3" w:rsidRPr="006C5B94" w:rsidRDefault="0019645A" w:rsidP="0019645A">
      <w:pPr>
        <w:pStyle w:val="Heading1"/>
      </w:pPr>
      <w:bookmarkStart w:id="25" w:name="_Toc259883112"/>
      <w:r w:rsidRPr="006C5B94">
        <w:t>Chapter 7</w:t>
      </w:r>
      <w:r w:rsidR="00893862" w:rsidRPr="006C5B94">
        <w:t>/ R</w:t>
      </w:r>
      <w:r w:rsidR="004976B3" w:rsidRPr="006C5B94">
        <w:t>egulation</w:t>
      </w:r>
      <w:bookmarkEnd w:id="25"/>
    </w:p>
    <w:p w14:paraId="75F799BB" w14:textId="1427A465" w:rsidR="003E02B5" w:rsidRPr="006C5B94" w:rsidRDefault="00D94454" w:rsidP="00EC7D1F">
      <w:r>
        <w:t>A chapter on regulation you ask</w:t>
      </w:r>
      <w:r w:rsidR="003E02B5" w:rsidRPr="006C5B94">
        <w:t>? Well regulation may have a reputation for being dull and incredibly complicated but actually there are some</w:t>
      </w:r>
      <w:r w:rsidR="009537B8">
        <w:t xml:space="preserve"> informative</w:t>
      </w:r>
      <w:r w:rsidR="003E02B5" w:rsidRPr="006C5B94">
        <w:t xml:space="preserve"> comparisons to be drawn between the two count</w:t>
      </w:r>
      <w:r w:rsidR="00A53B52">
        <w:t>r</w:t>
      </w:r>
      <w:r w:rsidR="001B362A">
        <w:t>ies</w:t>
      </w:r>
      <w:r w:rsidR="00F47E15">
        <w:t xml:space="preserve"> </w:t>
      </w:r>
      <w:r w:rsidR="003E02B5" w:rsidRPr="006C5B94">
        <w:t xml:space="preserve">– particularly </w:t>
      </w:r>
      <w:r>
        <w:t>in</w:t>
      </w:r>
      <w:r w:rsidR="003E02B5" w:rsidRPr="006C5B94">
        <w:t xml:space="preserve"> handling new providers and new entrants to the market, which is highly relevant to both systems as they expand and diversify.</w:t>
      </w:r>
    </w:p>
    <w:p w14:paraId="36D1A268" w14:textId="77777777" w:rsidR="001C62B9" w:rsidRPr="006C5B94" w:rsidRDefault="000C4022" w:rsidP="001C62B9">
      <w:pPr>
        <w:pStyle w:val="Heading2"/>
      </w:pPr>
      <w:bookmarkStart w:id="26" w:name="_Toc259883113"/>
      <w:r>
        <w:t>RTOs and the VET</w:t>
      </w:r>
      <w:r w:rsidR="001C62B9" w:rsidRPr="006C5B94">
        <w:t xml:space="preserve"> sector in Australia</w:t>
      </w:r>
      <w:r w:rsidR="00B025BC" w:rsidRPr="006C5B94">
        <w:t xml:space="preserve"> – what not to do</w:t>
      </w:r>
      <w:bookmarkEnd w:id="26"/>
    </w:p>
    <w:p w14:paraId="235032D8" w14:textId="2E4D07D6" w:rsidR="003E02B5" w:rsidRPr="006C5B94" w:rsidRDefault="009537B8" w:rsidP="00EC7D1F">
      <w:r>
        <w:t xml:space="preserve">Whilst I believe that more doesn’t mean worse when it comes to higher education, it is also true that </w:t>
      </w:r>
      <w:r w:rsidR="00E132FD" w:rsidRPr="006C5B94">
        <w:t xml:space="preserve">more doesn’t necessarily mean </w:t>
      </w:r>
      <w:r w:rsidR="00D94454">
        <w:t>better. I</w:t>
      </w:r>
      <w:r w:rsidR="00E132FD" w:rsidRPr="006C5B94">
        <w:t xml:space="preserve">t is actually the FE or </w:t>
      </w:r>
      <w:r w:rsidR="000C4022">
        <w:t>VET</w:t>
      </w:r>
      <w:r w:rsidR="00E132FD" w:rsidRPr="006C5B94">
        <w:t xml:space="preserve"> </w:t>
      </w:r>
      <w:r w:rsidR="00011866" w:rsidRPr="006C5B94">
        <w:t>(</w:t>
      </w:r>
      <w:r w:rsidR="000C4022">
        <w:t>vocational education and training</w:t>
      </w:r>
      <w:r w:rsidR="00011866" w:rsidRPr="006C5B94">
        <w:t xml:space="preserve">) </w:t>
      </w:r>
      <w:r w:rsidR="00E132FD" w:rsidRPr="006C5B94">
        <w:t>system in Australia that can teach us some salient lessons</w:t>
      </w:r>
      <w:r w:rsidR="00D94454">
        <w:t xml:space="preserve"> about the influx of new providers into the market</w:t>
      </w:r>
      <w:r w:rsidR="00A620AC" w:rsidRPr="006C5B94">
        <w:t xml:space="preserve"> – particularly in contrast to the experience in their HE sector</w:t>
      </w:r>
      <w:r w:rsidR="00E132FD" w:rsidRPr="006C5B94">
        <w:t>.</w:t>
      </w:r>
      <w:r w:rsidR="00F47E15">
        <w:t xml:space="preserve"> </w:t>
      </w:r>
      <w:r w:rsidR="00E132FD" w:rsidRPr="006C5B94">
        <w:t>The HE sector in Australia has seen relatively gradual and highly successful growth of</w:t>
      </w:r>
      <w:r w:rsidR="00D94454">
        <w:t xml:space="preserve"> the </w:t>
      </w:r>
      <w:r w:rsidR="00E132FD" w:rsidRPr="006C5B94">
        <w:t>private provide</w:t>
      </w:r>
      <w:r w:rsidR="00D94454">
        <w:t xml:space="preserve">rs into their system, particularly since 2005 </w:t>
      </w:r>
      <w:r w:rsidR="00E132FD" w:rsidRPr="006C5B94">
        <w:t xml:space="preserve">when the </w:t>
      </w:r>
      <w:r w:rsidR="00C03E5F">
        <w:t>FEE-HELP</w:t>
      </w:r>
      <w:r w:rsidR="00D94454">
        <w:t xml:space="preserve"> system started (although many were actually established well before 2005, their enrolments of domestic students expanded greatly from 2005 when their students were given access to FEE-HELP)</w:t>
      </w:r>
      <w:r w:rsidR="00825107" w:rsidRPr="006C5B94">
        <w:t>.</w:t>
      </w:r>
      <w:r w:rsidR="00F47E15">
        <w:t xml:space="preserve"> </w:t>
      </w:r>
      <w:r w:rsidR="00225B67" w:rsidRPr="00225B67">
        <w:t>There are 173 registered higher education institutions</w:t>
      </w:r>
      <w:r w:rsidR="000C4022">
        <w:t xml:space="preserve"> (HEIs)</w:t>
      </w:r>
      <w:r w:rsidR="00225B67" w:rsidRPr="00225B67">
        <w:t xml:space="preserve"> in Australia, which includes 40 universities (3 of which ar</w:t>
      </w:r>
      <w:r w:rsidR="00225B67">
        <w:t xml:space="preserve">e small, private, not for profit). </w:t>
      </w:r>
      <w:r w:rsidR="000C4022">
        <w:t>Of the 133 HEIs that are not universities, 90 are approved to receive FEE-HELP loans for their students. These 133 a</w:t>
      </w:r>
      <w:r w:rsidR="00225B67">
        <w:t xml:space="preserve">lternative </w:t>
      </w:r>
      <w:r w:rsidR="00825107" w:rsidRPr="006C5B94">
        <w:t xml:space="preserve">higher education providers </w:t>
      </w:r>
      <w:r w:rsidR="000C4022">
        <w:t>account for around 10% of enrolments in Australia</w:t>
      </w:r>
      <w:r w:rsidR="00E132FD" w:rsidRPr="006C5B94">
        <w:t>.</w:t>
      </w:r>
      <w:r w:rsidR="00F47E15">
        <w:t xml:space="preserve"> </w:t>
      </w:r>
      <w:r w:rsidR="00E132FD" w:rsidRPr="006C5B94">
        <w:t xml:space="preserve">Of course these </w:t>
      </w:r>
      <w:r w:rsidR="000C4022">
        <w:t>alternative</w:t>
      </w:r>
      <w:r w:rsidR="00E132FD" w:rsidRPr="006C5B94">
        <w:t xml:space="preserve"> providers</w:t>
      </w:r>
      <w:r w:rsidR="00F47E15">
        <w:t xml:space="preserve"> </w:t>
      </w:r>
      <w:r w:rsidR="00BF0439" w:rsidRPr="006C5B94">
        <w:t xml:space="preserve">(some for-profit and some not) </w:t>
      </w:r>
      <w:r w:rsidR="00E132FD" w:rsidRPr="006C5B94">
        <w:t xml:space="preserve">are a mixed bag in terms of scale and quality but on the whole, these private providers have a good reputation for providing </w:t>
      </w:r>
      <w:r w:rsidR="00825107" w:rsidRPr="006C5B94">
        <w:t xml:space="preserve">specialist, </w:t>
      </w:r>
      <w:r w:rsidR="00E132FD" w:rsidRPr="006C5B94">
        <w:t>high quality higher education qualifications.</w:t>
      </w:r>
    </w:p>
    <w:p w14:paraId="56BB51BF" w14:textId="21A166EF" w:rsidR="00EC7D1F" w:rsidRPr="006C5B94" w:rsidRDefault="0062234F" w:rsidP="00EC7D1F">
      <w:r w:rsidRPr="0062234F">
        <w:t xml:space="preserve">By contrast, </w:t>
      </w:r>
      <w:r>
        <w:t xml:space="preserve">the </w:t>
      </w:r>
      <w:r w:rsidRPr="0062234F">
        <w:t>vocational education and training</w:t>
      </w:r>
      <w:r>
        <w:t xml:space="preserve"> (VET)</w:t>
      </w:r>
      <w:r w:rsidRPr="0062234F">
        <w:t xml:space="preserve"> system in Australia opened up to Registered Training Organisations (RTOs) around the same time and has experienced an explosion, so that there are now about 5,000 VET providers. There are approximately 3</w:t>
      </w:r>
      <w:r w:rsidR="005A4FD2">
        <w:t xml:space="preserve">,800 </w:t>
      </w:r>
      <w:r w:rsidRPr="0062234F">
        <w:t>private providers, with the remainder including some schools, universities, community education providers, and industry and professional bodies, all of which are mostly small. Unlike higher education where institutions have to have the delivery of HE as their main purpose, VET institutions do not have this requirement. Many RTOs are credible and reputable not-for-profit training providers but thousands are ‘car boot’ providers that register between a handful and thousands of students, get paid thousands (sometimes millions) of dollars from the State Government in fee loan funding for the students and then either close down shortly after or fail their students.</w:t>
      </w:r>
      <w:r w:rsidR="00F47E15">
        <w:t xml:space="preserve"> </w:t>
      </w:r>
      <w:r w:rsidRPr="0062234F">
        <w:t>The level of reported fraud and student non-completion is astonishingly high.</w:t>
      </w:r>
      <w:r w:rsidR="00F47E15">
        <w:t xml:space="preserve"> </w:t>
      </w:r>
      <w:r w:rsidR="009166A1">
        <w:t>Some have argued that poor quality programmes, delivered in a fraction of the standard time, with terrible employment outcomes is just as big a problem as fraud, even though providers are officially sticking within the rules.</w:t>
      </w:r>
    </w:p>
    <w:p w14:paraId="6B3BFEF3" w14:textId="4CD3CA1A" w:rsidR="0069224B" w:rsidRPr="006C5B94" w:rsidRDefault="00A71F58">
      <w:r w:rsidRPr="00A71F58">
        <w:t>The FE regulator has an almost impossible job due to the sheer scale of thousands of tiny new providers that they cannot possibly keep on top of.</w:t>
      </w:r>
      <w:r w:rsidR="00F47E15">
        <w:t xml:space="preserve"> </w:t>
      </w:r>
      <w:r w:rsidRPr="00A71F58">
        <w:t>The numbers are eye watering: over 5,000 RTOs, but the biggest 100 (that is 2% of providers) deliver almost 80% of teaching hours.</w:t>
      </w:r>
      <w:r>
        <w:t xml:space="preserve"> In other words, 98% of all providers are</w:t>
      </w:r>
      <w:r w:rsidRPr="00A71F58">
        <w:t xml:space="preserve"> deliver</w:t>
      </w:r>
      <w:r>
        <w:t>ing just 20% of all teaching</w:t>
      </w:r>
      <w:r w:rsidRPr="00A71F58">
        <w:rPr>
          <w:rStyle w:val="FootnoteReference"/>
        </w:rPr>
        <w:footnoteReference w:id="17"/>
      </w:r>
      <w:r w:rsidRPr="00A71F58">
        <w:t>. It is the much maligned and misunderstood</w:t>
      </w:r>
      <w:r w:rsidR="000C3662">
        <w:t xml:space="preserve"> Tertiary and Further Education</w:t>
      </w:r>
      <w:r w:rsidRPr="00A71F58">
        <w:t xml:space="preserve"> </w:t>
      </w:r>
      <w:r w:rsidR="000C3662">
        <w:t>(</w:t>
      </w:r>
      <w:r w:rsidRPr="00A71F58">
        <w:t>TAFE</w:t>
      </w:r>
      <w:r w:rsidR="000C3662">
        <w:t>)</w:t>
      </w:r>
      <w:r w:rsidRPr="00A71F58">
        <w:t xml:space="preserve"> Colleges (59 in all) that have steadily lo</w:t>
      </w:r>
      <w:r>
        <w:t>st student numbers (or teaching hours)</w:t>
      </w:r>
      <w:r w:rsidRPr="00A71F58">
        <w:t xml:space="preserve"> thanks to the opening of the market to priv</w:t>
      </w:r>
      <w:r>
        <w:t>ate providers. A</w:t>
      </w:r>
      <w:r w:rsidRPr="00A71F58">
        <w:t>s well as dramatically losing their market share, they have had their budgets slashed as well. Commentators in Australia have argued that the FE Regulator is shutting down disreputable RTOs as fast as it can but a handful of new ones are popping up for every one they are able to close.</w:t>
      </w:r>
    </w:p>
    <w:tbl>
      <w:tblPr>
        <w:tblStyle w:val="LightShading-Accent2"/>
        <w:tblW w:w="0" w:type="auto"/>
        <w:tblLook w:val="04A0" w:firstRow="1" w:lastRow="0" w:firstColumn="1" w:lastColumn="0" w:noHBand="0" w:noVBand="1"/>
      </w:tblPr>
      <w:tblGrid>
        <w:gridCol w:w="9264"/>
      </w:tblGrid>
      <w:tr w:rsidR="0069224B" w:rsidRPr="006C5B94" w14:paraId="74636DB8" w14:textId="77777777" w:rsidTr="0069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77B0A610" w14:textId="77BCB0F0" w:rsidR="0069224B" w:rsidRPr="006C5B94" w:rsidRDefault="00C0666B" w:rsidP="0069224B">
            <w:pPr>
              <w:ind w:left="142"/>
              <w:rPr>
                <w:bCs w:val="0"/>
              </w:rPr>
            </w:pPr>
            <w:r>
              <w:rPr>
                <w:bCs w:val="0"/>
              </w:rPr>
              <w:t>15</w:t>
            </w:r>
            <w:r w:rsidR="0069224B" w:rsidRPr="006C5B94">
              <w:rPr>
                <w:bCs w:val="0"/>
              </w:rPr>
              <w:t>/ The problem, and the salient lesson for England as well as the Australian HE system, is that the minimum threshold for entry to the market for new providers was set far too lo</w:t>
            </w:r>
            <w:r w:rsidR="00E13432">
              <w:rPr>
                <w:bCs w:val="0"/>
              </w:rPr>
              <w:t>w</w:t>
            </w:r>
            <w:r w:rsidR="0069224B" w:rsidRPr="006C5B94">
              <w:rPr>
                <w:bCs w:val="0"/>
              </w:rPr>
              <w:t xml:space="preserve">. A regulator cannot be expected to regulate thousands of providers that are flooding into a new market where the doors are wide open. </w:t>
            </w:r>
            <w:r w:rsidR="00E13432">
              <w:rPr>
                <w:bCs w:val="0"/>
              </w:rPr>
              <w:t>Many of the states staggered payments to providers on the basis of retention but this did not help</w:t>
            </w:r>
            <w:r w:rsidR="0069224B" w:rsidRPr="006C5B94">
              <w:rPr>
                <w:bCs w:val="0"/>
              </w:rPr>
              <w:t xml:space="preserve">. </w:t>
            </w:r>
            <w:r w:rsidR="006B1ABB">
              <w:rPr>
                <w:bCs w:val="0"/>
              </w:rPr>
              <w:t>The really important lesson for England is that it is f</w:t>
            </w:r>
            <w:r w:rsidR="0069224B" w:rsidRPr="006C5B94">
              <w:rPr>
                <w:bCs w:val="0"/>
              </w:rPr>
              <w:t xml:space="preserve">ar more important </w:t>
            </w:r>
            <w:r w:rsidR="006B1ABB">
              <w:rPr>
                <w:bCs w:val="0"/>
              </w:rPr>
              <w:t>to establish and enforce</w:t>
            </w:r>
            <w:r w:rsidR="006B1ABB" w:rsidRPr="006C5B94">
              <w:rPr>
                <w:bCs w:val="0"/>
              </w:rPr>
              <w:t xml:space="preserve"> appropriate minimum standards for entry into the market </w:t>
            </w:r>
            <w:r w:rsidR="006B1ABB">
              <w:rPr>
                <w:bCs w:val="0"/>
              </w:rPr>
              <w:t>when</w:t>
            </w:r>
            <w:r w:rsidR="0069224B" w:rsidRPr="006C5B94">
              <w:rPr>
                <w:bCs w:val="0"/>
              </w:rPr>
              <w:t xml:space="preserve"> managing a gr</w:t>
            </w:r>
            <w:r w:rsidR="006B1ABB">
              <w:rPr>
                <w:bCs w:val="0"/>
              </w:rPr>
              <w:t>owing and diversifying market</w:t>
            </w:r>
            <w:r w:rsidR="0069224B" w:rsidRPr="006C5B94">
              <w:rPr>
                <w:bCs w:val="0"/>
              </w:rPr>
              <w:t xml:space="preserve">. </w:t>
            </w:r>
          </w:p>
          <w:p w14:paraId="4EDFA255" w14:textId="77777777" w:rsidR="0069224B" w:rsidRPr="006C5B94" w:rsidRDefault="0069224B" w:rsidP="00EC7D1F"/>
        </w:tc>
      </w:tr>
    </w:tbl>
    <w:p w14:paraId="257519B1" w14:textId="77777777" w:rsidR="005F16A1" w:rsidRPr="006C5B94" w:rsidRDefault="005F16A1" w:rsidP="005F16A1">
      <w:pPr>
        <w:pStyle w:val="Heading2"/>
      </w:pPr>
      <w:bookmarkStart w:id="27" w:name="_Toc259883114"/>
      <w:r w:rsidRPr="006C5B94">
        <w:t>Alternative provid</w:t>
      </w:r>
      <w:r w:rsidR="008E3459" w:rsidRPr="006C5B94">
        <w:t xml:space="preserve">ers in </w:t>
      </w:r>
      <w:r w:rsidR="00BF0439" w:rsidRPr="006C5B94">
        <w:t>England</w:t>
      </w:r>
      <w:r w:rsidR="008E3459" w:rsidRPr="006C5B94">
        <w:t xml:space="preserve"> – more than you might think</w:t>
      </w:r>
      <w:bookmarkEnd w:id="27"/>
    </w:p>
    <w:p w14:paraId="186759DE" w14:textId="77777777" w:rsidR="005F16A1" w:rsidRPr="006C5B94" w:rsidRDefault="005F16A1" w:rsidP="005F16A1">
      <w:r w:rsidRPr="006C5B94">
        <w:t>In 2012 (</w:t>
      </w:r>
      <w:r w:rsidR="00D94454">
        <w:t>before</w:t>
      </w:r>
      <w:r w:rsidRPr="006C5B94">
        <w:t xml:space="preserve"> fee changes) the department for Business Innovation and Skills (BIS) commissioned a report to provide a comprehensive picture of provision by privately funded Higher Education Institutions (HEIs) operating in UK higher education</w:t>
      </w:r>
      <w:r w:rsidR="00EB4566" w:rsidRPr="006C5B94">
        <w:rPr>
          <w:noProof/>
        </w:rPr>
        <w:t xml:space="preserve"> (BIS, 2013</w:t>
      </w:r>
      <w:r w:rsidR="00A9209F">
        <w:rPr>
          <w:noProof/>
        </w:rPr>
        <w:t>b</w:t>
      </w:r>
      <w:r w:rsidR="00EB4566" w:rsidRPr="006C5B94">
        <w:rPr>
          <w:noProof/>
        </w:rPr>
        <w:t>)</w:t>
      </w:r>
      <w:r w:rsidRPr="006C5B94">
        <w:t xml:space="preserve"> – some of the findings were quite surprising to the UK higher education sector because so much of this activity had gone</w:t>
      </w:r>
      <w:r w:rsidR="00E137C0" w:rsidRPr="006C5B94">
        <w:t xml:space="preserve"> un-recorded,</w:t>
      </w:r>
      <w:r w:rsidRPr="006C5B94">
        <w:t xml:space="preserve"> </w:t>
      </w:r>
      <w:r w:rsidR="00E137C0" w:rsidRPr="006C5B94">
        <w:t xml:space="preserve">un-regulated </w:t>
      </w:r>
      <w:r w:rsidRPr="006C5B94">
        <w:t>and</w:t>
      </w:r>
      <w:r w:rsidR="00E137C0" w:rsidRPr="006C5B94">
        <w:t xml:space="preserve"> largely un-noticed</w:t>
      </w:r>
      <w:r w:rsidRPr="006C5B94">
        <w:t>.</w:t>
      </w:r>
    </w:p>
    <w:p w14:paraId="4FEF66D3" w14:textId="77777777" w:rsidR="005E0478" w:rsidRPr="006C5B94" w:rsidRDefault="005E0478" w:rsidP="005F16A1">
      <w:r w:rsidRPr="006C5B94">
        <w:t>In 2012 there were</w:t>
      </w:r>
      <w:r w:rsidR="00F40919" w:rsidRPr="006C5B94">
        <w:t xml:space="preserve"> 163 registered higher ed</w:t>
      </w:r>
      <w:r w:rsidR="008E73F3" w:rsidRPr="006C5B94">
        <w:t xml:space="preserve">ucation institutions in the UK </w:t>
      </w:r>
      <w:sdt>
        <w:sdtPr>
          <w:id w:val="-102876879"/>
          <w:citation/>
        </w:sdtPr>
        <w:sdtEndPr/>
        <w:sdtContent>
          <w:r w:rsidR="008E73F3" w:rsidRPr="006C5B94">
            <w:fldChar w:fldCharType="begin"/>
          </w:r>
          <w:r w:rsidR="00A9209F">
            <w:instrText xml:space="preserve">CITATION UUK13 \t  \l 2057 </w:instrText>
          </w:r>
          <w:r w:rsidR="008E73F3" w:rsidRPr="006C5B94">
            <w:fldChar w:fldCharType="separate"/>
          </w:r>
          <w:r w:rsidR="00A9209F">
            <w:rPr>
              <w:noProof/>
            </w:rPr>
            <w:t>(UUK, 2013a)</w:t>
          </w:r>
          <w:r w:rsidR="008E73F3" w:rsidRPr="006C5B94">
            <w:fldChar w:fldCharType="end"/>
          </w:r>
        </w:sdtContent>
      </w:sdt>
      <w:r w:rsidR="00F40919" w:rsidRPr="006C5B94">
        <w:t xml:space="preserve">, of which </w:t>
      </w:r>
      <w:r w:rsidRPr="006C5B94">
        <w:t>around 110 had</w:t>
      </w:r>
      <w:r w:rsidR="00A9209F">
        <w:t xml:space="preserve"> u</w:t>
      </w:r>
      <w:r w:rsidR="00F40919" w:rsidRPr="006C5B94">
        <w:t>niversity title</w:t>
      </w:r>
      <w:r w:rsidRPr="006C5B94">
        <w:t>.</w:t>
      </w:r>
      <w:r w:rsidR="00F40919" w:rsidRPr="006C5B94">
        <w:t xml:space="preserve"> </w:t>
      </w:r>
    </w:p>
    <w:p w14:paraId="2E4889F1" w14:textId="77777777" w:rsidR="005F16A1" w:rsidRPr="006C5B94" w:rsidRDefault="005E0478" w:rsidP="005F16A1">
      <w:r w:rsidRPr="006C5B94">
        <w:t>T</w:t>
      </w:r>
      <w:r w:rsidR="005F16A1" w:rsidRPr="006C5B94">
        <w:t xml:space="preserve">he </w:t>
      </w:r>
      <w:r w:rsidRPr="006C5B94">
        <w:t xml:space="preserve">BIS </w:t>
      </w:r>
      <w:r w:rsidR="005F16A1" w:rsidRPr="006C5B94">
        <w:t>research identified a total of 6</w:t>
      </w:r>
      <w:r w:rsidRPr="006C5B94">
        <w:t xml:space="preserve">74 alternative providers. These were named, privately funded HEIs with over 160,000 students in total, including </w:t>
      </w:r>
      <w:r w:rsidR="005F16A1" w:rsidRPr="006C5B94">
        <w:t>just under 80,000 UK domiciled students, although these were minimum estimates. 27 of the 674 providers identified were lead representatives of larger provider groups, often with multiple c</w:t>
      </w:r>
      <w:r w:rsidR="00611616" w:rsidRPr="006C5B94">
        <w:t xml:space="preserve">ampuses or subsidiary colleges. </w:t>
      </w:r>
      <w:r w:rsidR="005F16A1" w:rsidRPr="006C5B94">
        <w:t>The majority operate as for-profit organisations and were very newly established, with a large proportion catering to small numbers of students – 84% of providers had fewer than 100 students.</w:t>
      </w:r>
    </w:p>
    <w:p w14:paraId="2FE09B7F" w14:textId="77777777" w:rsidR="005F16A1" w:rsidRPr="006C5B94" w:rsidRDefault="00611616" w:rsidP="005F16A1">
      <w:r w:rsidRPr="006C5B94">
        <w:t xml:space="preserve">The biggest difference post-2012 is that alternative providers could receive fee loans for their students up to a £6,000 limit per student. </w:t>
      </w:r>
      <w:r w:rsidR="00D94454">
        <w:t>To</w:t>
      </w:r>
      <w:r w:rsidRPr="006C5B94">
        <w:t xml:space="preserve"> do so, these providers had t</w:t>
      </w:r>
      <w:r w:rsidR="00C16E52" w:rsidRPr="006C5B94">
        <w:t>o register with BIS / HEFCE, work with QAA and provide data returns. Two things have happened since 2012 as a result: the small number of large, longer established private providers have come closer into the regulated sector and a significant number of brand new, small providers have started providing qualifications (usually sub-degree level) that are accredited by a for-profit organisation that is an accrediting body only – not a provider itself.</w:t>
      </w:r>
    </w:p>
    <w:p w14:paraId="56BA32C6" w14:textId="096F41EC" w:rsidR="00C16E52" w:rsidRPr="006C5B94" w:rsidRDefault="00C16E52" w:rsidP="005F16A1">
      <w:r w:rsidRPr="006C5B94">
        <w:t xml:space="preserve">This increased diversity in the market is most likely a positive thing but </w:t>
      </w:r>
      <w:r w:rsidR="00D94454">
        <w:t xml:space="preserve">the </w:t>
      </w:r>
      <w:r w:rsidRPr="006C5B94">
        <w:t xml:space="preserve">lack of readiness for any one body to regulate a changing environment is concerning. The lack of an HE Bill following the 2012 reforms means that there </w:t>
      </w:r>
      <w:r w:rsidR="00B713A0">
        <w:t>i</w:t>
      </w:r>
      <w:r w:rsidRPr="006C5B94">
        <w:t xml:space="preserve">s no single body with regulatory responsibility for the entire sector. HEFCE has always had regulatory responsibility for </w:t>
      </w:r>
      <w:r w:rsidR="00D97AF2">
        <w:t>HEIs</w:t>
      </w:r>
      <w:r w:rsidRPr="006C5B94">
        <w:t xml:space="preserve"> </w:t>
      </w:r>
      <w:r w:rsidR="00D94454">
        <w:t>receiving</w:t>
      </w:r>
      <w:r w:rsidRPr="006C5B94">
        <w:t xml:space="preserve"> public funding but it is increasingly important that this regulatory authority be extended to all HE providers full stop. The 674 named privately funded providers with 80,000 domicile</w:t>
      </w:r>
      <w:r w:rsidR="00B713A0">
        <w:t>d</w:t>
      </w:r>
      <w:r w:rsidRPr="006C5B94">
        <w:t xml:space="preserve"> students should also come under their watch – not in exactly the same way as those </w:t>
      </w:r>
      <w:r w:rsidR="00D94454">
        <w:t>receiving</w:t>
      </w:r>
      <w:r w:rsidRPr="006C5B94">
        <w:t xml:space="preserve"> public funding</w:t>
      </w:r>
      <w:r w:rsidR="00D5173D">
        <w:t>,</w:t>
      </w:r>
      <w:r w:rsidRPr="006C5B94">
        <w:t xml:space="preserve"> but in an appropriate and proportionate relationship.</w:t>
      </w:r>
    </w:p>
    <w:tbl>
      <w:tblPr>
        <w:tblStyle w:val="LightShading-Accent2"/>
        <w:tblW w:w="0" w:type="auto"/>
        <w:tblLook w:val="04A0" w:firstRow="1" w:lastRow="0" w:firstColumn="1" w:lastColumn="0" w:noHBand="0" w:noVBand="1"/>
      </w:tblPr>
      <w:tblGrid>
        <w:gridCol w:w="9264"/>
      </w:tblGrid>
      <w:tr w:rsidR="0069224B" w:rsidRPr="006C5B94" w14:paraId="71352A34" w14:textId="77777777" w:rsidTr="00692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403AB563" w14:textId="43222F64" w:rsidR="0069224B" w:rsidRPr="006C5B94" w:rsidRDefault="00C0666B" w:rsidP="0069224B">
            <w:pPr>
              <w:ind w:left="142"/>
              <w:rPr>
                <w:bCs w:val="0"/>
              </w:rPr>
            </w:pPr>
            <w:r>
              <w:rPr>
                <w:bCs w:val="0"/>
              </w:rPr>
              <w:t>16</w:t>
            </w:r>
            <w:r w:rsidR="0069224B" w:rsidRPr="006C5B94">
              <w:rPr>
                <w:bCs w:val="0"/>
              </w:rPr>
              <w:t xml:space="preserve">/ This is where the Australian model of TEQSA has something to offer the English system. As a national regulatory body, TEQSA has regulatory responsibility for all HE providers, public or private, </w:t>
            </w:r>
            <w:r w:rsidR="00D94454">
              <w:rPr>
                <w:bCs w:val="0"/>
              </w:rPr>
              <w:t>receiving</w:t>
            </w:r>
            <w:r w:rsidR="0069224B" w:rsidRPr="006C5B94">
              <w:rPr>
                <w:bCs w:val="0"/>
              </w:rPr>
              <w:t xml:space="preserve"> public funding or otherwise. </w:t>
            </w:r>
          </w:p>
          <w:p w14:paraId="274D808A" w14:textId="77777777" w:rsidR="0069224B" w:rsidRPr="006C5B94" w:rsidRDefault="0069224B" w:rsidP="0069224B">
            <w:pPr>
              <w:ind w:left="142"/>
              <w:rPr>
                <w:bCs w:val="0"/>
              </w:rPr>
            </w:pPr>
          </w:p>
          <w:p w14:paraId="63490559" w14:textId="76B7FF3A" w:rsidR="0069224B" w:rsidRPr="006C5B94" w:rsidRDefault="00C0666B" w:rsidP="0069224B">
            <w:pPr>
              <w:ind w:left="142"/>
              <w:rPr>
                <w:bCs w:val="0"/>
              </w:rPr>
            </w:pPr>
            <w:r>
              <w:rPr>
                <w:bCs w:val="0"/>
              </w:rPr>
              <w:t>17</w:t>
            </w:r>
            <w:r w:rsidR="0069224B" w:rsidRPr="006C5B94">
              <w:rPr>
                <w:bCs w:val="0"/>
              </w:rPr>
              <w:t>/ Furthermore, TEQSA is responsible for establishing and maintaining a National Register of Higher Education Providers. Given recent student visa scandals with private providers – often English language providers – a National Reg</w:t>
            </w:r>
            <w:r w:rsidR="00D94454">
              <w:rPr>
                <w:bCs w:val="0"/>
              </w:rPr>
              <w:t>ister of HE Providers could be</w:t>
            </w:r>
            <w:r w:rsidR="0069224B" w:rsidRPr="006C5B94">
              <w:rPr>
                <w:bCs w:val="0"/>
              </w:rPr>
              <w:t xml:space="preserve"> helpful in making more sensible visa rules. For example, England could return to an automatic 2 year right to stay and work for all graduates from those institutions on the National Register of HE Providers. This would put England back in line with Australia, Canada and other international competitors rather than the complicated and off-putting system we have at present.</w:t>
            </w:r>
          </w:p>
          <w:p w14:paraId="035F11A9" w14:textId="77777777" w:rsidR="0069224B" w:rsidRPr="006C5B94" w:rsidRDefault="0069224B" w:rsidP="005F16A1"/>
        </w:tc>
      </w:tr>
    </w:tbl>
    <w:p w14:paraId="1FA0F45E" w14:textId="77777777" w:rsidR="001C62B9" w:rsidRPr="006C5B94" w:rsidRDefault="001C62B9" w:rsidP="001C62B9">
      <w:pPr>
        <w:pStyle w:val="Heading2"/>
      </w:pPr>
      <w:bookmarkStart w:id="28" w:name="_Toc259883115"/>
      <w:r w:rsidRPr="006C5B94">
        <w:t xml:space="preserve">TEQSA – </w:t>
      </w:r>
      <w:r w:rsidR="00F22248" w:rsidRPr="006C5B94">
        <w:t>is this HEFCE and QAA combined?</w:t>
      </w:r>
      <w:bookmarkEnd w:id="28"/>
    </w:p>
    <w:p w14:paraId="7CCB8E24" w14:textId="77777777" w:rsidR="00F72732" w:rsidRPr="006C5B94" w:rsidRDefault="00783B86" w:rsidP="00F72732">
      <w:r w:rsidRPr="006C5B94">
        <w:t>In the</w:t>
      </w:r>
      <w:r w:rsidR="00072CF5" w:rsidRPr="006C5B94">
        <w:t xml:space="preserve"> context</w:t>
      </w:r>
      <w:r w:rsidRPr="006C5B94">
        <w:t xml:space="preserve"> of expansion and diversification of providers</w:t>
      </w:r>
      <w:r w:rsidR="00072CF5" w:rsidRPr="006C5B94">
        <w:t xml:space="preserve">, perhaps we should not be surprised that the Australian Government established </w:t>
      </w:r>
      <w:r w:rsidR="00A90154" w:rsidRPr="006C5B94">
        <w:t>the Tertiary Education Quality and Standards Agency (</w:t>
      </w:r>
      <w:r w:rsidR="00072CF5" w:rsidRPr="006C5B94">
        <w:t>TEQSA</w:t>
      </w:r>
      <w:r w:rsidR="00A90154" w:rsidRPr="006C5B94">
        <w:t>)</w:t>
      </w:r>
      <w:r w:rsidR="001F0953" w:rsidRPr="006C5B94">
        <w:t xml:space="preserve"> in 2012</w:t>
      </w:r>
      <w:r w:rsidR="00072CF5" w:rsidRPr="006C5B94">
        <w:t xml:space="preserve"> – the first </w:t>
      </w:r>
      <w:r w:rsidR="00CE4D33" w:rsidRPr="006C5B94">
        <w:t>national</w:t>
      </w:r>
      <w:r w:rsidR="00072CF5" w:rsidRPr="006C5B94">
        <w:t xml:space="preserve"> regulatory body for higher education ‘with teeth’.</w:t>
      </w:r>
      <w:r w:rsidR="0027666F" w:rsidRPr="006C5B94">
        <w:t xml:space="preserve"> TEQSA has been est</w:t>
      </w:r>
      <w:r w:rsidR="00CE4D33" w:rsidRPr="006C5B94">
        <w:t>ablished for the purpose of registering and evaluating the performance of higher education providers against the HE Standards Framework, specifically the Threshold Standards</w:t>
      </w:r>
      <w:r w:rsidR="0027666F" w:rsidRPr="006C5B94">
        <w:t xml:space="preserve">. </w:t>
      </w:r>
      <w:r w:rsidR="00F72732" w:rsidRPr="006C5B94">
        <w:t>TEQSA’s approach is informed by three key principles for regulation; regulatory necessity, reflecting risk and proportionate regulation.</w:t>
      </w:r>
    </w:p>
    <w:p w14:paraId="2818ECAC" w14:textId="47957C71" w:rsidR="001C62B9" w:rsidRPr="006C5B94" w:rsidRDefault="0027666F" w:rsidP="00EC7D1F">
      <w:r w:rsidRPr="006C5B94">
        <w:t xml:space="preserve">It </w:t>
      </w:r>
      <w:r w:rsidR="000C4022">
        <w:t>first</w:t>
      </w:r>
      <w:r w:rsidRPr="006C5B94">
        <w:t xml:space="preserve"> </w:t>
      </w:r>
      <w:r w:rsidR="000C4022">
        <w:t>identified</w:t>
      </w:r>
      <w:r w:rsidRPr="006C5B94">
        <w:t xml:space="preserve"> </w:t>
      </w:r>
      <w:r w:rsidR="000C4022">
        <w:t>46</w:t>
      </w:r>
      <w:r w:rsidRPr="006C5B94">
        <w:t xml:space="preserve"> ‘risk factors’ against which it measures all HE provide</w:t>
      </w:r>
      <w:r w:rsidR="00676685" w:rsidRPr="006C5B94">
        <w:t>rs</w:t>
      </w:r>
      <w:r w:rsidR="000C4022">
        <w:t xml:space="preserve"> but has since refined this process to identify 12 risk factors (including 2 composite financial indicators)</w:t>
      </w:r>
      <w:r w:rsidR="00676685" w:rsidRPr="006C5B94">
        <w:t>. All providers,</w:t>
      </w:r>
      <w:r w:rsidRPr="006C5B94">
        <w:t xml:space="preserve"> even those that have operated fo</w:t>
      </w:r>
      <w:r w:rsidR="00676685" w:rsidRPr="006C5B94">
        <w:t>r over a hundred years or more,</w:t>
      </w:r>
      <w:r w:rsidRPr="006C5B94">
        <w:t xml:space="preserve"> have to hav</w:t>
      </w:r>
      <w:r w:rsidR="00CE4D33" w:rsidRPr="006C5B94">
        <w:t xml:space="preserve">e their licence renewed </w:t>
      </w:r>
      <w:r w:rsidR="000B7A30">
        <w:t xml:space="preserve">at least </w:t>
      </w:r>
      <w:r w:rsidR="00CE4D33" w:rsidRPr="006C5B94">
        <w:t>every 7</w:t>
      </w:r>
      <w:r w:rsidRPr="006C5B94">
        <w:t xml:space="preserve"> years.</w:t>
      </w:r>
      <w:r w:rsidR="00F47E15">
        <w:t xml:space="preserve"> </w:t>
      </w:r>
      <w:r w:rsidRPr="006C5B94">
        <w:t>TEQSA</w:t>
      </w:r>
      <w:r w:rsidR="008F44F7">
        <w:t>’s role is to interpret and enforce the</w:t>
      </w:r>
      <w:r w:rsidR="00F47E15">
        <w:t xml:space="preserve"> </w:t>
      </w:r>
      <w:r w:rsidRPr="006C5B94">
        <w:t>minimum threshold standards for entry to the HE market</w:t>
      </w:r>
      <w:r w:rsidR="008F44F7">
        <w:t xml:space="preserve"> that were identified by an independent panel (HESP) and approved by the Minister. TEQSA has been </w:t>
      </w:r>
      <w:r w:rsidRPr="006C5B94">
        <w:t>applying</w:t>
      </w:r>
      <w:r w:rsidR="008F44F7">
        <w:t xml:space="preserve"> these minimum thresholds to all HE providers since January 2012</w:t>
      </w:r>
      <w:r w:rsidRPr="006C5B94">
        <w:t xml:space="preserve">. </w:t>
      </w:r>
    </w:p>
    <w:p w14:paraId="5F3C440C" w14:textId="03B70E33" w:rsidR="00FF76D8" w:rsidRPr="006C5B94" w:rsidRDefault="00D94454" w:rsidP="00EC7D1F">
      <w:r>
        <w:t>T</w:t>
      </w:r>
      <w:r w:rsidR="0027666F" w:rsidRPr="006C5B94">
        <w:t xml:space="preserve">his is surely </w:t>
      </w:r>
      <w:r w:rsidR="00CE4D33" w:rsidRPr="006C5B94">
        <w:t xml:space="preserve">a </w:t>
      </w:r>
      <w:r w:rsidR="0027666F" w:rsidRPr="006C5B94">
        <w:t>welcome</w:t>
      </w:r>
      <w:r w:rsidR="00CE4D33" w:rsidRPr="006C5B94">
        <w:t xml:space="preserve"> step</w:t>
      </w:r>
      <w:r w:rsidR="0027666F" w:rsidRPr="006C5B94">
        <w:t xml:space="preserve"> </w:t>
      </w:r>
      <w:r>
        <w:t xml:space="preserve">in </w:t>
      </w:r>
      <w:r w:rsidRPr="006C5B94">
        <w:t xml:space="preserve">managing quality and maintaining the all-important HE brand in Australia </w:t>
      </w:r>
      <w:r w:rsidR="0027666F" w:rsidRPr="006C5B94">
        <w:t>but</w:t>
      </w:r>
      <w:r w:rsidR="00CE4D33" w:rsidRPr="006C5B94">
        <w:t>,</w:t>
      </w:r>
      <w:r w:rsidR="0027666F" w:rsidRPr="006C5B94">
        <w:t xml:space="preserve"> interestingly</w:t>
      </w:r>
      <w:r w:rsidR="00CE4D33" w:rsidRPr="006C5B94">
        <w:t xml:space="preserve"> and probably not entirely unexpectedly</w:t>
      </w:r>
      <w:r w:rsidR="00235523">
        <w:t xml:space="preserve">, </w:t>
      </w:r>
      <w:r w:rsidR="0027666F" w:rsidRPr="006C5B94">
        <w:t>the tough approach of TEQSA has met with considerable opposition from some of the established universities that are not used to having to prove themselves to an external regulatory body.</w:t>
      </w:r>
      <w:r w:rsidR="00F47E15">
        <w:t xml:space="preserve"> </w:t>
      </w:r>
      <w:r w:rsidR="002633E5" w:rsidRPr="006C5B94">
        <w:t>Some of this will be teething problems but there has, quite rightly, been considerable dialogue bet</w:t>
      </w:r>
      <w:r w:rsidR="00404C9C">
        <w:t>ween the QAA and HEFCE in England</w:t>
      </w:r>
      <w:r w:rsidR="002633E5" w:rsidRPr="006C5B94">
        <w:t xml:space="preserve"> with TEQSA</w:t>
      </w:r>
      <w:r w:rsidR="00F046DB" w:rsidRPr="006C5B94">
        <w:t xml:space="preserve"> to see what lessons can be learnt on both sides</w:t>
      </w:r>
      <w:r w:rsidR="002633E5" w:rsidRPr="006C5B94">
        <w:t xml:space="preserve">. </w:t>
      </w:r>
    </w:p>
    <w:p w14:paraId="1C314C78" w14:textId="33985C60" w:rsidR="00C5354A" w:rsidRPr="006C5B94" w:rsidRDefault="00404C9C" w:rsidP="00EC7D1F">
      <w:r>
        <w:t>From the English</w:t>
      </w:r>
      <w:r w:rsidR="00C72A3E" w:rsidRPr="006C5B94">
        <w:t xml:space="preserve"> perspective it is helpful to consider whether TEQSA is the amalgamation of HEFCE and QAA as called for in the Browne Review in 2011, or at least whether it looks similar to the ‘meta-regulator’ role that many, including the </w:t>
      </w:r>
      <w:r w:rsidR="00A03EE2" w:rsidRPr="006C5B94">
        <w:t xml:space="preserve">UK </w:t>
      </w:r>
      <w:r w:rsidR="00C72A3E" w:rsidRPr="006C5B94">
        <w:t>HE Commission</w:t>
      </w:r>
      <w:r w:rsidR="00A03EE2" w:rsidRPr="006C5B94">
        <w:t xml:space="preserve"> </w:t>
      </w:r>
      <w:sdt>
        <w:sdtPr>
          <w:id w:val="-1627159419"/>
          <w:citation/>
        </w:sdtPr>
        <w:sdtEndPr/>
        <w:sdtContent>
          <w:r w:rsidR="00A03EE2" w:rsidRPr="006C5B94">
            <w:fldChar w:fldCharType="begin"/>
          </w:r>
          <w:r w:rsidR="00A03EE2" w:rsidRPr="006C5B94">
            <w:instrText xml:space="preserve"> CITATION HEC13 \l 2057 </w:instrText>
          </w:r>
          <w:r w:rsidR="00A03EE2" w:rsidRPr="006C5B94">
            <w:fldChar w:fldCharType="separate"/>
          </w:r>
          <w:r w:rsidR="00A03EE2" w:rsidRPr="006C5B94">
            <w:rPr>
              <w:noProof/>
            </w:rPr>
            <w:t>(Commission, 2013)</w:t>
          </w:r>
          <w:r w:rsidR="00A03EE2" w:rsidRPr="006C5B94">
            <w:fldChar w:fldCharType="end"/>
          </w:r>
        </w:sdtContent>
      </w:sdt>
      <w:r w:rsidR="00C72A3E" w:rsidRPr="006C5B94">
        <w:t>, have recommended for HEFCE in the post-2012 system.</w:t>
      </w:r>
      <w:r w:rsidR="00352899" w:rsidRPr="006C5B94">
        <w:t xml:space="preserve"> </w:t>
      </w:r>
      <w:r w:rsidR="00E90015" w:rsidRPr="006C5B94">
        <w:t xml:space="preserve">On closer inspection, it becomes clear that TEQSA is not an </w:t>
      </w:r>
      <w:r w:rsidR="00466A1D" w:rsidRPr="006C5B94">
        <w:t>amalgamation of HEFCE and QAA because</w:t>
      </w:r>
      <w:r w:rsidR="00E90015" w:rsidRPr="006C5B94">
        <w:t xml:space="preserve"> it has no funding role and </w:t>
      </w:r>
      <w:r w:rsidR="00466A1D" w:rsidRPr="006C5B94">
        <w:t xml:space="preserve">because it </w:t>
      </w:r>
      <w:r w:rsidR="00E90015" w:rsidRPr="006C5B94">
        <w:t>doesn’t undertake the broader quality improvement activity that QAA is known for, which is made possible through the co-regulatory set up in the UK.</w:t>
      </w:r>
      <w:r w:rsidR="00235523">
        <w:t xml:space="preserve"> </w:t>
      </w:r>
      <w:r w:rsidR="00235523" w:rsidRPr="00235523">
        <w:t>Indeed, this broader quality improvement role was a feature of TEQSA’s predecessor the Australian Universities Quality Agency which has been lost in TEQSA’s tougher quality and standards regulation.</w:t>
      </w:r>
    </w:p>
    <w:p w14:paraId="2A4F5F87" w14:textId="77777777" w:rsidR="00E90015" w:rsidRDefault="00F51B7A" w:rsidP="00EC7D1F">
      <w:r w:rsidRPr="006C5B94">
        <w:t xml:space="preserve">TEQSA </w:t>
      </w:r>
      <w:r w:rsidR="00C5354A">
        <w:t>does, however, provide</w:t>
      </w:r>
      <w:r w:rsidRPr="006C5B94">
        <w:t xml:space="preserve"> a useful demonstration of what a </w:t>
      </w:r>
      <w:r w:rsidR="00D23E5A" w:rsidRPr="006C5B94">
        <w:t>single national regulatory body</w:t>
      </w:r>
      <w:r w:rsidRPr="006C5B94">
        <w:t xml:space="preserve"> might look like – one that has regulatory responsibility for all HE providers right across the board. TEQSA takes a risk-based approach and is committed to the principle of app</w:t>
      </w:r>
      <w:r w:rsidR="00D23E5A" w:rsidRPr="006C5B94">
        <w:t>ropriate, necessary regulation;</w:t>
      </w:r>
      <w:r w:rsidRPr="006C5B94">
        <w:t xml:space="preserve"> a differentiated approach rather than a ‘level playing field’ or ‘one size fits all’ approach, which so much of the current debate is focussed on in England.</w:t>
      </w:r>
    </w:p>
    <w:p w14:paraId="42107FE8" w14:textId="77777777" w:rsidR="00E20C0B" w:rsidRDefault="00E20C0B" w:rsidP="00E20C0B">
      <w:r>
        <w:t>The English system also lacks any equivalent to the Australian version of course accreditation. This is a really significant part of the regulation framework in Australia, as is the capacity to assess and grant an application for self-accrediting authority. Despite the rampant increase of franchise delivery of programmes in England, QAA does not have the authority to examine individual courses in the current system – this may need to change.</w:t>
      </w:r>
    </w:p>
    <w:p w14:paraId="0E07B429" w14:textId="7A1E93A9" w:rsidR="00E20C0B" w:rsidRDefault="00E20C0B" w:rsidP="00E20C0B">
      <w:r>
        <w:t xml:space="preserve">The prescription in Australia, through the agreed minimum standards, is that universities (and any provider / accrediting body for that matter) must take responsibility for ensuring that any third party delivering any part of a course or award in the name of, or accredited by, the </w:t>
      </w:r>
      <w:r w:rsidR="0030321B">
        <w:t xml:space="preserve">principal </w:t>
      </w:r>
      <w:r>
        <w:t>must ensure the third party meets all of the standards and offers equivalent quality.</w:t>
      </w:r>
      <w:r w:rsidR="00F47E15">
        <w:t xml:space="preserve"> </w:t>
      </w:r>
      <w:r>
        <w:t xml:space="preserve">Unlike in England, Australia looks to the original provider / accrediting body (the </w:t>
      </w:r>
      <w:r w:rsidR="0030321B">
        <w:t>principal</w:t>
      </w:r>
      <w:r>
        <w:t>) directly to uphold the standards or face sanction itself. If the third party provider wants instead or additionally to enter the HE system itself, then it goes through the rigorous registration front gate and has to have its courses individually assessed and accredited by TEQSA.</w:t>
      </w:r>
      <w:r w:rsidR="00F47E15">
        <w:t xml:space="preserve"> </w:t>
      </w:r>
      <w:r>
        <w:t>The Australian framework does not put the onus on the regulator to chase directly the third parties used or franchised by universities. This is an important feature. It leans heavily on the self-regulatory capacity of universities (or accrediting bodies) but with the spectre of external scrutiny and accountability for the same high standards.</w:t>
      </w:r>
    </w:p>
    <w:p w14:paraId="58974A4E" w14:textId="00FE8411" w:rsidR="00E20C0B" w:rsidRPr="006C5B94" w:rsidRDefault="008416C2" w:rsidP="00E20C0B">
      <w:r>
        <w:t>B</w:t>
      </w:r>
      <w:r w:rsidR="00E20C0B">
        <w:t xml:space="preserve">oth QAA and HEFCE would need significant changes to their regulatory authority in order to operate in a similar way in the English system and this would require a </w:t>
      </w:r>
      <w:r w:rsidR="00AF0A97">
        <w:t>change of primary legislation</w:t>
      </w:r>
      <w:r w:rsidR="00AF0A97">
        <w:rPr>
          <w:rStyle w:val="FootnoteReference"/>
        </w:rPr>
        <w:footnoteReference w:id="18"/>
      </w:r>
      <w:r>
        <w:t>.</w:t>
      </w:r>
      <w:r w:rsidR="00F47E15">
        <w:t xml:space="preserve"> </w:t>
      </w:r>
      <w:r>
        <w:t xml:space="preserve">QAA may also need some adjustments to </w:t>
      </w:r>
      <w:r w:rsidR="00E20C0B">
        <w:t xml:space="preserve">its ownership if it is to </w:t>
      </w:r>
      <w:r w:rsidR="00D5173D">
        <w:t>co-regulate</w:t>
      </w:r>
      <w:r w:rsidR="00E20C0B">
        <w:t xml:space="preserve"> this new sector.</w:t>
      </w:r>
    </w:p>
    <w:tbl>
      <w:tblPr>
        <w:tblStyle w:val="LightShading-Accent2"/>
        <w:tblpPr w:leftFromText="180" w:rightFromText="180" w:vertAnchor="text" w:horzAnchor="margin" w:tblpY="274"/>
        <w:tblW w:w="0" w:type="auto"/>
        <w:tblLook w:val="04A0" w:firstRow="1" w:lastRow="0" w:firstColumn="1" w:lastColumn="0" w:noHBand="0" w:noVBand="1"/>
      </w:tblPr>
      <w:tblGrid>
        <w:gridCol w:w="9264"/>
      </w:tblGrid>
      <w:tr w:rsidR="00897732" w:rsidRPr="006C5B94" w14:paraId="112F0621" w14:textId="77777777" w:rsidTr="00E36E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3F0A8221" w14:textId="2F1B42AC" w:rsidR="00897732" w:rsidRPr="006C5B94" w:rsidRDefault="00C0666B" w:rsidP="00235523">
            <w:pPr>
              <w:ind w:left="142"/>
            </w:pPr>
            <w:r>
              <w:t>18</w:t>
            </w:r>
            <w:r w:rsidR="00897732" w:rsidRPr="006C5B94">
              <w:t xml:space="preserve">/ In an English system that is about to experience further growth, </w:t>
            </w:r>
            <w:r w:rsidR="0049730C" w:rsidRPr="006C5B94">
              <w:t xml:space="preserve">TEQSA provides a useful example of a national regulator that has proportionate regulatory engagement with all HE providers, whether </w:t>
            </w:r>
            <w:r w:rsidR="00235523">
              <w:t>receiving</w:t>
            </w:r>
            <w:r w:rsidR="0049730C" w:rsidRPr="006C5B94">
              <w:t xml:space="preserve"> public funding, fee loans or otherwise.</w:t>
            </w:r>
            <w:r w:rsidR="00F47E15">
              <w:t xml:space="preserve"> </w:t>
            </w:r>
            <w:r w:rsidR="00F51B7A" w:rsidRPr="006C5B94">
              <w:t xml:space="preserve">TEQSA take a differentiated, risk-based approach rather than a ‘level playing field’ approach. </w:t>
            </w:r>
            <w:r w:rsidR="006943EA">
              <w:t xml:space="preserve">Australia also looks to the original providers / accrediting body directly to uphold standards at franchise providers or face sanction itself – an important lesson for England with the rampant growth of franchise providers. </w:t>
            </w:r>
            <w:r w:rsidR="00AA4A4C" w:rsidRPr="006C5B94">
              <w:t>This is a model that HEFCE could adopt without</w:t>
            </w:r>
            <w:r w:rsidR="006943EA">
              <w:t>, necessarily,</w:t>
            </w:r>
            <w:r w:rsidR="00AA4A4C" w:rsidRPr="006C5B94">
              <w:t xml:space="preserve"> having to change</w:t>
            </w:r>
            <w:r w:rsidR="000048E1" w:rsidRPr="006C5B94">
              <w:t xml:space="preserve"> the position or </w:t>
            </w:r>
            <w:r w:rsidR="00AA4A4C" w:rsidRPr="006C5B94">
              <w:t>co-regulatory function of QAA</w:t>
            </w:r>
            <w:r w:rsidR="00053A40">
              <w:t xml:space="preserve"> but it would require changes to primary legislation</w:t>
            </w:r>
            <w:r w:rsidR="00AA4A4C" w:rsidRPr="006C5B94">
              <w:t>.</w:t>
            </w:r>
          </w:p>
        </w:tc>
      </w:tr>
    </w:tbl>
    <w:p w14:paraId="540AE72B" w14:textId="77777777" w:rsidR="00897732" w:rsidRPr="006C5B94" w:rsidRDefault="00897732" w:rsidP="00EC7D1F"/>
    <w:p w14:paraId="41534BE4" w14:textId="77777777" w:rsidR="00783B86" w:rsidRPr="006C5B94" w:rsidRDefault="00783B86">
      <w:pPr>
        <w:rPr>
          <w:rFonts w:asciiTheme="majorHAnsi" w:eastAsiaTheme="majorEastAsia" w:hAnsiTheme="majorHAnsi" w:cstheme="majorBidi"/>
          <w:b/>
          <w:bCs/>
          <w:color w:val="4F81BD" w:themeColor="accent1"/>
          <w:sz w:val="26"/>
          <w:szCs w:val="26"/>
        </w:rPr>
      </w:pPr>
      <w:r w:rsidRPr="006C5B94">
        <w:br w:type="page"/>
      </w:r>
    </w:p>
    <w:p w14:paraId="3393398E" w14:textId="77777777" w:rsidR="008C3AAA" w:rsidRPr="006C5B94" w:rsidRDefault="00783B86" w:rsidP="00687787">
      <w:pPr>
        <w:pStyle w:val="Heading2"/>
      </w:pPr>
      <w:bookmarkStart w:id="29" w:name="_Toc259883116"/>
      <w:r w:rsidRPr="006C5B94">
        <w:t>Is</w:t>
      </w:r>
      <w:r w:rsidR="00687787" w:rsidRPr="006C5B94">
        <w:t xml:space="preserve"> co-regulation </w:t>
      </w:r>
      <w:r w:rsidRPr="006C5B94">
        <w:t>a better approach</w:t>
      </w:r>
      <w:r w:rsidR="00687787" w:rsidRPr="006C5B94">
        <w:t>?</w:t>
      </w:r>
      <w:bookmarkEnd w:id="29"/>
    </w:p>
    <w:p w14:paraId="3213BA41" w14:textId="7E33B88C" w:rsidR="00783B86" w:rsidRPr="006C5B94" w:rsidRDefault="00783B86" w:rsidP="00B165AA">
      <w:r w:rsidRPr="006C5B94">
        <w:t xml:space="preserve">From the Australian perspective, the question is whether they might have something to learn from a more settled approach to co-regulation in England. </w:t>
      </w:r>
      <w:r w:rsidR="00D23E5A" w:rsidRPr="006C5B94">
        <w:t xml:space="preserve">Co-regulation is a system by which the QAA and universities have a shared agreement to regulate and improve standards. </w:t>
      </w:r>
      <w:r w:rsidRPr="006C5B94">
        <w:t xml:space="preserve">For providers </w:t>
      </w:r>
      <w:r w:rsidR="00235523">
        <w:t>receiving</w:t>
      </w:r>
      <w:r w:rsidRPr="006C5B94">
        <w:t xml:space="preserve"> public funding, it is HEFCE that carries regulatory responsibility but HEFCE commissions the QAA to monitor and improve quality and standards. QAA does so through co-regulation. Co-regulation i</w:t>
      </w:r>
      <w:r w:rsidR="00235523">
        <w:t>s more robust than simple</w:t>
      </w:r>
      <w:r w:rsidR="00D23E5A" w:rsidRPr="006C5B94">
        <w:t xml:space="preserve"> self-regulation because the QAA has certain powers to intercede where there is poor performance</w:t>
      </w:r>
      <w:r w:rsidR="00DE6380">
        <w:t>,</w:t>
      </w:r>
      <w:r w:rsidR="00D23E5A" w:rsidRPr="006C5B94">
        <w:t xml:space="preserve"> but the principle of shared responsibility and shared </w:t>
      </w:r>
      <w:r w:rsidRPr="006C5B94">
        <w:t>ownership of standards avoids some of the ownership issues that are</w:t>
      </w:r>
      <w:r w:rsidR="00D23E5A" w:rsidRPr="006C5B94">
        <w:t xml:space="preserve"> being experienced in Australia at present. </w:t>
      </w:r>
    </w:p>
    <w:p w14:paraId="39DD15E6" w14:textId="4006AC27" w:rsidR="00783B86" w:rsidRPr="006C5B94" w:rsidRDefault="00D97AF2" w:rsidP="00B165AA">
      <w:r>
        <w:t>Co-regulation is not a straight</w:t>
      </w:r>
      <w:r w:rsidR="00783B86" w:rsidRPr="006C5B94">
        <w:t>forward solution in a system that is not used to having a national regulator. Co-regulation was developed and has been refined over a long period of time in the UK but it is certainly true to say that it has reached a stage where QAA’s approach might be a useful model in some regards</w:t>
      </w:r>
      <w:r w:rsidR="003B0F89">
        <w:t>,</w:t>
      </w:r>
      <w:r w:rsidR="00783B86" w:rsidRPr="006C5B94">
        <w:t xml:space="preserve"> given some of the teething problems TEQSA is experiencing in Australia.</w:t>
      </w:r>
    </w:p>
    <w:tbl>
      <w:tblPr>
        <w:tblStyle w:val="LightShading-Accent2"/>
        <w:tblpPr w:leftFromText="180" w:rightFromText="180" w:vertAnchor="text" w:horzAnchor="margin" w:tblpY="274"/>
        <w:tblW w:w="0" w:type="auto"/>
        <w:tblLook w:val="04A0" w:firstRow="1" w:lastRow="0" w:firstColumn="1" w:lastColumn="0" w:noHBand="0" w:noVBand="1"/>
      </w:tblPr>
      <w:tblGrid>
        <w:gridCol w:w="9264"/>
      </w:tblGrid>
      <w:tr w:rsidR="00897732" w:rsidRPr="006C5B94" w14:paraId="7DAFE5F1" w14:textId="77777777" w:rsidTr="008977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4" w:type="dxa"/>
          </w:tcPr>
          <w:p w14:paraId="719DDA90" w14:textId="645D7F7A" w:rsidR="00897732" w:rsidRPr="006C5B94" w:rsidRDefault="00C0666B" w:rsidP="00897732">
            <w:pPr>
              <w:ind w:left="142"/>
            </w:pPr>
            <w:r>
              <w:t>19</w:t>
            </w:r>
            <w:r w:rsidR="00897732" w:rsidRPr="006C5B94">
              <w:t>/ From the Australian perspective, perhaps there is something for Australia to learn from the UK’s approach to co-regulation of standards – a method that seems to be a little more harmonious but, so far, equally effective at ensuring standards and protecting students.</w:t>
            </w:r>
          </w:p>
          <w:p w14:paraId="4FD6C77D" w14:textId="77777777" w:rsidR="00897732" w:rsidRPr="006C5B94" w:rsidRDefault="00897732" w:rsidP="00897732"/>
        </w:tc>
      </w:tr>
    </w:tbl>
    <w:p w14:paraId="60153F17" w14:textId="77777777" w:rsidR="008C3AAA" w:rsidRPr="006C5B94" w:rsidRDefault="008C3AAA" w:rsidP="00EC7D1F"/>
    <w:p w14:paraId="2A224EF7" w14:textId="77777777" w:rsidR="00D247B8" w:rsidRPr="006C5B94" w:rsidRDefault="00D247B8">
      <w:pPr>
        <w:rPr>
          <w:b/>
        </w:rPr>
      </w:pPr>
      <w:r w:rsidRPr="006C5B94">
        <w:rPr>
          <w:b/>
        </w:rPr>
        <w:br w:type="page"/>
      </w:r>
    </w:p>
    <w:p w14:paraId="013C2C02" w14:textId="77777777" w:rsidR="004976B3" w:rsidRPr="006C5B94" w:rsidRDefault="0019645A" w:rsidP="0019645A">
      <w:pPr>
        <w:pStyle w:val="Heading1"/>
      </w:pPr>
      <w:bookmarkStart w:id="30" w:name="_Toc259883117"/>
      <w:r w:rsidRPr="006C5B94">
        <w:t>Chapter 8/ A</w:t>
      </w:r>
      <w:r w:rsidR="004976B3" w:rsidRPr="006C5B94">
        <w:t xml:space="preserve">reas </w:t>
      </w:r>
      <w:r w:rsidRPr="006C5B94">
        <w:t>that deserve further</w:t>
      </w:r>
      <w:r w:rsidR="004976B3" w:rsidRPr="006C5B94">
        <w:t xml:space="preserve"> compari</w:t>
      </w:r>
      <w:r w:rsidRPr="006C5B94">
        <w:t>son</w:t>
      </w:r>
      <w:bookmarkEnd w:id="30"/>
    </w:p>
    <w:p w14:paraId="7C70E6C5" w14:textId="2F9FBD28" w:rsidR="00336EB9" w:rsidRPr="006C5B94" w:rsidRDefault="00336EB9" w:rsidP="00336EB9">
      <w:r w:rsidRPr="006C5B94">
        <w:t>There are some significant areas that deserve further comparison: the student support system</w:t>
      </w:r>
      <w:r w:rsidR="0030321B">
        <w:t>;</w:t>
      </w:r>
      <w:r w:rsidRPr="006C5B94">
        <w:t xml:space="preserve"> </w:t>
      </w:r>
      <w:r w:rsidR="0030321B">
        <w:t xml:space="preserve">the </w:t>
      </w:r>
      <w:r w:rsidRPr="006C5B94">
        <w:t>student visa system</w:t>
      </w:r>
      <w:r w:rsidR="0030321B">
        <w:t>;</w:t>
      </w:r>
      <w:r w:rsidRPr="006C5B94">
        <w:t xml:space="preserve"> research impact</w:t>
      </w:r>
      <w:r w:rsidR="0030321B">
        <w:t>;</w:t>
      </w:r>
      <w:r w:rsidR="00AE20ED">
        <w:t xml:space="preserve"> </w:t>
      </w:r>
      <w:r w:rsidR="0030321B">
        <w:t xml:space="preserve">the </w:t>
      </w:r>
      <w:r w:rsidR="00AE20ED">
        <w:t>innovation ecosystem</w:t>
      </w:r>
      <w:r w:rsidR="0030321B">
        <w:t xml:space="preserve">; </w:t>
      </w:r>
      <w:r w:rsidR="00AE20ED">
        <w:t>doctoral training centres</w:t>
      </w:r>
      <w:r w:rsidR="0030321B">
        <w:t>;</w:t>
      </w:r>
      <w:r w:rsidRPr="006C5B94">
        <w:t xml:space="preserve"> open access</w:t>
      </w:r>
      <w:r w:rsidR="0030321B">
        <w:t>;</w:t>
      </w:r>
      <w:r w:rsidRPr="006C5B94">
        <w:t xml:space="preserve"> and </w:t>
      </w:r>
      <w:r w:rsidR="0030321B">
        <w:t xml:space="preserve">the </w:t>
      </w:r>
      <w:r w:rsidRPr="006C5B94">
        <w:t>future of the research landscape more widely. In each of these areas, the questions facing both countries are remarkably similar – and the approach both similar and yet different enough to warrant closer inspection.</w:t>
      </w:r>
    </w:p>
    <w:p w14:paraId="12520D8E" w14:textId="13036AAB" w:rsidR="00BE332C" w:rsidRPr="006C5B94" w:rsidRDefault="00BE332C" w:rsidP="00BE332C">
      <w:r w:rsidRPr="006C5B94">
        <w:t xml:space="preserve">There are many reasons </w:t>
      </w:r>
      <w:r w:rsidR="003440F4">
        <w:t>why</w:t>
      </w:r>
      <w:r w:rsidR="003440F4" w:rsidRPr="006C5B94">
        <w:t xml:space="preserve"> </w:t>
      </w:r>
      <w:r w:rsidR="0030321B">
        <w:t>England</w:t>
      </w:r>
      <w:r w:rsidR="0030321B" w:rsidRPr="006C5B94">
        <w:t xml:space="preserve"> </w:t>
      </w:r>
      <w:r w:rsidRPr="006C5B94">
        <w:t xml:space="preserve">would benefit from a closer policy dialogue </w:t>
      </w:r>
      <w:r w:rsidR="0030321B">
        <w:t xml:space="preserve">with </w:t>
      </w:r>
      <w:r w:rsidRPr="006C5B94">
        <w:t>Australia</w:t>
      </w:r>
      <w:r w:rsidR="00A8652F" w:rsidRPr="006C5B94">
        <w:t xml:space="preserve">. There is </w:t>
      </w:r>
      <w:r w:rsidR="0030321B">
        <w:t xml:space="preserve">already </w:t>
      </w:r>
      <w:r w:rsidR="00A8652F" w:rsidRPr="006C5B94">
        <w:t xml:space="preserve">an active dialogue and </w:t>
      </w:r>
      <w:r w:rsidR="001E56A6" w:rsidRPr="006C5B94">
        <w:t xml:space="preserve">a </w:t>
      </w:r>
      <w:r w:rsidR="00A8652F" w:rsidRPr="006C5B94">
        <w:t>M</w:t>
      </w:r>
      <w:r w:rsidR="001E56A6" w:rsidRPr="006C5B94">
        <w:t xml:space="preserve">emorandum </w:t>
      </w:r>
      <w:r w:rsidR="00A8652F" w:rsidRPr="006C5B94">
        <w:t>o</w:t>
      </w:r>
      <w:r w:rsidR="001E56A6" w:rsidRPr="006C5B94">
        <w:t xml:space="preserve">f </w:t>
      </w:r>
      <w:r w:rsidR="00A8652F" w:rsidRPr="006C5B94">
        <w:t>U</w:t>
      </w:r>
      <w:r w:rsidR="001E56A6" w:rsidRPr="006C5B94">
        <w:t>nderstanding</w:t>
      </w:r>
      <w:r w:rsidR="00A8652F" w:rsidRPr="006C5B94">
        <w:t xml:space="preserve"> between Universities Australia and Universities UK as well as between the Australian Technology Network of universities (ATN) and University Alliance</w:t>
      </w:r>
      <w:r w:rsidRPr="006C5B94">
        <w:t xml:space="preserve">. </w:t>
      </w:r>
      <w:r w:rsidR="00336EB9" w:rsidRPr="006C5B94">
        <w:t xml:space="preserve">I hope this report, amongst others, will encourage a growing sense of cooperation, collaboration and shared learning between these two countries. </w:t>
      </w:r>
      <w:r w:rsidRPr="006C5B94">
        <w:t>By learning from each other and collaborating more effectively, we ca</w:t>
      </w:r>
      <w:r w:rsidR="00B25C91" w:rsidRPr="006C5B94">
        <w:t>n only improve our respective higher education</w:t>
      </w:r>
      <w:r w:rsidRPr="006C5B94">
        <w:t xml:space="preserve"> systems.</w:t>
      </w:r>
    </w:p>
    <w:p w14:paraId="70DEB482" w14:textId="77777777" w:rsidR="00042201" w:rsidRPr="006C5B94" w:rsidRDefault="00042201">
      <w:pPr>
        <w:rPr>
          <w:b/>
        </w:rPr>
      </w:pPr>
    </w:p>
    <w:p w14:paraId="2ABFDAB6" w14:textId="77777777" w:rsidR="00610DBE" w:rsidRPr="006C5B94" w:rsidRDefault="00610DBE">
      <w:pPr>
        <w:rPr>
          <w:b/>
        </w:rPr>
      </w:pPr>
      <w:r w:rsidRPr="006C5B94">
        <w:rPr>
          <w:b/>
        </w:rPr>
        <w:br w:type="page"/>
      </w:r>
    </w:p>
    <w:p w14:paraId="442D2121" w14:textId="2848F00C" w:rsidR="00F164FA" w:rsidRPr="006C5B94" w:rsidRDefault="00610DBE" w:rsidP="003153C2">
      <w:pPr>
        <w:pStyle w:val="Heading1"/>
      </w:pPr>
      <w:bookmarkStart w:id="31" w:name="_Toc259883118"/>
      <w:r w:rsidRPr="006C5B94">
        <w:t>Bibliography</w:t>
      </w:r>
      <w:bookmarkEnd w:id="31"/>
    </w:p>
    <w:p w14:paraId="125CCBFA" w14:textId="77777777" w:rsidR="007E0B00" w:rsidRPr="006C5B94" w:rsidRDefault="00B60BA8" w:rsidP="007E0B00">
      <w:pPr>
        <w:pStyle w:val="Bibliography"/>
        <w:ind w:left="720" w:hanging="720"/>
        <w:rPr>
          <w:noProof/>
        </w:rPr>
      </w:pPr>
      <w:r w:rsidRPr="006C5B94">
        <w:fldChar w:fldCharType="begin"/>
      </w:r>
      <w:r w:rsidRPr="006C5B94">
        <w:instrText xml:space="preserve"> BIBLIOGRAPHY  \l 2057 </w:instrText>
      </w:r>
      <w:r w:rsidRPr="006C5B94">
        <w:fldChar w:fldCharType="separate"/>
      </w:r>
      <w:r w:rsidR="007E0B00" w:rsidRPr="006C5B94">
        <w:rPr>
          <w:noProof/>
        </w:rPr>
        <w:t xml:space="preserve">Armstrong, S., &amp; Batten, A. (2011). Issues and Overview: the economics of higher education and its financing arrangements. In S. Armstrong, &amp; B. Chapman, </w:t>
      </w:r>
      <w:r w:rsidR="007E0B00" w:rsidRPr="006C5B94">
        <w:rPr>
          <w:i/>
          <w:iCs/>
          <w:noProof/>
        </w:rPr>
        <w:t>Financing higher education and economic development in East Asia</w:t>
      </w:r>
      <w:r w:rsidR="007E0B00" w:rsidRPr="006C5B94">
        <w:rPr>
          <w:noProof/>
        </w:rPr>
        <w:t xml:space="preserve"> (pp. 1-4). Canberra: Australian National University.</w:t>
      </w:r>
    </w:p>
    <w:p w14:paraId="0D09F942" w14:textId="77777777" w:rsidR="007E0B00" w:rsidRPr="006C5B94" w:rsidRDefault="007E0B00" w:rsidP="007E0B00">
      <w:pPr>
        <w:pStyle w:val="Bibliography"/>
        <w:ind w:left="720" w:hanging="720"/>
        <w:rPr>
          <w:noProof/>
        </w:rPr>
      </w:pPr>
      <w:r w:rsidRPr="006C5B94">
        <w:rPr>
          <w:noProof/>
        </w:rPr>
        <w:t xml:space="preserve">Armstrong, S., &amp; Chapman, B. (2011). </w:t>
      </w:r>
      <w:r w:rsidRPr="006C5B94">
        <w:rPr>
          <w:i/>
          <w:iCs/>
          <w:noProof/>
        </w:rPr>
        <w:t>Financing higher education and economic development in East Asia.</w:t>
      </w:r>
      <w:r w:rsidRPr="006C5B94">
        <w:rPr>
          <w:noProof/>
        </w:rPr>
        <w:t xml:space="preserve"> Canberra: Australia National University.</w:t>
      </w:r>
    </w:p>
    <w:p w14:paraId="52AC1EBC" w14:textId="77777777" w:rsidR="007E0B00" w:rsidRPr="006C5B94" w:rsidRDefault="007E0B00" w:rsidP="007E0B00">
      <w:pPr>
        <w:pStyle w:val="Bibliography"/>
        <w:ind w:left="720" w:hanging="720"/>
        <w:rPr>
          <w:noProof/>
        </w:rPr>
      </w:pPr>
      <w:r w:rsidRPr="006C5B94">
        <w:rPr>
          <w:noProof/>
        </w:rPr>
        <w:t xml:space="preserve">Aston, L., &amp; Shutt, L. (2010). </w:t>
      </w:r>
      <w:r w:rsidRPr="006C5B94">
        <w:rPr>
          <w:i/>
          <w:iCs/>
          <w:noProof/>
        </w:rPr>
        <w:t>The impact of fees, a review of the evidence.</w:t>
      </w:r>
      <w:r w:rsidRPr="006C5B94">
        <w:rPr>
          <w:noProof/>
        </w:rPr>
        <w:t xml:space="preserve"> London: University Alliance.</w:t>
      </w:r>
    </w:p>
    <w:p w14:paraId="3023F042" w14:textId="77777777" w:rsidR="007E0B00" w:rsidRPr="006C5B94" w:rsidRDefault="007E0B00" w:rsidP="007E0B00">
      <w:pPr>
        <w:pStyle w:val="Bibliography"/>
        <w:ind w:left="720" w:hanging="720"/>
        <w:rPr>
          <w:noProof/>
        </w:rPr>
      </w:pPr>
      <w:r w:rsidRPr="006C5B94">
        <w:rPr>
          <w:noProof/>
        </w:rPr>
        <w:t xml:space="preserve">Barr, N. (1989). The White Paper on Student Loans. </w:t>
      </w:r>
      <w:r w:rsidRPr="006C5B94">
        <w:rPr>
          <w:i/>
          <w:iCs/>
          <w:noProof/>
        </w:rPr>
        <w:t>Journal of Social Policy</w:t>
      </w:r>
      <w:r w:rsidRPr="006C5B94">
        <w:rPr>
          <w:noProof/>
        </w:rPr>
        <w:t>, 409-417.</w:t>
      </w:r>
    </w:p>
    <w:p w14:paraId="6DC4E545" w14:textId="77777777" w:rsidR="007E0B00" w:rsidRPr="006C5B94" w:rsidRDefault="007E0B00" w:rsidP="007E0B00">
      <w:pPr>
        <w:pStyle w:val="Bibliography"/>
        <w:ind w:left="720" w:hanging="720"/>
        <w:rPr>
          <w:noProof/>
        </w:rPr>
      </w:pPr>
      <w:r w:rsidRPr="006C5B94">
        <w:rPr>
          <w:noProof/>
        </w:rPr>
        <w:t xml:space="preserve">Barr, N. (1998). Higher Education in Australia and Britain: What Lessons? </w:t>
      </w:r>
      <w:r w:rsidRPr="006C5B94">
        <w:rPr>
          <w:i/>
          <w:iCs/>
          <w:noProof/>
        </w:rPr>
        <w:t>The Australian Economic Review</w:t>
      </w:r>
      <w:r w:rsidRPr="006C5B94">
        <w:rPr>
          <w:noProof/>
        </w:rPr>
        <w:t>, 179-88.</w:t>
      </w:r>
    </w:p>
    <w:p w14:paraId="359C8B57" w14:textId="77777777" w:rsidR="007E0B00" w:rsidRPr="006C5B94" w:rsidRDefault="007E0B00" w:rsidP="007E0B00">
      <w:pPr>
        <w:pStyle w:val="Bibliography"/>
        <w:ind w:left="720" w:hanging="720"/>
        <w:rPr>
          <w:noProof/>
        </w:rPr>
      </w:pPr>
      <w:r w:rsidRPr="006C5B94">
        <w:rPr>
          <w:noProof/>
        </w:rPr>
        <w:t xml:space="preserve">Barr, N. (2001). </w:t>
      </w:r>
      <w:r w:rsidRPr="006C5B94">
        <w:rPr>
          <w:i/>
          <w:iCs/>
          <w:noProof/>
        </w:rPr>
        <w:t>The welfare state as a piggy bank.</w:t>
      </w:r>
      <w:r w:rsidRPr="006C5B94">
        <w:rPr>
          <w:noProof/>
        </w:rPr>
        <w:t xml:space="preserve"> Oxford: Oxford University Press.</w:t>
      </w:r>
    </w:p>
    <w:p w14:paraId="519A6B6F" w14:textId="77777777" w:rsidR="007E0B00" w:rsidRPr="006C5B94" w:rsidRDefault="007E0B00" w:rsidP="007E0B00">
      <w:pPr>
        <w:pStyle w:val="Bibliography"/>
        <w:ind w:left="720" w:hanging="720"/>
        <w:rPr>
          <w:noProof/>
        </w:rPr>
      </w:pPr>
      <w:r w:rsidRPr="006C5B94">
        <w:rPr>
          <w:noProof/>
        </w:rPr>
        <w:t xml:space="preserve">Barr, N. (2001). </w:t>
      </w:r>
      <w:r w:rsidRPr="006C5B94">
        <w:rPr>
          <w:i/>
          <w:iCs/>
          <w:noProof/>
        </w:rPr>
        <w:t>The Welfare State as Piggy Bank.</w:t>
      </w:r>
      <w:r w:rsidRPr="006C5B94">
        <w:rPr>
          <w:noProof/>
        </w:rPr>
        <w:t xml:space="preserve"> Oxford: OUP.</w:t>
      </w:r>
    </w:p>
    <w:p w14:paraId="2C187191" w14:textId="77777777" w:rsidR="007E0B00" w:rsidRPr="006C5B94" w:rsidRDefault="007E0B00" w:rsidP="007E0B00">
      <w:pPr>
        <w:pStyle w:val="Bibliography"/>
        <w:ind w:left="720" w:hanging="720"/>
        <w:rPr>
          <w:noProof/>
        </w:rPr>
      </w:pPr>
      <w:r w:rsidRPr="006C5B94">
        <w:rPr>
          <w:noProof/>
        </w:rPr>
        <w:t xml:space="preserve">Barr, N. (2004). Higher Education Funding. </w:t>
      </w:r>
      <w:r w:rsidRPr="006C5B94">
        <w:rPr>
          <w:i/>
          <w:iCs/>
          <w:noProof/>
        </w:rPr>
        <w:t>Oxford Review of Economic Policy</w:t>
      </w:r>
      <w:r w:rsidRPr="006C5B94">
        <w:rPr>
          <w:noProof/>
        </w:rPr>
        <w:t>, 264-282.</w:t>
      </w:r>
    </w:p>
    <w:p w14:paraId="40C9A543" w14:textId="77777777" w:rsidR="007E0B00" w:rsidRPr="006C5B94" w:rsidRDefault="007E0B00" w:rsidP="007E0B00">
      <w:pPr>
        <w:pStyle w:val="Bibliography"/>
        <w:ind w:left="720" w:hanging="720"/>
        <w:rPr>
          <w:noProof/>
        </w:rPr>
      </w:pPr>
      <w:r w:rsidRPr="006C5B94">
        <w:rPr>
          <w:noProof/>
        </w:rPr>
        <w:t xml:space="preserve">Barr, N. (2004). </w:t>
      </w:r>
      <w:r w:rsidRPr="006C5B94">
        <w:rPr>
          <w:i/>
          <w:iCs/>
          <w:noProof/>
        </w:rPr>
        <w:t>The economics of the welfare state</w:t>
      </w:r>
      <w:r w:rsidRPr="006C5B94">
        <w:rPr>
          <w:noProof/>
        </w:rPr>
        <w:t xml:space="preserve"> (Fourth Edition ed.). Oxford: Oxford University Press.</w:t>
      </w:r>
    </w:p>
    <w:p w14:paraId="12D5D029" w14:textId="77777777" w:rsidR="007E0B00" w:rsidRPr="006C5B94" w:rsidRDefault="007E0B00" w:rsidP="007E0B00">
      <w:pPr>
        <w:pStyle w:val="Bibliography"/>
        <w:ind w:left="720" w:hanging="720"/>
        <w:rPr>
          <w:noProof/>
        </w:rPr>
      </w:pPr>
      <w:r w:rsidRPr="006C5B94">
        <w:rPr>
          <w:noProof/>
        </w:rPr>
        <w:t xml:space="preserve">Barr, N. (2005). </w:t>
      </w:r>
      <w:r w:rsidRPr="006C5B94">
        <w:rPr>
          <w:i/>
          <w:iCs/>
          <w:noProof/>
        </w:rPr>
        <w:t>Financing Higher Education.</w:t>
      </w:r>
      <w:r w:rsidRPr="006C5B94">
        <w:rPr>
          <w:noProof/>
        </w:rPr>
        <w:t xml:space="preserve"> Washington D.C.: Finance and Development, an IMF publication.</w:t>
      </w:r>
    </w:p>
    <w:p w14:paraId="2F9F800D" w14:textId="77777777" w:rsidR="007E0B00" w:rsidRPr="006C5B94" w:rsidRDefault="007E0B00" w:rsidP="007E0B00">
      <w:pPr>
        <w:pStyle w:val="Bibliography"/>
        <w:ind w:left="720" w:hanging="720"/>
        <w:rPr>
          <w:noProof/>
        </w:rPr>
      </w:pPr>
      <w:r w:rsidRPr="006C5B94">
        <w:rPr>
          <w:noProof/>
        </w:rPr>
        <w:t xml:space="preserve">Barr, N. (2009). Financing higher education: lessons from economic theory and reform in England. </w:t>
      </w:r>
      <w:r w:rsidRPr="006C5B94">
        <w:rPr>
          <w:i/>
          <w:iCs/>
          <w:noProof/>
        </w:rPr>
        <w:t>Higher Education in Europe, 34</w:t>
      </w:r>
      <w:r w:rsidRPr="006C5B94">
        <w:rPr>
          <w:noProof/>
        </w:rPr>
        <w:t>(2), 201-209.</w:t>
      </w:r>
    </w:p>
    <w:p w14:paraId="15002D52" w14:textId="77777777" w:rsidR="007E0B00" w:rsidRPr="006C5B94" w:rsidRDefault="007E0B00" w:rsidP="007E0B00">
      <w:pPr>
        <w:pStyle w:val="Bibliography"/>
        <w:ind w:left="720" w:hanging="720"/>
        <w:rPr>
          <w:noProof/>
        </w:rPr>
      </w:pPr>
      <w:r w:rsidRPr="006C5B94">
        <w:rPr>
          <w:noProof/>
        </w:rPr>
        <w:t xml:space="preserve">Barr, N. (2010). </w:t>
      </w:r>
      <w:r w:rsidRPr="006C5B94">
        <w:rPr>
          <w:i/>
          <w:iCs/>
          <w:noProof/>
        </w:rPr>
        <w:t>Paying for higher education: what policies in what order?</w:t>
      </w:r>
      <w:r w:rsidRPr="006C5B94">
        <w:rPr>
          <w:noProof/>
        </w:rPr>
        <w:t xml:space="preserve"> London School of Economics and Social Science. London: LSE.</w:t>
      </w:r>
    </w:p>
    <w:p w14:paraId="42D757EA" w14:textId="77777777" w:rsidR="007E0B00" w:rsidRPr="006C5B94" w:rsidRDefault="007E0B00" w:rsidP="007E0B00">
      <w:pPr>
        <w:pStyle w:val="Bibliography"/>
        <w:ind w:left="720" w:hanging="720"/>
        <w:rPr>
          <w:noProof/>
        </w:rPr>
      </w:pPr>
      <w:r w:rsidRPr="006C5B94">
        <w:rPr>
          <w:noProof/>
        </w:rPr>
        <w:t xml:space="preserve">Barr, N. (2010). </w:t>
      </w:r>
      <w:r w:rsidRPr="006C5B94">
        <w:rPr>
          <w:i/>
          <w:iCs/>
          <w:noProof/>
        </w:rPr>
        <w:t>Paying for higher education: what policies, in what order?</w:t>
      </w:r>
      <w:r w:rsidRPr="006C5B94">
        <w:rPr>
          <w:noProof/>
        </w:rPr>
        <w:t xml:space="preserve"> London: Independent Review of Higher Education Funding and Student Finance.</w:t>
      </w:r>
    </w:p>
    <w:p w14:paraId="5A547D87" w14:textId="75F6DB0E" w:rsidR="007E0B00" w:rsidRPr="006C5B94" w:rsidRDefault="007E0B00" w:rsidP="007E0B00">
      <w:pPr>
        <w:pStyle w:val="Bibliography"/>
        <w:ind w:left="720" w:hanging="720"/>
        <w:rPr>
          <w:noProof/>
        </w:rPr>
      </w:pPr>
      <w:r w:rsidRPr="006C5B94">
        <w:rPr>
          <w:noProof/>
        </w:rPr>
        <w:t xml:space="preserve">Barr, N., &amp; Crawford, I. (2007). </w:t>
      </w:r>
      <w:r w:rsidRPr="006C5B94">
        <w:rPr>
          <w:i/>
          <w:iCs/>
          <w:noProof/>
        </w:rPr>
        <w:t>Financing higher education: answers from the UK.</w:t>
      </w:r>
      <w:r w:rsidR="003153C2">
        <w:rPr>
          <w:noProof/>
        </w:rPr>
        <w:t xml:space="preserve"> London: Routledge </w:t>
      </w:r>
    </w:p>
    <w:p w14:paraId="766095DB" w14:textId="77777777" w:rsidR="007E0B00" w:rsidRPr="006C5B94" w:rsidRDefault="007E0B00" w:rsidP="007E0B00">
      <w:pPr>
        <w:pStyle w:val="Bibliography"/>
        <w:ind w:left="720" w:hanging="720"/>
        <w:rPr>
          <w:noProof/>
        </w:rPr>
      </w:pPr>
      <w:r w:rsidRPr="006C5B94">
        <w:rPr>
          <w:noProof/>
        </w:rPr>
        <w:t xml:space="preserve">Barr, N., &amp; Johnston, A. (2010). </w:t>
      </w:r>
      <w:r w:rsidRPr="006C5B94">
        <w:rPr>
          <w:i/>
          <w:iCs/>
          <w:noProof/>
        </w:rPr>
        <w:t>Interest subsidies on student loans: a better class of drain.</w:t>
      </w:r>
      <w:r w:rsidRPr="006C5B94">
        <w:rPr>
          <w:noProof/>
        </w:rPr>
        <w:t xml:space="preserve"> London: LSE (online).</w:t>
      </w:r>
    </w:p>
    <w:p w14:paraId="7261EF63" w14:textId="77777777" w:rsidR="007E0B00" w:rsidRPr="006C5B94" w:rsidRDefault="007E0B00" w:rsidP="007E0B00">
      <w:pPr>
        <w:pStyle w:val="Bibliography"/>
        <w:ind w:left="720" w:hanging="720"/>
        <w:rPr>
          <w:noProof/>
        </w:rPr>
      </w:pPr>
      <w:r w:rsidRPr="006C5B94">
        <w:rPr>
          <w:noProof/>
        </w:rPr>
        <w:t xml:space="preserve">Barr, N., &amp; Shephard, N. (2010). </w:t>
      </w:r>
      <w:r w:rsidRPr="006C5B94">
        <w:rPr>
          <w:i/>
          <w:iCs/>
          <w:noProof/>
        </w:rPr>
        <w:t>Towards setting student numbers free.</w:t>
      </w:r>
      <w:r w:rsidRPr="006C5B94">
        <w:rPr>
          <w:noProof/>
        </w:rPr>
        <w:t xml:space="preserve"> London: LSE.</w:t>
      </w:r>
    </w:p>
    <w:p w14:paraId="32299A7B" w14:textId="77777777" w:rsidR="007E0B00" w:rsidRPr="006C5B94" w:rsidRDefault="007E0B00" w:rsidP="007E0B00">
      <w:pPr>
        <w:pStyle w:val="Bibliography"/>
        <w:ind w:left="720" w:hanging="720"/>
        <w:rPr>
          <w:noProof/>
        </w:rPr>
      </w:pPr>
      <w:r w:rsidRPr="006C5B94">
        <w:rPr>
          <w:noProof/>
        </w:rPr>
        <w:t xml:space="preserve">Barr, N., Berlinger, E., Dumcius, R., Gausas, S., Gilly, G., Macadie, H., et al. (2009). </w:t>
      </w:r>
      <w:r w:rsidRPr="006C5B94">
        <w:rPr>
          <w:i/>
          <w:iCs/>
          <w:noProof/>
        </w:rPr>
        <w:t>Feasability study on student lending, for the European Commission.</w:t>
      </w:r>
      <w:r w:rsidRPr="006C5B94">
        <w:rPr>
          <w:noProof/>
        </w:rPr>
        <w:t xml:space="preserve"> London: LSE.</w:t>
      </w:r>
    </w:p>
    <w:p w14:paraId="011841B8" w14:textId="77777777" w:rsidR="007E0B00" w:rsidRPr="006C5B94" w:rsidRDefault="007E0B00" w:rsidP="007E0B00">
      <w:pPr>
        <w:pStyle w:val="Bibliography"/>
        <w:ind w:left="720" w:hanging="720"/>
        <w:rPr>
          <w:noProof/>
        </w:rPr>
      </w:pPr>
      <w:r w:rsidRPr="006C5B94">
        <w:rPr>
          <w:noProof/>
        </w:rPr>
        <w:t xml:space="preserve">BIS. (2012). </w:t>
      </w:r>
      <w:r w:rsidRPr="006C5B94">
        <w:rPr>
          <w:i/>
          <w:iCs/>
          <w:noProof/>
        </w:rPr>
        <w:t>BIS performance indicators: funding per student in higher education.</w:t>
      </w:r>
      <w:r w:rsidRPr="006C5B94">
        <w:rPr>
          <w:noProof/>
        </w:rPr>
        <w:t xml:space="preserve"> London: Department for Business, Innovation and Skills.</w:t>
      </w:r>
    </w:p>
    <w:p w14:paraId="1A9DEBF0" w14:textId="77777777" w:rsidR="007E0B00" w:rsidRPr="006C5B94" w:rsidRDefault="007E0B00" w:rsidP="007E0B00">
      <w:pPr>
        <w:pStyle w:val="Bibliography"/>
        <w:ind w:left="720" w:hanging="720"/>
        <w:rPr>
          <w:noProof/>
        </w:rPr>
      </w:pPr>
      <w:r w:rsidRPr="006C5B94">
        <w:rPr>
          <w:noProof/>
        </w:rPr>
        <w:t>BIS. (2013</w:t>
      </w:r>
      <w:r w:rsidR="00A9209F">
        <w:rPr>
          <w:noProof/>
        </w:rPr>
        <w:t>a</w:t>
      </w:r>
      <w:r w:rsidRPr="006C5B94">
        <w:rPr>
          <w:noProof/>
        </w:rPr>
        <w:t xml:space="preserve">). </w:t>
      </w:r>
      <w:r w:rsidRPr="006C5B94">
        <w:rPr>
          <w:i/>
          <w:iCs/>
          <w:noProof/>
        </w:rPr>
        <w:t>Participation rates in higher education, Statistical First Release.</w:t>
      </w:r>
      <w:r w:rsidRPr="006C5B94">
        <w:rPr>
          <w:noProof/>
        </w:rPr>
        <w:t xml:space="preserve"> London: Department for Business, Innovation and Skills.</w:t>
      </w:r>
    </w:p>
    <w:p w14:paraId="37712397" w14:textId="77777777" w:rsidR="007E0B00" w:rsidRPr="006C5B94" w:rsidRDefault="007E0B00" w:rsidP="007E0B00">
      <w:pPr>
        <w:pStyle w:val="Bibliography"/>
        <w:ind w:left="720" w:hanging="720"/>
        <w:rPr>
          <w:noProof/>
        </w:rPr>
      </w:pPr>
      <w:r w:rsidRPr="006C5B94">
        <w:rPr>
          <w:noProof/>
        </w:rPr>
        <w:t>BIS. (2013</w:t>
      </w:r>
      <w:r w:rsidR="00A9209F">
        <w:rPr>
          <w:noProof/>
        </w:rPr>
        <w:t>b</w:t>
      </w:r>
      <w:r w:rsidRPr="006C5B94">
        <w:rPr>
          <w:noProof/>
        </w:rPr>
        <w:t xml:space="preserve">). </w:t>
      </w:r>
      <w:r w:rsidRPr="006C5B94">
        <w:rPr>
          <w:i/>
          <w:iCs/>
          <w:noProof/>
        </w:rPr>
        <w:t>Privately funded providers of higher education in the UK, BIS Research Paper Number 111.</w:t>
      </w:r>
      <w:r w:rsidRPr="006C5B94">
        <w:rPr>
          <w:noProof/>
        </w:rPr>
        <w:t xml:space="preserve"> London: Department for Business Innovation and Skills.</w:t>
      </w:r>
    </w:p>
    <w:p w14:paraId="0A6F2F30" w14:textId="167C030B" w:rsidR="007E0B00" w:rsidRPr="006C5B94" w:rsidRDefault="007E0B00" w:rsidP="007E0B00">
      <w:pPr>
        <w:pStyle w:val="Bibliography"/>
        <w:ind w:left="720" w:hanging="720"/>
        <w:rPr>
          <w:noProof/>
        </w:rPr>
      </w:pPr>
      <w:r w:rsidRPr="006C5B94">
        <w:rPr>
          <w:noProof/>
        </w:rPr>
        <w:t xml:space="preserve">Browne, J. (2010). </w:t>
      </w:r>
      <w:r w:rsidRPr="006C5B94">
        <w:rPr>
          <w:i/>
          <w:iCs/>
          <w:noProof/>
        </w:rPr>
        <w:t>Securing a sustainable future for higher education: an independent review of higher education and student finance.</w:t>
      </w:r>
      <w:r w:rsidR="003153C2">
        <w:rPr>
          <w:noProof/>
        </w:rPr>
        <w:t xml:space="preserve"> London: Dep</w:t>
      </w:r>
      <w:r w:rsidRPr="006C5B94">
        <w:rPr>
          <w:noProof/>
        </w:rPr>
        <w:t>t for Business, Innovation and Skills.</w:t>
      </w:r>
    </w:p>
    <w:p w14:paraId="6671FFA1" w14:textId="77777777" w:rsidR="007E0B00" w:rsidRPr="006C5B94" w:rsidRDefault="007E0B00" w:rsidP="007E0B00">
      <w:pPr>
        <w:pStyle w:val="Bibliography"/>
        <w:ind w:left="720" w:hanging="720"/>
        <w:rPr>
          <w:noProof/>
        </w:rPr>
      </w:pPr>
      <w:r w:rsidRPr="006C5B94">
        <w:rPr>
          <w:noProof/>
        </w:rPr>
        <w:t xml:space="preserve">Champoux, M. (2006). </w:t>
      </w:r>
      <w:r w:rsidRPr="006C5B94">
        <w:rPr>
          <w:i/>
          <w:iCs/>
          <w:noProof/>
        </w:rPr>
        <w:t>Accrual accounting in New Zealand and Australia.</w:t>
      </w:r>
      <w:r w:rsidRPr="006C5B94">
        <w:rPr>
          <w:noProof/>
        </w:rPr>
        <w:t xml:space="preserve"> Boston, MA: Harvard Law School, Federal Budget Policy Seminar.</w:t>
      </w:r>
    </w:p>
    <w:p w14:paraId="3E68B05C" w14:textId="77777777" w:rsidR="007E0B00" w:rsidRPr="006C5B94" w:rsidRDefault="007E0B00" w:rsidP="007E0B00">
      <w:pPr>
        <w:pStyle w:val="Bibliography"/>
        <w:ind w:left="720" w:hanging="720"/>
        <w:rPr>
          <w:noProof/>
        </w:rPr>
      </w:pPr>
      <w:r w:rsidRPr="006C5B94">
        <w:rPr>
          <w:noProof/>
        </w:rPr>
        <w:t xml:space="preserve">Chapman, B. (2004). </w:t>
      </w:r>
      <w:r w:rsidRPr="006C5B94">
        <w:rPr>
          <w:i/>
          <w:iCs/>
          <w:noProof/>
        </w:rPr>
        <w:t>Government Managing Risk: Income Contingent Loans for Social and Economic Progress.</w:t>
      </w:r>
      <w:r w:rsidRPr="006C5B94">
        <w:rPr>
          <w:noProof/>
        </w:rPr>
        <w:t xml:space="preserve"> Melbourne: Taylor and Francis.</w:t>
      </w:r>
    </w:p>
    <w:p w14:paraId="51429057" w14:textId="77777777" w:rsidR="007E0B00" w:rsidRPr="006C5B94" w:rsidRDefault="007E0B00" w:rsidP="007E0B00">
      <w:pPr>
        <w:pStyle w:val="Bibliography"/>
        <w:ind w:left="720" w:hanging="720"/>
        <w:rPr>
          <w:noProof/>
        </w:rPr>
      </w:pPr>
      <w:r w:rsidRPr="006C5B94">
        <w:rPr>
          <w:noProof/>
        </w:rPr>
        <w:t xml:space="preserve">Chapman, B. (2011). The Australian university stduent financing system: the rationale for, and experience with, income-contingent loans. In S. Armstrong, &amp; B. Chapman, </w:t>
      </w:r>
      <w:r w:rsidRPr="006C5B94">
        <w:rPr>
          <w:i/>
          <w:iCs/>
          <w:noProof/>
        </w:rPr>
        <w:t>Financing higher education and economic development in East Asia</w:t>
      </w:r>
      <w:r w:rsidRPr="006C5B94">
        <w:rPr>
          <w:noProof/>
        </w:rPr>
        <w:t xml:space="preserve"> (p. Chapter 5). Canberra: Australian National University.</w:t>
      </w:r>
    </w:p>
    <w:p w14:paraId="01A8280F" w14:textId="77777777" w:rsidR="007E0B00" w:rsidRPr="006C5B94" w:rsidRDefault="007E0B00" w:rsidP="007E0B00">
      <w:pPr>
        <w:pStyle w:val="Bibliography"/>
        <w:ind w:left="720" w:hanging="720"/>
        <w:rPr>
          <w:noProof/>
        </w:rPr>
      </w:pPr>
      <w:r w:rsidRPr="006C5B94">
        <w:rPr>
          <w:noProof/>
        </w:rPr>
        <w:t xml:space="preserve">Chapman, B., &amp; Higgins, T. (2009). An income contingent loan for extending paid parental leave. </w:t>
      </w:r>
      <w:r w:rsidRPr="006C5B94">
        <w:rPr>
          <w:i/>
          <w:iCs/>
          <w:noProof/>
        </w:rPr>
        <w:t>Australian Journal of Labour Economics</w:t>
      </w:r>
      <w:r w:rsidRPr="006C5B94">
        <w:rPr>
          <w:noProof/>
        </w:rPr>
        <w:t>, 197-217.</w:t>
      </w:r>
    </w:p>
    <w:p w14:paraId="2B1581BF" w14:textId="77777777" w:rsidR="007E0B00" w:rsidRPr="006C5B94" w:rsidRDefault="007E0B00" w:rsidP="007E0B00">
      <w:pPr>
        <w:pStyle w:val="Bibliography"/>
        <w:ind w:left="720" w:hanging="720"/>
        <w:rPr>
          <w:noProof/>
        </w:rPr>
      </w:pPr>
      <w:r w:rsidRPr="006C5B94">
        <w:rPr>
          <w:noProof/>
        </w:rPr>
        <w:t xml:space="preserve">Chapman, B., &amp; Hunter, B. H. (2009). Exploring creative appliances of income contingent loans. </w:t>
      </w:r>
      <w:r w:rsidRPr="006C5B94">
        <w:rPr>
          <w:i/>
          <w:iCs/>
          <w:noProof/>
        </w:rPr>
        <w:t>Australian Journal of Labour Economics</w:t>
      </w:r>
      <w:r w:rsidRPr="006C5B94">
        <w:rPr>
          <w:noProof/>
        </w:rPr>
        <w:t>, 133-145.</w:t>
      </w:r>
    </w:p>
    <w:p w14:paraId="731F3C00" w14:textId="77777777" w:rsidR="007E0B00" w:rsidRPr="006C5B94" w:rsidRDefault="007E0B00" w:rsidP="007E0B00">
      <w:pPr>
        <w:pStyle w:val="Bibliography"/>
        <w:ind w:left="720" w:hanging="720"/>
        <w:rPr>
          <w:noProof/>
        </w:rPr>
      </w:pPr>
      <w:r w:rsidRPr="006C5B94">
        <w:rPr>
          <w:noProof/>
        </w:rPr>
        <w:t xml:space="preserve">Chapman, B., &amp; Ryan, C. (2002). </w:t>
      </w:r>
      <w:r w:rsidRPr="006C5B94">
        <w:rPr>
          <w:i/>
          <w:iCs/>
          <w:noProof/>
        </w:rPr>
        <w:t>Income-contingent financing of student charges for higher education: assessing the Australian innovation.</w:t>
      </w:r>
      <w:r w:rsidRPr="006C5B94">
        <w:rPr>
          <w:noProof/>
        </w:rPr>
        <w:t xml:space="preserve"> Canberra: Centre for Economic Policy Research, Australian National University.</w:t>
      </w:r>
    </w:p>
    <w:p w14:paraId="104DB983" w14:textId="77777777" w:rsidR="007E0B00" w:rsidRPr="006C5B94" w:rsidRDefault="007E0B00" w:rsidP="007E0B00">
      <w:pPr>
        <w:pStyle w:val="Bibliography"/>
        <w:ind w:left="720" w:hanging="720"/>
        <w:rPr>
          <w:noProof/>
        </w:rPr>
      </w:pPr>
      <w:r w:rsidRPr="006C5B94">
        <w:rPr>
          <w:noProof/>
        </w:rPr>
        <w:t xml:space="preserve">Chapman, B., &amp; Sinning, M. (2011). </w:t>
      </w:r>
      <w:r w:rsidRPr="006C5B94">
        <w:rPr>
          <w:i/>
          <w:iCs/>
          <w:noProof/>
        </w:rPr>
        <w:t>Student loan reforms for German higher education: financing tuition fees.</w:t>
      </w:r>
      <w:r w:rsidRPr="006C5B94">
        <w:rPr>
          <w:noProof/>
        </w:rPr>
        <w:t xml:space="preserve"> Bochum, Germany: Ruhr-Universitat Bochum (RUB), .</w:t>
      </w:r>
    </w:p>
    <w:p w14:paraId="10D288DF" w14:textId="77777777" w:rsidR="007E0B00" w:rsidRPr="006C5B94" w:rsidRDefault="007E0B00" w:rsidP="007E0B00">
      <w:pPr>
        <w:pStyle w:val="Bibliography"/>
        <w:ind w:left="720" w:hanging="720"/>
        <w:rPr>
          <w:noProof/>
        </w:rPr>
      </w:pPr>
      <w:r w:rsidRPr="006C5B94">
        <w:rPr>
          <w:noProof/>
        </w:rPr>
        <w:t xml:space="preserve">Chapman, B., Higgins, T., &amp; Withers, G. (2009). Income contingent loans for mature aged training. </w:t>
      </w:r>
      <w:r w:rsidRPr="006C5B94">
        <w:rPr>
          <w:i/>
          <w:iCs/>
          <w:noProof/>
        </w:rPr>
        <w:t>Australian Journal of Labour Economics</w:t>
      </w:r>
      <w:r w:rsidRPr="006C5B94">
        <w:rPr>
          <w:noProof/>
        </w:rPr>
        <w:t>, 167-181.</w:t>
      </w:r>
    </w:p>
    <w:p w14:paraId="77D981EA" w14:textId="77777777" w:rsidR="007E0B00" w:rsidRPr="006C5B94" w:rsidRDefault="007E0B00" w:rsidP="007E0B00">
      <w:pPr>
        <w:pStyle w:val="Bibliography"/>
        <w:ind w:left="720" w:hanging="720"/>
        <w:rPr>
          <w:noProof/>
        </w:rPr>
      </w:pPr>
      <w:r w:rsidRPr="006C5B94">
        <w:rPr>
          <w:noProof/>
        </w:rPr>
        <w:t xml:space="preserve">Chevalier, A., Conlon, G., Galindo-Ruedo, F., &amp; McNally, S. (2002). </w:t>
      </w:r>
      <w:r w:rsidRPr="006C5B94">
        <w:rPr>
          <w:i/>
          <w:iCs/>
          <w:noProof/>
        </w:rPr>
        <w:t>The returns to higher education.</w:t>
      </w:r>
      <w:r w:rsidRPr="006C5B94">
        <w:rPr>
          <w:noProof/>
        </w:rPr>
        <w:t xml:space="preserve"> London: Centre for the Economics of Education.</w:t>
      </w:r>
    </w:p>
    <w:p w14:paraId="6E59E2F8" w14:textId="77777777" w:rsidR="007E0B00" w:rsidRPr="006C5B94" w:rsidRDefault="007E0B00" w:rsidP="007E0B00">
      <w:pPr>
        <w:pStyle w:val="Bibliography"/>
        <w:ind w:left="720" w:hanging="720"/>
        <w:rPr>
          <w:noProof/>
        </w:rPr>
      </w:pPr>
      <w:r w:rsidRPr="006C5B94">
        <w:rPr>
          <w:noProof/>
        </w:rPr>
        <w:t xml:space="preserve">Chowdry, H., Dearden, L., Goodman, A., &amp; Wenchao, J. (2012). The Distributional Impact of the 2012-13 Higher Education Funding Reforms. </w:t>
      </w:r>
      <w:r w:rsidRPr="006C5B94">
        <w:rPr>
          <w:i/>
          <w:iCs/>
          <w:noProof/>
        </w:rPr>
        <w:t>Fiscal Studies</w:t>
      </w:r>
      <w:r w:rsidRPr="006C5B94">
        <w:rPr>
          <w:noProof/>
        </w:rPr>
        <w:t>, 211-236.</w:t>
      </w:r>
    </w:p>
    <w:p w14:paraId="096532C4" w14:textId="77777777" w:rsidR="007E0B00" w:rsidRPr="006C5B94" w:rsidRDefault="007E0B00" w:rsidP="007E0B00">
      <w:pPr>
        <w:pStyle w:val="Bibliography"/>
        <w:ind w:left="720" w:hanging="720"/>
        <w:rPr>
          <w:noProof/>
        </w:rPr>
      </w:pPr>
      <w:r w:rsidRPr="006C5B94">
        <w:rPr>
          <w:noProof/>
        </w:rPr>
        <w:t xml:space="preserve">Commission, H. (2013). </w:t>
      </w:r>
      <w:r w:rsidRPr="006C5B94">
        <w:rPr>
          <w:i/>
          <w:iCs/>
          <w:noProof/>
        </w:rPr>
        <w:t>Regulating Higher Education: Protecting Students, Encouraging Innovation, Enhancing Excellence.</w:t>
      </w:r>
      <w:r w:rsidRPr="006C5B94">
        <w:rPr>
          <w:noProof/>
        </w:rPr>
        <w:t xml:space="preserve"> London: Higher Education Comission.</w:t>
      </w:r>
    </w:p>
    <w:p w14:paraId="0A59479F" w14:textId="77777777" w:rsidR="007E0B00" w:rsidRPr="006C5B94" w:rsidRDefault="007E0B00" w:rsidP="007E0B00">
      <w:pPr>
        <w:pStyle w:val="Bibliography"/>
        <w:ind w:left="720" w:hanging="720"/>
        <w:rPr>
          <w:noProof/>
        </w:rPr>
      </w:pPr>
      <w:r w:rsidRPr="006C5B94">
        <w:rPr>
          <w:noProof/>
        </w:rPr>
        <w:t xml:space="preserve">Dynarski, S. (1994). Who defaults on student loans: findings from the national post-secondary student aid study. </w:t>
      </w:r>
      <w:r w:rsidRPr="006C5B94">
        <w:rPr>
          <w:i/>
          <w:iCs/>
          <w:noProof/>
        </w:rPr>
        <w:t>Economics of Education Review</w:t>
      </w:r>
      <w:r w:rsidRPr="006C5B94">
        <w:rPr>
          <w:noProof/>
        </w:rPr>
        <w:t>, 55-68.</w:t>
      </w:r>
    </w:p>
    <w:p w14:paraId="1E1D5E01" w14:textId="77777777" w:rsidR="007E0B00" w:rsidRPr="006C5B94" w:rsidRDefault="007E0B00" w:rsidP="007E0B00">
      <w:pPr>
        <w:pStyle w:val="Bibliography"/>
        <w:ind w:left="720" w:hanging="720"/>
        <w:rPr>
          <w:noProof/>
        </w:rPr>
      </w:pPr>
      <w:r w:rsidRPr="006C5B94">
        <w:rPr>
          <w:noProof/>
        </w:rPr>
        <w:t xml:space="preserve">Friedman, M. (1955). </w:t>
      </w:r>
      <w:r w:rsidRPr="006C5B94">
        <w:rPr>
          <w:i/>
          <w:iCs/>
          <w:noProof/>
        </w:rPr>
        <w:t>Capitalism and Freedom.</w:t>
      </w:r>
      <w:r w:rsidRPr="006C5B94">
        <w:rPr>
          <w:noProof/>
        </w:rPr>
        <w:t xml:space="preserve"> Chicago: University of Chicago Press.</w:t>
      </w:r>
    </w:p>
    <w:p w14:paraId="67AC0B87" w14:textId="77777777" w:rsidR="007E0B00" w:rsidRPr="006C5B94" w:rsidRDefault="007E0B00" w:rsidP="007E0B00">
      <w:pPr>
        <w:pStyle w:val="Bibliography"/>
        <w:ind w:left="720" w:hanging="720"/>
        <w:rPr>
          <w:noProof/>
        </w:rPr>
      </w:pPr>
      <w:r w:rsidRPr="006C5B94">
        <w:rPr>
          <w:noProof/>
        </w:rPr>
        <w:t xml:space="preserve">Hackett, L., Shutt, L., &amp; Maclachlan, N. (2013). </w:t>
      </w:r>
      <w:r w:rsidRPr="006C5B94">
        <w:rPr>
          <w:i/>
          <w:iCs/>
          <w:noProof/>
        </w:rPr>
        <w:t>The way we'll work: labour market trends and preparing for the hourglass.</w:t>
      </w:r>
      <w:r w:rsidRPr="006C5B94">
        <w:rPr>
          <w:noProof/>
        </w:rPr>
        <w:t xml:space="preserve"> London: University Alliance.</w:t>
      </w:r>
    </w:p>
    <w:p w14:paraId="4E43189A" w14:textId="77777777" w:rsidR="007E0B00" w:rsidRPr="006C5B94" w:rsidRDefault="007E0B00" w:rsidP="007E0B00">
      <w:pPr>
        <w:pStyle w:val="Bibliography"/>
        <w:ind w:left="720" w:hanging="720"/>
        <w:rPr>
          <w:noProof/>
        </w:rPr>
      </w:pPr>
      <w:r w:rsidRPr="006C5B94">
        <w:rPr>
          <w:noProof/>
        </w:rPr>
        <w:t xml:space="preserve">HEFCE. (2013). </w:t>
      </w:r>
      <w:r w:rsidRPr="006C5B94">
        <w:rPr>
          <w:i/>
          <w:iCs/>
          <w:noProof/>
        </w:rPr>
        <w:t>Recurrent grants and student number controls for 2013-14 .</w:t>
      </w:r>
      <w:r w:rsidRPr="006C5B94">
        <w:rPr>
          <w:noProof/>
        </w:rPr>
        <w:t xml:space="preserve"> Bristol: Higher Education Funding Council for England.</w:t>
      </w:r>
    </w:p>
    <w:p w14:paraId="7F13AE9F" w14:textId="77777777" w:rsidR="007E0B00" w:rsidRPr="006C5B94" w:rsidRDefault="007E0B00" w:rsidP="007E0B00">
      <w:pPr>
        <w:pStyle w:val="Bibliography"/>
        <w:ind w:left="720" w:hanging="720"/>
        <w:rPr>
          <w:noProof/>
        </w:rPr>
      </w:pPr>
      <w:r w:rsidRPr="006C5B94">
        <w:rPr>
          <w:noProof/>
        </w:rPr>
        <w:t xml:space="preserve">IFS. (January 2010). </w:t>
      </w:r>
      <w:r w:rsidRPr="006C5B94">
        <w:rPr>
          <w:i/>
          <w:iCs/>
          <w:noProof/>
        </w:rPr>
        <w:t>Submission to the Independent Review of HE Funding and Student Finance.</w:t>
      </w:r>
      <w:r w:rsidRPr="006C5B94">
        <w:rPr>
          <w:noProof/>
        </w:rPr>
        <w:t xml:space="preserve"> London: IFS.</w:t>
      </w:r>
    </w:p>
    <w:p w14:paraId="311F126F" w14:textId="501E84E7" w:rsidR="007E0B00" w:rsidRPr="006C5B94" w:rsidRDefault="007E0B00" w:rsidP="007E0B00">
      <w:pPr>
        <w:pStyle w:val="Bibliography"/>
        <w:ind w:left="720" w:hanging="720"/>
        <w:rPr>
          <w:noProof/>
        </w:rPr>
      </w:pPr>
      <w:r w:rsidRPr="006C5B94">
        <w:rPr>
          <w:noProof/>
        </w:rPr>
        <w:t>Inst</w:t>
      </w:r>
      <w:r w:rsidR="003153C2">
        <w:rPr>
          <w:noProof/>
        </w:rPr>
        <w:t>itute for Fiscal Studies. (2011</w:t>
      </w:r>
      <w:r w:rsidRPr="006C5B94">
        <w:rPr>
          <w:noProof/>
        </w:rPr>
        <w:t xml:space="preserve">). </w:t>
      </w:r>
      <w:r w:rsidRPr="006C5B94">
        <w:rPr>
          <w:i/>
          <w:iCs/>
          <w:noProof/>
        </w:rPr>
        <w:t>The public expenditure and distributional implications of reforming student loans and grants.</w:t>
      </w:r>
      <w:r w:rsidRPr="006C5B94">
        <w:rPr>
          <w:noProof/>
        </w:rPr>
        <w:t xml:space="preserve"> London: IFS.</w:t>
      </w:r>
    </w:p>
    <w:p w14:paraId="1012EBCB" w14:textId="7220BA4A" w:rsidR="007E0B00" w:rsidRPr="006C5B94" w:rsidRDefault="007E0B00" w:rsidP="007E0B00">
      <w:pPr>
        <w:pStyle w:val="Bibliography"/>
        <w:ind w:left="720" w:hanging="720"/>
        <w:rPr>
          <w:noProof/>
        </w:rPr>
      </w:pPr>
      <w:r w:rsidRPr="006C5B94">
        <w:rPr>
          <w:noProof/>
        </w:rPr>
        <w:t xml:space="preserve">Johnston, A., &amp; Barr, N. (2013). Student loan reform, interest subsidies and costly technicalities: </w:t>
      </w:r>
      <w:r w:rsidR="003153C2">
        <w:rPr>
          <w:noProof/>
        </w:rPr>
        <w:t>lessons from the UK experience.</w:t>
      </w:r>
      <w:r w:rsidRPr="006C5B94">
        <w:rPr>
          <w:i/>
          <w:iCs/>
          <w:noProof/>
        </w:rPr>
        <w:t>Journal of Higher Education Policy and Management</w:t>
      </w:r>
      <w:r w:rsidR="003153C2">
        <w:rPr>
          <w:noProof/>
        </w:rPr>
        <w:t>,167-</w:t>
      </w:r>
      <w:r w:rsidRPr="006C5B94">
        <w:rPr>
          <w:noProof/>
        </w:rPr>
        <w:t>78.</w:t>
      </w:r>
    </w:p>
    <w:p w14:paraId="40EC7874" w14:textId="77777777" w:rsidR="007E0B00" w:rsidRPr="006C5B94" w:rsidRDefault="007E0B00" w:rsidP="007E0B00">
      <w:pPr>
        <w:pStyle w:val="Bibliography"/>
        <w:ind w:left="720" w:hanging="720"/>
        <w:rPr>
          <w:noProof/>
        </w:rPr>
      </w:pPr>
      <w:r w:rsidRPr="006C5B94">
        <w:rPr>
          <w:noProof/>
        </w:rPr>
        <w:t xml:space="preserve">Johnston, A., &amp; Barr, N. (2013). Student loan reform, interest subsidies and costly technicalities: lessons from the UK experience. </w:t>
      </w:r>
      <w:r w:rsidRPr="006C5B94">
        <w:rPr>
          <w:i/>
          <w:iCs/>
          <w:noProof/>
        </w:rPr>
        <w:t>Journal of Higher Education Policy and Management</w:t>
      </w:r>
      <w:r w:rsidRPr="006C5B94">
        <w:rPr>
          <w:noProof/>
        </w:rPr>
        <w:t>, 168.</w:t>
      </w:r>
    </w:p>
    <w:p w14:paraId="4AD5CC56" w14:textId="77777777" w:rsidR="007E0B00" w:rsidRPr="006C5B94" w:rsidRDefault="007E0B00" w:rsidP="007E0B00">
      <w:pPr>
        <w:pStyle w:val="Bibliography"/>
        <w:ind w:left="720" w:hanging="720"/>
        <w:rPr>
          <w:noProof/>
        </w:rPr>
      </w:pPr>
      <w:r w:rsidRPr="006C5B94">
        <w:rPr>
          <w:noProof/>
        </w:rPr>
        <w:t xml:space="preserve">McMahon, W. (2009). </w:t>
      </w:r>
      <w:r w:rsidRPr="006C5B94">
        <w:rPr>
          <w:i/>
          <w:iCs/>
          <w:noProof/>
        </w:rPr>
        <w:t>Higher learning, greater good: the private and social benefits of higher education.</w:t>
      </w:r>
      <w:r w:rsidRPr="006C5B94">
        <w:rPr>
          <w:noProof/>
        </w:rPr>
        <w:t xml:space="preserve"> Baltimore: Johns Hopkins University Press.</w:t>
      </w:r>
    </w:p>
    <w:p w14:paraId="070CE30D" w14:textId="77777777" w:rsidR="007E0B00" w:rsidRPr="006C5B94" w:rsidRDefault="007E0B00" w:rsidP="007E0B00">
      <w:pPr>
        <w:pStyle w:val="Bibliography"/>
        <w:ind w:left="720" w:hanging="720"/>
        <w:rPr>
          <w:noProof/>
        </w:rPr>
      </w:pPr>
      <w:r w:rsidRPr="006C5B94">
        <w:rPr>
          <w:noProof/>
        </w:rPr>
        <w:t xml:space="preserve">Norton, A. (2013). </w:t>
      </w:r>
      <w:r w:rsidRPr="006C5B94">
        <w:rPr>
          <w:i/>
          <w:iCs/>
          <w:noProof/>
        </w:rPr>
        <w:t>Mapping Australian higher education.</w:t>
      </w:r>
      <w:r w:rsidRPr="006C5B94">
        <w:rPr>
          <w:noProof/>
        </w:rPr>
        <w:t xml:space="preserve"> Melbourne: The Grattan Institute.</w:t>
      </w:r>
    </w:p>
    <w:p w14:paraId="146F1B1A" w14:textId="77777777" w:rsidR="007E0B00" w:rsidRPr="006C5B94" w:rsidRDefault="007E0B00" w:rsidP="007E0B00">
      <w:pPr>
        <w:pStyle w:val="Bibliography"/>
        <w:ind w:left="720" w:hanging="720"/>
        <w:rPr>
          <w:noProof/>
        </w:rPr>
      </w:pPr>
      <w:r w:rsidRPr="006C5B94">
        <w:rPr>
          <w:noProof/>
        </w:rPr>
        <w:t xml:space="preserve">OECD. (2012). </w:t>
      </w:r>
      <w:r w:rsidRPr="006C5B94">
        <w:rPr>
          <w:i/>
          <w:iCs/>
          <w:noProof/>
        </w:rPr>
        <w:t>Education at a Glance.</w:t>
      </w:r>
      <w:r w:rsidRPr="006C5B94">
        <w:rPr>
          <w:noProof/>
        </w:rPr>
        <w:t xml:space="preserve"> Paris: OECD.</w:t>
      </w:r>
    </w:p>
    <w:p w14:paraId="056F82D3" w14:textId="77777777" w:rsidR="007E0B00" w:rsidRPr="006C5B94" w:rsidRDefault="007E0B00" w:rsidP="007E0B00">
      <w:pPr>
        <w:pStyle w:val="Bibliography"/>
        <w:ind w:left="720" w:hanging="720"/>
        <w:rPr>
          <w:noProof/>
        </w:rPr>
      </w:pPr>
      <w:r w:rsidRPr="006C5B94">
        <w:rPr>
          <w:noProof/>
        </w:rPr>
        <w:t xml:space="preserve">OFFA. (2013). </w:t>
      </w:r>
      <w:r w:rsidRPr="006C5B94">
        <w:rPr>
          <w:i/>
          <w:iCs/>
          <w:noProof/>
        </w:rPr>
        <w:t>2014-15 access agreements: institutional expenditure and fee levels.</w:t>
      </w:r>
      <w:r w:rsidRPr="006C5B94">
        <w:rPr>
          <w:noProof/>
        </w:rPr>
        <w:t xml:space="preserve"> Bristol: Office for Fair Access.</w:t>
      </w:r>
    </w:p>
    <w:p w14:paraId="21FA8BFB" w14:textId="77777777" w:rsidR="007E0B00" w:rsidRPr="006C5B94" w:rsidRDefault="007E0B00" w:rsidP="007E0B00">
      <w:pPr>
        <w:pStyle w:val="Bibliography"/>
        <w:ind w:left="720" w:hanging="720"/>
        <w:rPr>
          <w:noProof/>
        </w:rPr>
      </w:pPr>
      <w:r w:rsidRPr="006C5B94">
        <w:rPr>
          <w:noProof/>
        </w:rPr>
        <w:t xml:space="preserve">Santiago, P. e. (2008). </w:t>
      </w:r>
      <w:r w:rsidRPr="006C5B94">
        <w:rPr>
          <w:i/>
          <w:iCs/>
          <w:noProof/>
        </w:rPr>
        <w:t>Tertiary Education for the Knowledge Society, Volume 1, Special Features: funding, governance, quality.</w:t>
      </w:r>
      <w:r w:rsidRPr="006C5B94">
        <w:rPr>
          <w:noProof/>
        </w:rPr>
        <w:t xml:space="preserve"> Paris: OECD.</w:t>
      </w:r>
    </w:p>
    <w:p w14:paraId="23D8DFEC" w14:textId="77777777" w:rsidR="007E0B00" w:rsidRPr="006C5B94" w:rsidRDefault="007E0B00" w:rsidP="007E0B00">
      <w:pPr>
        <w:pStyle w:val="Bibliography"/>
        <w:ind w:left="720" w:hanging="720"/>
        <w:rPr>
          <w:noProof/>
        </w:rPr>
      </w:pPr>
      <w:r w:rsidRPr="006C5B94">
        <w:rPr>
          <w:noProof/>
        </w:rPr>
        <w:t xml:space="preserve">Schleicher, A. (2010). Is the sky the limit to educational improvement? </w:t>
      </w:r>
      <w:r w:rsidRPr="006C5B94">
        <w:rPr>
          <w:i/>
          <w:iCs/>
          <w:noProof/>
        </w:rPr>
        <w:t>UUK Annual Conference, September 2010.</w:t>
      </w:r>
      <w:r w:rsidRPr="006C5B94">
        <w:rPr>
          <w:noProof/>
        </w:rPr>
        <w:t xml:space="preserve"> Cranfield: OECD and UUK.</w:t>
      </w:r>
    </w:p>
    <w:p w14:paraId="52131C00" w14:textId="77777777" w:rsidR="007E0B00" w:rsidRPr="006C5B94" w:rsidRDefault="007E0B00" w:rsidP="007E0B00">
      <w:pPr>
        <w:pStyle w:val="Bibliography"/>
        <w:ind w:left="720" w:hanging="720"/>
        <w:rPr>
          <w:noProof/>
        </w:rPr>
      </w:pPr>
      <w:r w:rsidRPr="006C5B94">
        <w:rPr>
          <w:noProof/>
        </w:rPr>
        <w:t xml:space="preserve">Trow, M. (1974). Problems in the Transition from Elite to Mass Higher Education. </w:t>
      </w:r>
      <w:r w:rsidRPr="006C5B94">
        <w:rPr>
          <w:i/>
          <w:iCs/>
          <w:noProof/>
        </w:rPr>
        <w:t>Policies for Higher Education, OECD (Paris)</w:t>
      </w:r>
      <w:r w:rsidRPr="006C5B94">
        <w:rPr>
          <w:noProof/>
        </w:rPr>
        <w:t>, 51-101.</w:t>
      </w:r>
    </w:p>
    <w:p w14:paraId="42261FD7" w14:textId="77777777" w:rsidR="007E0B00" w:rsidRPr="006C5B94" w:rsidRDefault="007E0B00" w:rsidP="007E0B00">
      <w:pPr>
        <w:pStyle w:val="Bibliography"/>
        <w:ind w:left="720" w:hanging="720"/>
        <w:rPr>
          <w:noProof/>
        </w:rPr>
      </w:pPr>
      <w:r w:rsidRPr="006C5B94">
        <w:rPr>
          <w:noProof/>
        </w:rPr>
        <w:t>UUK. (2013</w:t>
      </w:r>
      <w:r w:rsidR="00A9209F">
        <w:rPr>
          <w:noProof/>
        </w:rPr>
        <w:t>a</w:t>
      </w:r>
      <w:r w:rsidRPr="006C5B94">
        <w:rPr>
          <w:noProof/>
        </w:rPr>
        <w:t xml:space="preserve">). </w:t>
      </w:r>
      <w:r w:rsidRPr="006C5B94">
        <w:rPr>
          <w:i/>
          <w:iCs/>
          <w:noProof/>
        </w:rPr>
        <w:t>Patterns and trends in UK higher education.</w:t>
      </w:r>
      <w:r w:rsidRPr="006C5B94">
        <w:rPr>
          <w:noProof/>
        </w:rPr>
        <w:t xml:space="preserve"> London: Universities UK.</w:t>
      </w:r>
    </w:p>
    <w:p w14:paraId="4BA04DE7" w14:textId="77777777" w:rsidR="007E0B00" w:rsidRPr="006C5B94" w:rsidRDefault="007E0B00" w:rsidP="007E0B00">
      <w:pPr>
        <w:pStyle w:val="Bibliography"/>
        <w:ind w:left="720" w:hanging="720"/>
        <w:rPr>
          <w:noProof/>
        </w:rPr>
      </w:pPr>
      <w:r w:rsidRPr="006C5B94">
        <w:rPr>
          <w:noProof/>
        </w:rPr>
        <w:t>UUK. (2013</w:t>
      </w:r>
      <w:r w:rsidR="00A9209F">
        <w:rPr>
          <w:noProof/>
        </w:rPr>
        <w:t>b</w:t>
      </w:r>
      <w:r w:rsidRPr="006C5B94">
        <w:rPr>
          <w:noProof/>
        </w:rPr>
        <w:t xml:space="preserve">). </w:t>
      </w:r>
      <w:r w:rsidRPr="006C5B94">
        <w:rPr>
          <w:i/>
          <w:iCs/>
          <w:noProof/>
        </w:rPr>
        <w:t>The funding challenges for universities.</w:t>
      </w:r>
      <w:r w:rsidRPr="006C5B94">
        <w:rPr>
          <w:noProof/>
        </w:rPr>
        <w:t xml:space="preserve"> London: Universities UK.</w:t>
      </w:r>
    </w:p>
    <w:p w14:paraId="5FD965BE" w14:textId="23EA11F2" w:rsidR="007E0B00" w:rsidRDefault="007E0B00" w:rsidP="007E0B00">
      <w:pPr>
        <w:pStyle w:val="Bibliography"/>
        <w:ind w:left="720" w:hanging="720"/>
        <w:rPr>
          <w:noProof/>
        </w:rPr>
      </w:pPr>
      <w:r w:rsidRPr="006C5B94">
        <w:rPr>
          <w:noProof/>
        </w:rPr>
        <w:t>UUK. (2013</w:t>
      </w:r>
      <w:r w:rsidR="00A9209F">
        <w:rPr>
          <w:noProof/>
        </w:rPr>
        <w:t>c</w:t>
      </w:r>
      <w:r w:rsidRPr="006C5B94">
        <w:rPr>
          <w:noProof/>
        </w:rPr>
        <w:t xml:space="preserve">). </w:t>
      </w:r>
      <w:r w:rsidRPr="006C5B94">
        <w:rPr>
          <w:i/>
          <w:iCs/>
          <w:noProof/>
        </w:rPr>
        <w:t>The power of part-time; Review of part-time and mature higher education.</w:t>
      </w:r>
      <w:r w:rsidR="003153C2">
        <w:rPr>
          <w:noProof/>
        </w:rPr>
        <w:t xml:space="preserve"> London: Universities UK</w:t>
      </w:r>
      <w:r w:rsidRPr="006C5B94">
        <w:rPr>
          <w:noProof/>
        </w:rPr>
        <w:t>.</w:t>
      </w:r>
    </w:p>
    <w:p w14:paraId="5F9C1D87" w14:textId="54D35C86" w:rsidR="001A52DA" w:rsidRDefault="001A52DA" w:rsidP="001A52DA">
      <w:r>
        <w:t xml:space="preserve">Wakeling, P. and Hampden-Thompson, P. (2013). </w:t>
      </w:r>
      <w:r w:rsidRPr="001A52DA">
        <w:rPr>
          <w:i/>
        </w:rPr>
        <w:t>Transition to higher degrees across the UK: an analysis of national, institutional and individual differences</w:t>
      </w:r>
      <w:r>
        <w:t>, Higher Education Academy, UK</w:t>
      </w:r>
    </w:p>
    <w:p w14:paraId="0D61AF3B" w14:textId="77777777" w:rsidR="003153C2" w:rsidRDefault="007E0B00" w:rsidP="007E0B00">
      <w:pPr>
        <w:pStyle w:val="Bibliography"/>
        <w:ind w:left="720" w:hanging="720"/>
        <w:rPr>
          <w:noProof/>
        </w:rPr>
      </w:pPr>
      <w:r w:rsidRPr="006C5B94">
        <w:rPr>
          <w:noProof/>
        </w:rPr>
        <w:t xml:space="preserve">Wheelahan, L. (2010). </w:t>
      </w:r>
      <w:r w:rsidRPr="006C5B94">
        <w:rPr>
          <w:i/>
          <w:iCs/>
          <w:noProof/>
        </w:rPr>
        <w:t>A Bernsteinian analysis of the 3rd wave of higher education expansion.</w:t>
      </w:r>
      <w:r w:rsidRPr="006C5B94">
        <w:rPr>
          <w:noProof/>
        </w:rPr>
        <w:t xml:space="preserve"> University of Melbourne, Australia: 6th International Basil Bernstein Symposium.</w:t>
      </w:r>
    </w:p>
    <w:p w14:paraId="381C8144" w14:textId="778C22B4" w:rsidR="007E0B00" w:rsidRPr="006C5B94" w:rsidRDefault="007E0B00" w:rsidP="007E0B00">
      <w:pPr>
        <w:pStyle w:val="Bibliography"/>
        <w:ind w:left="720" w:hanging="720"/>
        <w:rPr>
          <w:noProof/>
        </w:rPr>
      </w:pPr>
      <w:r w:rsidRPr="006C5B94">
        <w:rPr>
          <w:noProof/>
        </w:rPr>
        <w:t xml:space="preserve">Wolf, A. (2001). </w:t>
      </w:r>
      <w:r w:rsidRPr="006C5B94">
        <w:rPr>
          <w:i/>
          <w:iCs/>
          <w:noProof/>
        </w:rPr>
        <w:t>Does Education Matter?: myths about education and economic growth.</w:t>
      </w:r>
      <w:r w:rsidRPr="006C5B94">
        <w:rPr>
          <w:noProof/>
        </w:rPr>
        <w:t xml:space="preserve"> London: Penguin Books Ltd.</w:t>
      </w:r>
    </w:p>
    <w:p w14:paraId="3897F195" w14:textId="77777777" w:rsidR="00711387" w:rsidRDefault="00B60BA8" w:rsidP="007B5E68">
      <w:pPr>
        <w:pStyle w:val="Heading1"/>
      </w:pPr>
      <w:r w:rsidRPr="006C5B94">
        <w:fldChar w:fldCharType="end"/>
      </w:r>
      <w:r w:rsidR="00152B2D" w:rsidRPr="006C5B94">
        <w:br w:type="page"/>
      </w:r>
      <w:bookmarkStart w:id="32" w:name="_Toc259883119"/>
      <w:r w:rsidR="00711387" w:rsidRPr="006C5B94">
        <w:t>Annex 1: Australian student contribution and direct public funding</w:t>
      </w:r>
      <w:bookmarkEnd w:id="32"/>
    </w:p>
    <w:p w14:paraId="381BBFD7" w14:textId="77777777" w:rsidR="007B5E68" w:rsidRDefault="008045BB" w:rsidP="007B5E68">
      <w:r w:rsidRPr="008045BB">
        <w:rPr>
          <w:noProof/>
          <w:lang w:val="en-US"/>
        </w:rPr>
        <w:drawing>
          <wp:inline distT="0" distB="0" distL="0" distR="0" wp14:anchorId="4440698C" wp14:editId="761DEE02">
            <wp:extent cx="5745480" cy="8570280"/>
            <wp:effectExtent l="0" t="0" r="762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5480" cy="8570280"/>
                    </a:xfrm>
                    <a:prstGeom prst="rect">
                      <a:avLst/>
                    </a:prstGeom>
                    <a:noFill/>
                    <a:ln>
                      <a:noFill/>
                    </a:ln>
                  </pic:spPr>
                </pic:pic>
              </a:graphicData>
            </a:graphic>
          </wp:inline>
        </w:drawing>
      </w:r>
    </w:p>
    <w:p w14:paraId="1B9B655D" w14:textId="77777777" w:rsidR="00152B2D" w:rsidRPr="006C5B94" w:rsidRDefault="008045BB">
      <w:r w:rsidRPr="008045BB">
        <w:rPr>
          <w:noProof/>
          <w:lang w:val="en-US"/>
        </w:rPr>
        <w:drawing>
          <wp:inline distT="0" distB="0" distL="0" distR="0" wp14:anchorId="7540ADDF" wp14:editId="4D5B3A9F">
            <wp:extent cx="5745480" cy="8985189"/>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5480" cy="8985189"/>
                    </a:xfrm>
                    <a:prstGeom prst="rect">
                      <a:avLst/>
                    </a:prstGeom>
                    <a:noFill/>
                    <a:ln>
                      <a:noFill/>
                    </a:ln>
                  </pic:spPr>
                </pic:pic>
              </a:graphicData>
            </a:graphic>
          </wp:inline>
        </w:drawing>
      </w:r>
    </w:p>
    <w:sectPr w:rsidR="00152B2D" w:rsidRPr="006C5B94" w:rsidSect="005372FE">
      <w:footerReference w:type="default" r:id="rId25"/>
      <w:pgSz w:w="11906" w:h="16838"/>
      <w:pgMar w:top="1440" w:right="1440" w:bottom="1440" w:left="1418" w:header="708" w:footer="708"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B0D6D" w14:textId="77777777" w:rsidR="00305055" w:rsidRDefault="00305055" w:rsidP="000516EA">
      <w:pPr>
        <w:spacing w:after="0" w:line="240" w:lineRule="auto"/>
      </w:pPr>
      <w:r>
        <w:separator/>
      </w:r>
    </w:p>
  </w:endnote>
  <w:endnote w:type="continuationSeparator" w:id="0">
    <w:p w14:paraId="0A2B4AEA" w14:textId="77777777" w:rsidR="00305055" w:rsidRDefault="00305055" w:rsidP="0005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531B" w14:textId="77777777" w:rsidR="00305055" w:rsidRDefault="00305055">
    <w:pPr>
      <w:pStyle w:val="Footer"/>
      <w:jc w:val="right"/>
    </w:pPr>
    <w:r>
      <w:fldChar w:fldCharType="begin"/>
    </w:r>
    <w:r>
      <w:instrText xml:space="preserve"> PAGE   \* MERGEFORMAT </w:instrText>
    </w:r>
    <w:r>
      <w:fldChar w:fldCharType="separate"/>
    </w:r>
    <w:r w:rsidR="008F0E5B">
      <w:rPr>
        <w:noProof/>
      </w:rPr>
      <w:t>10</w:t>
    </w:r>
    <w:r>
      <w:rPr>
        <w:noProof/>
      </w:rPr>
      <w:fldChar w:fldCharType="end"/>
    </w:r>
  </w:p>
  <w:p w14:paraId="1A8BFA7B" w14:textId="77777777" w:rsidR="00305055" w:rsidRDefault="003050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42EBFB" w14:textId="77777777" w:rsidR="00305055" w:rsidRDefault="00305055" w:rsidP="000516EA">
      <w:pPr>
        <w:spacing w:after="0" w:line="240" w:lineRule="auto"/>
      </w:pPr>
      <w:r>
        <w:separator/>
      </w:r>
    </w:p>
  </w:footnote>
  <w:footnote w:type="continuationSeparator" w:id="0">
    <w:p w14:paraId="08346522" w14:textId="77777777" w:rsidR="00305055" w:rsidRDefault="00305055" w:rsidP="000516EA">
      <w:pPr>
        <w:spacing w:after="0" w:line="240" w:lineRule="auto"/>
      </w:pPr>
      <w:r>
        <w:continuationSeparator/>
      </w:r>
    </w:p>
  </w:footnote>
  <w:footnote w:id="1">
    <w:p w14:paraId="56256934" w14:textId="77777777" w:rsidR="00305055" w:rsidRDefault="00305055">
      <w:pPr>
        <w:pStyle w:val="FootnoteText"/>
      </w:pPr>
      <w:r>
        <w:rPr>
          <w:rStyle w:val="FootnoteReference"/>
        </w:rPr>
        <w:footnoteRef/>
      </w:r>
      <w:r>
        <w:t xml:space="preserve"> Professor Nicholas Barr’s publications on income contingent loans and the student finance system are listed here:</w:t>
      </w:r>
      <w:r w:rsidRPr="00F06B87">
        <w:t xml:space="preserve"> </w:t>
      </w:r>
      <w:hyperlink r:id="rId1" w:history="1">
        <w:r w:rsidRPr="00793E27">
          <w:rPr>
            <w:rStyle w:val="Hyperlink"/>
          </w:rPr>
          <w:t>http://econ.lse.ac.uk/staff/nb/index_own.html</w:t>
        </w:r>
      </w:hyperlink>
      <w:r>
        <w:t xml:space="preserve"> </w:t>
      </w:r>
    </w:p>
    <w:p w14:paraId="7441C1EF" w14:textId="44F25A0B" w:rsidR="00305055" w:rsidRDefault="00305055">
      <w:pPr>
        <w:pStyle w:val="FootnoteText"/>
      </w:pPr>
      <w:r>
        <w:t xml:space="preserve">Some of the best examples include </w:t>
      </w:r>
      <w:r>
        <w:rPr>
          <w:noProof/>
        </w:rPr>
        <w:t>(Barr N., 1989, 2001, 2004, 2005, 2010)</w:t>
      </w:r>
      <w:r>
        <w:t xml:space="preserve"> and </w:t>
      </w:r>
      <w:r>
        <w:rPr>
          <w:noProof/>
        </w:rPr>
        <w:t>(Barr &amp; Crawford, 2007).</w:t>
      </w:r>
    </w:p>
    <w:p w14:paraId="19B9EA0F" w14:textId="77777777" w:rsidR="00305055" w:rsidRDefault="00305055">
      <w:pPr>
        <w:pStyle w:val="FootnoteText"/>
      </w:pPr>
    </w:p>
  </w:footnote>
  <w:footnote w:id="2">
    <w:p w14:paraId="0C54FB39" w14:textId="7A6B4064" w:rsidR="00305055" w:rsidRDefault="00305055">
      <w:pPr>
        <w:pStyle w:val="FootnoteText"/>
      </w:pPr>
      <w:r>
        <w:rPr>
          <w:rStyle w:val="FootnoteReference"/>
        </w:rPr>
        <w:footnoteRef/>
      </w:r>
      <w:r>
        <w:t xml:space="preserve"> Professor Bruce Chapman’s recent publications and current research areas, including the application of ICLs to other countries are listed here: </w:t>
      </w:r>
      <w:hyperlink r:id="rId2" w:history="1">
        <w:r w:rsidRPr="00793E27">
          <w:rPr>
            <w:rStyle w:val="Hyperlink"/>
          </w:rPr>
          <w:t>https://crawford.anu.edu.au/people/academic/bruce-chapman?tb=publication</w:t>
        </w:r>
      </w:hyperlink>
      <w:r>
        <w:t xml:space="preserve">  </w:t>
      </w:r>
    </w:p>
    <w:p w14:paraId="33366EE8" w14:textId="77777777" w:rsidR="00305055" w:rsidRDefault="00305055">
      <w:pPr>
        <w:pStyle w:val="FootnoteText"/>
      </w:pPr>
      <w:r>
        <w:t xml:space="preserve">Excellent examples of Chapman’s work on ICLs include </w:t>
      </w:r>
      <w:r>
        <w:rPr>
          <w:noProof/>
        </w:rPr>
        <w:t>(Chapman &amp; Ryan, 2002) and (Chapman, 2004).</w:t>
      </w:r>
    </w:p>
  </w:footnote>
  <w:footnote w:id="3">
    <w:p w14:paraId="4A4992C5" w14:textId="77777777" w:rsidR="00305055" w:rsidRDefault="00305055">
      <w:pPr>
        <w:pStyle w:val="FootnoteText"/>
      </w:pPr>
      <w:r>
        <w:rPr>
          <w:rStyle w:val="FootnoteReference"/>
        </w:rPr>
        <w:footnoteRef/>
      </w:r>
      <w:r>
        <w:t xml:space="preserve"> In 2012 in Australia, 36.8% of 25 to 34 year olds had a degree or higher qualification </w:t>
      </w:r>
      <w:sdt>
        <w:sdtPr>
          <w:id w:val="-2087445049"/>
          <w:citation/>
        </w:sdtPr>
        <w:sdtEndPr/>
        <w:sdtContent>
          <w:r>
            <w:fldChar w:fldCharType="begin"/>
          </w:r>
          <w:r>
            <w:instrText xml:space="preserve">CITATION Nor13 \l 2057 </w:instrText>
          </w:r>
          <w:r>
            <w:fldChar w:fldCharType="separate"/>
          </w:r>
          <w:r>
            <w:rPr>
              <w:noProof/>
            </w:rPr>
            <w:t>(Norton, 2013)</w:t>
          </w:r>
          <w:r>
            <w:fldChar w:fldCharType="end"/>
          </w:r>
        </w:sdtContent>
      </w:sdt>
      <w:r>
        <w:t xml:space="preserve">. In 2012 in England, the participation rate of 18-21 year olds was 40% and for 18-30 year olds was </w:t>
      </w:r>
      <w:r w:rsidRPr="00842001">
        <w:t>49</w:t>
      </w:r>
      <w:r>
        <w:t xml:space="preserve">% </w:t>
      </w:r>
      <w:sdt>
        <w:sdtPr>
          <w:id w:val="-143209201"/>
          <w:citation/>
        </w:sdtPr>
        <w:sdtEndPr/>
        <w:sdtContent>
          <w:r>
            <w:fldChar w:fldCharType="begin"/>
          </w:r>
          <w:r>
            <w:instrText xml:space="preserve">CITATION BIS13 \t  \l 2057 </w:instrText>
          </w:r>
          <w:r>
            <w:fldChar w:fldCharType="separate"/>
          </w:r>
          <w:r>
            <w:rPr>
              <w:noProof/>
            </w:rPr>
            <w:t>(BIS, 2013a)</w:t>
          </w:r>
          <w:r>
            <w:fldChar w:fldCharType="end"/>
          </w:r>
        </w:sdtContent>
      </w:sdt>
      <w:r>
        <w:t>.</w:t>
      </w:r>
    </w:p>
  </w:footnote>
  <w:footnote w:id="4">
    <w:p w14:paraId="03907D44" w14:textId="77777777" w:rsidR="00305055" w:rsidRDefault="00305055">
      <w:pPr>
        <w:pStyle w:val="FootnoteText"/>
      </w:pPr>
      <w:r>
        <w:rPr>
          <w:rStyle w:val="FootnoteReference"/>
        </w:rPr>
        <w:footnoteRef/>
      </w:r>
      <w:r>
        <w:t xml:space="preserve"> For part-time students there is a second qualifying criteria in that you have to be studying at an intensity or workload of more than 25% of a full-time equivalent to qualify for a fee loan</w:t>
      </w:r>
    </w:p>
  </w:footnote>
  <w:footnote w:id="5">
    <w:p w14:paraId="59224A2E" w14:textId="77777777" w:rsidR="00305055" w:rsidRDefault="00305055">
      <w:pPr>
        <w:pStyle w:val="FootnoteText"/>
      </w:pPr>
      <w:r>
        <w:rPr>
          <w:rStyle w:val="FootnoteReference"/>
        </w:rPr>
        <w:footnoteRef/>
      </w:r>
      <w:r>
        <w:t xml:space="preserve"> Figures 1 and 2 apply to all home and EU students. They exclude international student who pay 100% upfront fee in both countries and attract no public investment. Post-graduate research students are also excluded.</w:t>
      </w:r>
    </w:p>
  </w:footnote>
  <w:footnote w:id="6">
    <w:p w14:paraId="1384B48F" w14:textId="77777777" w:rsidR="00305055" w:rsidRDefault="00305055" w:rsidP="00D9437B">
      <w:pPr>
        <w:pStyle w:val="FootnoteText"/>
      </w:pPr>
      <w:r w:rsidRPr="005B2041">
        <w:rPr>
          <w:rStyle w:val="FootnoteReference"/>
        </w:rPr>
        <w:footnoteRef/>
      </w:r>
      <w:r w:rsidRPr="005B2041">
        <w:t xml:space="preserve"> This is slightly higher</w:t>
      </w:r>
      <w:r>
        <w:t xml:space="preserve"> (£70,000)</w:t>
      </w:r>
      <w:r w:rsidRPr="005B2041">
        <w:t xml:space="preserve"> for stude</w:t>
      </w:r>
      <w:r>
        <w:t>nts i</w:t>
      </w:r>
      <w:r w:rsidRPr="005B2041">
        <w:t xml:space="preserve">n </w:t>
      </w:r>
      <w:r>
        <w:t xml:space="preserve">medicine, dentistry or </w:t>
      </w:r>
      <w:r w:rsidRPr="005B2041">
        <w:t xml:space="preserve">veterinary </w:t>
      </w:r>
      <w:r>
        <w:t>science programmes</w:t>
      </w:r>
      <w:r w:rsidRPr="005B2041">
        <w:t>.</w:t>
      </w:r>
    </w:p>
  </w:footnote>
  <w:footnote w:id="7">
    <w:p w14:paraId="650F905D" w14:textId="77777777" w:rsidR="00305055" w:rsidRDefault="00305055">
      <w:pPr>
        <w:pStyle w:val="FootnoteText"/>
      </w:pPr>
      <w:r>
        <w:rPr>
          <w:rStyle w:val="FootnoteReference"/>
        </w:rPr>
        <w:footnoteRef/>
      </w:r>
      <w:r>
        <w:t xml:space="preserve"> Equivalent or Lower Qualification. ELQ students are undertaking a higher education qualification that is at an equivalent or lower level to one already held – e.g. those seeking to re-train in another area. </w:t>
      </w:r>
    </w:p>
  </w:footnote>
  <w:footnote w:id="8">
    <w:p w14:paraId="21222564" w14:textId="6EF88952" w:rsidR="00305055" w:rsidRPr="00D70E65" w:rsidRDefault="00305055">
      <w:pPr>
        <w:pStyle w:val="FootnoteText"/>
        <w:rPr>
          <w:highlight w:val="green"/>
        </w:rPr>
      </w:pPr>
      <w:r w:rsidRPr="00907A67">
        <w:rPr>
          <w:rStyle w:val="FootnoteReference"/>
        </w:rPr>
        <w:footnoteRef/>
      </w:r>
      <w:r>
        <w:t xml:space="preserve"> T</w:t>
      </w:r>
      <w:r w:rsidRPr="00907A67">
        <w:t>he 2013</w:t>
      </w:r>
      <w:r w:rsidRPr="00907A67">
        <w:rPr>
          <w:rFonts w:ascii="MS Gothic" w:eastAsia="MS Gothic" w:hAnsi="MS Gothic" w:cs="MS Gothic" w:hint="eastAsia"/>
        </w:rPr>
        <w:t>‑</w:t>
      </w:r>
      <w:r w:rsidRPr="00907A67">
        <w:t xml:space="preserve">14 average fee for UK or EU students on taught postgraduate courses </w:t>
      </w:r>
      <w:r>
        <w:t>rose by</w:t>
      </w:r>
      <w:r w:rsidRPr="00907A67">
        <w:t xml:space="preserve"> 7 per cent on the previous year at universities that also provided data for 2012-13</w:t>
      </w:r>
      <w:r>
        <w:t xml:space="preserve">. International and postgraduate student fee survey, 2013, Times Higher Education. </w:t>
      </w:r>
    </w:p>
  </w:footnote>
  <w:footnote w:id="9">
    <w:p w14:paraId="36012C7E" w14:textId="77777777" w:rsidR="00305055" w:rsidRDefault="00305055">
      <w:pPr>
        <w:pStyle w:val="FootnoteText"/>
      </w:pPr>
      <w:r>
        <w:rPr>
          <w:rStyle w:val="FootnoteReference"/>
        </w:rPr>
        <w:footnoteRef/>
      </w:r>
      <w:r>
        <w:t xml:space="preserve"> Resource Accounting and Budgeting charge, based on the use of accrual accounting methods.</w:t>
      </w:r>
    </w:p>
  </w:footnote>
  <w:footnote w:id="10">
    <w:p w14:paraId="6614BC55" w14:textId="6F6E25DD" w:rsidR="00305055" w:rsidRDefault="00305055">
      <w:pPr>
        <w:pStyle w:val="FootnoteText"/>
      </w:pPr>
      <w:r>
        <w:rPr>
          <w:rStyle w:val="FootnoteReference"/>
        </w:rPr>
        <w:footnoteRef/>
      </w:r>
      <w:r>
        <w:t xml:space="preserve"> House of Commons, March 2014 </w:t>
      </w:r>
      <w:r>
        <w:fldChar w:fldCharType="begin"/>
      </w:r>
      <w:r>
        <w:instrText xml:space="preserve"> HYPERLINK "http://www.publications.parliament.uk/pa/cm201314/cmhansrd/cm140320/text/140320w0002.htm" \l "140320w0002.htm_wqn21" \t "_blank" </w:instrText>
      </w:r>
      <w:r>
        <w:fldChar w:fldCharType="separate"/>
      </w:r>
      <w:r>
        <w:rPr>
          <w:rStyle w:val="Hyperlink"/>
          <w:rFonts w:ascii="Arial" w:hAnsi="Arial" w:cs="Arial"/>
          <w:color w:val="1155CC"/>
          <w:shd w:val="clear" w:color="auto" w:fill="FFFFFF"/>
        </w:rPr>
        <w:t>http://www.publications.parliament.uk/pa/cm201314/cmhansrd/cm140320/text/140320w0002.htm#140320w0002.htm_wqn21</w:t>
      </w:r>
      <w:r>
        <w:rPr>
          <w:rStyle w:val="Hyperlink"/>
          <w:rFonts w:ascii="Arial" w:hAnsi="Arial" w:cs="Arial"/>
          <w:color w:val="1155CC"/>
          <w:shd w:val="clear" w:color="auto" w:fill="FFFFFF"/>
        </w:rPr>
        <w:fldChar w:fldCharType="end"/>
      </w:r>
      <w:r>
        <w:t xml:space="preserve"> </w:t>
      </w:r>
    </w:p>
  </w:footnote>
  <w:footnote w:id="11">
    <w:p w14:paraId="4489EB8F" w14:textId="77777777" w:rsidR="00305055" w:rsidRDefault="00305055">
      <w:pPr>
        <w:pStyle w:val="FootnoteText"/>
      </w:pPr>
      <w:r>
        <w:rPr>
          <w:rStyle w:val="FootnoteReference"/>
        </w:rPr>
        <w:footnoteRef/>
      </w:r>
      <w:r>
        <w:t xml:space="preserve"> Namely ‘Core and Margin’ and ‘AAB’. See HEPI reports on the impact of 2012 reforms for further explanation of the impact of these policies.</w:t>
      </w:r>
    </w:p>
  </w:footnote>
  <w:footnote w:id="12">
    <w:p w14:paraId="7A1EAF40" w14:textId="08C47D12" w:rsidR="00305055" w:rsidRDefault="00305055">
      <w:pPr>
        <w:pStyle w:val="FootnoteText"/>
      </w:pPr>
      <w:r>
        <w:rPr>
          <w:rStyle w:val="FootnoteReference"/>
        </w:rPr>
        <w:footnoteRef/>
      </w:r>
      <w:r>
        <w:t xml:space="preserve"> Australian Tertiary Admission Rank (ATAR). </w:t>
      </w:r>
      <w:r w:rsidRPr="005102DA">
        <w:t>The A</w:t>
      </w:r>
      <w:r>
        <w:t>TAR is a percentile score up to 99.95</w:t>
      </w:r>
      <w:r w:rsidRPr="005102DA">
        <w:t xml:space="preserve"> w</w:t>
      </w:r>
      <w:r>
        <w:t>hich denotes a student’s rank</w:t>
      </w:r>
      <w:r w:rsidRPr="005102DA">
        <w:t xml:space="preserve"> relative to </w:t>
      </w:r>
      <w:r>
        <w:t>their</w:t>
      </w:r>
      <w:r w:rsidRPr="005102DA">
        <w:t xml:space="preserve"> peers </w:t>
      </w:r>
      <w:r>
        <w:t>in their final school assessment</w:t>
      </w:r>
      <w:r w:rsidRPr="005102DA">
        <w:t>.</w:t>
      </w:r>
    </w:p>
  </w:footnote>
  <w:footnote w:id="13">
    <w:p w14:paraId="06363672" w14:textId="63C5E0DA" w:rsidR="00305055" w:rsidRDefault="00305055">
      <w:pPr>
        <w:pStyle w:val="FootnoteText"/>
      </w:pPr>
      <w:r>
        <w:rPr>
          <w:rStyle w:val="FootnoteReference"/>
        </w:rPr>
        <w:footnoteRef/>
      </w:r>
      <w:r>
        <w:t xml:space="preserve"> </w:t>
      </w:r>
      <w:r w:rsidRPr="000D3C86">
        <w:t xml:space="preserve">House of Commons, March 2014 </w:t>
      </w:r>
      <w:hyperlink r:id="rId3" w:anchor="140320w0002.htm_wqn21" w:history="1">
        <w:r w:rsidRPr="00C95D6C">
          <w:rPr>
            <w:rStyle w:val="Hyperlink"/>
          </w:rPr>
          <w:t>http://www.publications.parliament.uk/pa/cm201314/cmhansrd/cm140320/text/140320w0002.htm#140320w0002.htm_wqn21</w:t>
        </w:r>
      </w:hyperlink>
      <w:r>
        <w:t xml:space="preserve"> </w:t>
      </w:r>
    </w:p>
  </w:footnote>
  <w:footnote w:id="14">
    <w:p w14:paraId="68D36131" w14:textId="77777777" w:rsidR="00305055" w:rsidRDefault="00305055">
      <w:pPr>
        <w:pStyle w:val="FootnoteText"/>
      </w:pPr>
      <w:r>
        <w:rPr>
          <w:rStyle w:val="FootnoteReference"/>
        </w:rPr>
        <w:footnoteRef/>
      </w:r>
      <w:r>
        <w:t xml:space="preserve"> </w:t>
      </w:r>
      <w:hyperlink r:id="rId4" w:history="1">
        <w:r w:rsidRPr="00535C06">
          <w:rPr>
            <w:rStyle w:val="Hyperlink"/>
          </w:rPr>
          <w:t>http://www.aph.gov.au/About_Parliament/Parliamentary_Departments/Parliamentary_Library/pubs/rp/rp1314/QG/HELP</w:t>
        </w:r>
      </w:hyperlink>
      <w:r>
        <w:t xml:space="preserve"> </w:t>
      </w:r>
    </w:p>
  </w:footnote>
  <w:footnote w:id="15">
    <w:p w14:paraId="10449455" w14:textId="31A50705" w:rsidR="00305055" w:rsidRDefault="00305055">
      <w:pPr>
        <w:pStyle w:val="FootnoteText"/>
      </w:pPr>
      <w:r>
        <w:rPr>
          <w:rStyle w:val="FootnoteReference"/>
        </w:rPr>
        <w:footnoteRef/>
      </w:r>
      <w:r>
        <w:t xml:space="preserve"> </w:t>
      </w:r>
      <w:hyperlink r:id="rId5" w:history="1">
        <w:r w:rsidRPr="00603D62">
          <w:rPr>
            <w:rStyle w:val="Hyperlink"/>
          </w:rPr>
          <w:t>http://www.ato.gov.au/Rates/HELP-repayment-thresholds-and-rates/</w:t>
        </w:r>
      </w:hyperlink>
      <w:r>
        <w:t xml:space="preserve"> </w:t>
      </w:r>
    </w:p>
  </w:footnote>
  <w:footnote w:id="16">
    <w:p w14:paraId="31FB3A33" w14:textId="2A78DDE9" w:rsidR="00305055" w:rsidRDefault="00305055" w:rsidP="00E52E79">
      <w:pPr>
        <w:pStyle w:val="FootnoteText"/>
      </w:pPr>
      <w:r>
        <w:rPr>
          <w:rStyle w:val="FootnoteReference"/>
        </w:rPr>
        <w:footnoteRef/>
      </w:r>
      <w:r>
        <w:t xml:space="preserve"> A growing issue in the English HE system is that, due to the lack of an HE Bill following the 2012 reforms, new for-profit providers currently do </w:t>
      </w:r>
      <w:r w:rsidRPr="00C60D01">
        <w:rPr>
          <w:i/>
        </w:rPr>
        <w:t>not</w:t>
      </w:r>
      <w:r>
        <w:t xml:space="preserve"> have their numbers controlled in the way that established universities do. It is intended that in 2014-15 student number controls will start to apply to these providers. After 2015-16, the Government has said they will ‘replicate, as far as possible, for alternative providers, the arrangements for HEFCE funded institutions [i.e. the removal of number controls] but will retain controls for high risk providers.’ HEFCE grant letter from BIS, February 2014 </w:t>
      </w:r>
      <w:hyperlink r:id="rId6" w:history="1">
        <w:r w:rsidRPr="00603D62">
          <w:rPr>
            <w:rStyle w:val="Hyperlink"/>
          </w:rPr>
          <w:t>http://www.hefce.ac.uk/news/newsarchive/2014/news85409.html</w:t>
        </w:r>
      </w:hyperlink>
      <w:r>
        <w:t xml:space="preserve"> </w:t>
      </w:r>
    </w:p>
  </w:footnote>
  <w:footnote w:id="17">
    <w:p w14:paraId="0DF48EA5" w14:textId="77777777" w:rsidR="00305055" w:rsidRDefault="00305055" w:rsidP="00A71F58">
      <w:pPr>
        <w:pStyle w:val="FootnoteText"/>
      </w:pPr>
      <w:r>
        <w:rPr>
          <w:rStyle w:val="FootnoteReference"/>
        </w:rPr>
        <w:footnoteRef/>
      </w:r>
      <w:r>
        <w:t xml:space="preserve"> </w:t>
      </w:r>
      <w:hyperlink r:id="rId7" w:history="1">
        <w:r w:rsidRPr="00D4276B">
          <w:rPr>
            <w:rStyle w:val="Hyperlink"/>
          </w:rPr>
          <w:t>http://www.lhmartininstitute.edu.au/insights-blog/2012/06/89-vet-has-too-many-qualifications-and-is-too-complex</w:t>
        </w:r>
      </w:hyperlink>
    </w:p>
  </w:footnote>
  <w:footnote w:id="18">
    <w:p w14:paraId="3F1D2EC8" w14:textId="741624E4" w:rsidR="00305055" w:rsidRDefault="00305055">
      <w:pPr>
        <w:pStyle w:val="FootnoteText"/>
      </w:pPr>
      <w:r>
        <w:rPr>
          <w:rStyle w:val="FootnoteReference"/>
        </w:rPr>
        <w:footnoteRef/>
      </w:r>
      <w:r>
        <w:t xml:space="preserve"> see HEPI report no. 65 ‘Unfinished business?: higher education legislation’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E38"/>
    <w:multiLevelType w:val="hybridMultilevel"/>
    <w:tmpl w:val="8B6E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1448"/>
    <w:multiLevelType w:val="hybridMultilevel"/>
    <w:tmpl w:val="65E0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BD7CB6"/>
    <w:multiLevelType w:val="hybridMultilevel"/>
    <w:tmpl w:val="64C6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4011DD"/>
    <w:multiLevelType w:val="hybridMultilevel"/>
    <w:tmpl w:val="1D1E6266"/>
    <w:lvl w:ilvl="0" w:tplc="4C1890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DE4691"/>
    <w:multiLevelType w:val="hybridMultilevel"/>
    <w:tmpl w:val="F40860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nsid w:val="2F1902BF"/>
    <w:multiLevelType w:val="hybridMultilevel"/>
    <w:tmpl w:val="EC18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A38A4"/>
    <w:multiLevelType w:val="hybridMultilevel"/>
    <w:tmpl w:val="59C2D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F451E9"/>
    <w:multiLevelType w:val="hybridMultilevel"/>
    <w:tmpl w:val="207E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C11825"/>
    <w:multiLevelType w:val="hybridMultilevel"/>
    <w:tmpl w:val="031E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9F75FF"/>
    <w:multiLevelType w:val="hybridMultilevel"/>
    <w:tmpl w:val="FE14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AB1974"/>
    <w:multiLevelType w:val="hybridMultilevel"/>
    <w:tmpl w:val="D964721C"/>
    <w:lvl w:ilvl="0" w:tplc="BB10CB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3D02C9"/>
    <w:multiLevelType w:val="hybridMultilevel"/>
    <w:tmpl w:val="EA46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263F5E"/>
    <w:multiLevelType w:val="hybridMultilevel"/>
    <w:tmpl w:val="8B0E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8276D4"/>
    <w:multiLevelType w:val="hybridMultilevel"/>
    <w:tmpl w:val="0EB8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9D4303"/>
    <w:multiLevelType w:val="hybridMultilevel"/>
    <w:tmpl w:val="22161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F11E36"/>
    <w:multiLevelType w:val="hybridMultilevel"/>
    <w:tmpl w:val="5CAA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3"/>
  </w:num>
  <w:num w:numId="5">
    <w:abstractNumId w:val="15"/>
  </w:num>
  <w:num w:numId="6">
    <w:abstractNumId w:val="1"/>
  </w:num>
  <w:num w:numId="7">
    <w:abstractNumId w:val="12"/>
  </w:num>
  <w:num w:numId="8">
    <w:abstractNumId w:val="8"/>
  </w:num>
  <w:num w:numId="9">
    <w:abstractNumId w:val="2"/>
  </w:num>
  <w:num w:numId="10">
    <w:abstractNumId w:val="5"/>
  </w:num>
  <w:num w:numId="11">
    <w:abstractNumId w:val="14"/>
  </w:num>
  <w:num w:numId="12">
    <w:abstractNumId w:val="3"/>
  </w:num>
  <w:num w:numId="13">
    <w:abstractNumId w:val="10"/>
  </w:num>
  <w:num w:numId="14">
    <w:abstractNumId w:val="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C7"/>
    <w:rsid w:val="000035F7"/>
    <w:rsid w:val="000048E1"/>
    <w:rsid w:val="00004E84"/>
    <w:rsid w:val="00007909"/>
    <w:rsid w:val="00011866"/>
    <w:rsid w:val="00013688"/>
    <w:rsid w:val="000140E1"/>
    <w:rsid w:val="00016826"/>
    <w:rsid w:val="00020575"/>
    <w:rsid w:val="00020830"/>
    <w:rsid w:val="00020A3D"/>
    <w:rsid w:val="000240F8"/>
    <w:rsid w:val="00027867"/>
    <w:rsid w:val="000321DD"/>
    <w:rsid w:val="00040585"/>
    <w:rsid w:val="00040EEB"/>
    <w:rsid w:val="00041580"/>
    <w:rsid w:val="00042201"/>
    <w:rsid w:val="00042B1D"/>
    <w:rsid w:val="00043151"/>
    <w:rsid w:val="00043C7F"/>
    <w:rsid w:val="00047EC0"/>
    <w:rsid w:val="000516EA"/>
    <w:rsid w:val="00053A40"/>
    <w:rsid w:val="00054513"/>
    <w:rsid w:val="00055E77"/>
    <w:rsid w:val="00057B33"/>
    <w:rsid w:val="0006162A"/>
    <w:rsid w:val="0006185E"/>
    <w:rsid w:val="00061EF3"/>
    <w:rsid w:val="00062B79"/>
    <w:rsid w:val="00064776"/>
    <w:rsid w:val="00067EF0"/>
    <w:rsid w:val="00067FF7"/>
    <w:rsid w:val="000701B0"/>
    <w:rsid w:val="0007199B"/>
    <w:rsid w:val="00071B89"/>
    <w:rsid w:val="00072CF5"/>
    <w:rsid w:val="000731C5"/>
    <w:rsid w:val="00074643"/>
    <w:rsid w:val="0007678B"/>
    <w:rsid w:val="0007686E"/>
    <w:rsid w:val="00080AFB"/>
    <w:rsid w:val="00081D8A"/>
    <w:rsid w:val="00084C58"/>
    <w:rsid w:val="00085E13"/>
    <w:rsid w:val="00086ADA"/>
    <w:rsid w:val="00090895"/>
    <w:rsid w:val="00097CBA"/>
    <w:rsid w:val="00097F79"/>
    <w:rsid w:val="000A006F"/>
    <w:rsid w:val="000A3893"/>
    <w:rsid w:val="000A629E"/>
    <w:rsid w:val="000A6834"/>
    <w:rsid w:val="000A730C"/>
    <w:rsid w:val="000A7566"/>
    <w:rsid w:val="000B0194"/>
    <w:rsid w:val="000B4C36"/>
    <w:rsid w:val="000B7A30"/>
    <w:rsid w:val="000C10C3"/>
    <w:rsid w:val="000C3662"/>
    <w:rsid w:val="000C4022"/>
    <w:rsid w:val="000C71C7"/>
    <w:rsid w:val="000D1324"/>
    <w:rsid w:val="000D3C86"/>
    <w:rsid w:val="000E099D"/>
    <w:rsid w:val="000E3E02"/>
    <w:rsid w:val="000E4C7C"/>
    <w:rsid w:val="000E574C"/>
    <w:rsid w:val="000F202C"/>
    <w:rsid w:val="000F2DE7"/>
    <w:rsid w:val="000F7A98"/>
    <w:rsid w:val="001029AF"/>
    <w:rsid w:val="001044C7"/>
    <w:rsid w:val="001052D3"/>
    <w:rsid w:val="00112027"/>
    <w:rsid w:val="00114357"/>
    <w:rsid w:val="00121A81"/>
    <w:rsid w:val="00122603"/>
    <w:rsid w:val="00130CEC"/>
    <w:rsid w:val="00131096"/>
    <w:rsid w:val="00132731"/>
    <w:rsid w:val="0013356E"/>
    <w:rsid w:val="00137D5F"/>
    <w:rsid w:val="00142B9B"/>
    <w:rsid w:val="001435F0"/>
    <w:rsid w:val="00146AA7"/>
    <w:rsid w:val="00150456"/>
    <w:rsid w:val="001526BD"/>
    <w:rsid w:val="00152B2D"/>
    <w:rsid w:val="00153877"/>
    <w:rsid w:val="00153F85"/>
    <w:rsid w:val="00156370"/>
    <w:rsid w:val="00157E2B"/>
    <w:rsid w:val="001605CC"/>
    <w:rsid w:val="001608C0"/>
    <w:rsid w:val="00161FC7"/>
    <w:rsid w:val="00162F00"/>
    <w:rsid w:val="001657A1"/>
    <w:rsid w:val="0017575F"/>
    <w:rsid w:val="001831B4"/>
    <w:rsid w:val="00183B9A"/>
    <w:rsid w:val="00186122"/>
    <w:rsid w:val="0019645A"/>
    <w:rsid w:val="001A1332"/>
    <w:rsid w:val="001A39A6"/>
    <w:rsid w:val="001A3C8F"/>
    <w:rsid w:val="001A52DA"/>
    <w:rsid w:val="001A7D18"/>
    <w:rsid w:val="001B102C"/>
    <w:rsid w:val="001B177A"/>
    <w:rsid w:val="001B362A"/>
    <w:rsid w:val="001B50F3"/>
    <w:rsid w:val="001B614A"/>
    <w:rsid w:val="001C0546"/>
    <w:rsid w:val="001C0DAA"/>
    <w:rsid w:val="001C62B9"/>
    <w:rsid w:val="001C6E2D"/>
    <w:rsid w:val="001C6F45"/>
    <w:rsid w:val="001D0E77"/>
    <w:rsid w:val="001D1D07"/>
    <w:rsid w:val="001D27BB"/>
    <w:rsid w:val="001D2ECD"/>
    <w:rsid w:val="001D6F28"/>
    <w:rsid w:val="001E56A6"/>
    <w:rsid w:val="001F0953"/>
    <w:rsid w:val="001F1965"/>
    <w:rsid w:val="001F35BB"/>
    <w:rsid w:val="002041CE"/>
    <w:rsid w:val="00205054"/>
    <w:rsid w:val="00205854"/>
    <w:rsid w:val="002060C5"/>
    <w:rsid w:val="00210BFC"/>
    <w:rsid w:val="00211F7F"/>
    <w:rsid w:val="00212391"/>
    <w:rsid w:val="00212824"/>
    <w:rsid w:val="0022167D"/>
    <w:rsid w:val="00225B67"/>
    <w:rsid w:val="002305CC"/>
    <w:rsid w:val="00235523"/>
    <w:rsid w:val="00235833"/>
    <w:rsid w:val="00235D3B"/>
    <w:rsid w:val="0024426D"/>
    <w:rsid w:val="00251DE7"/>
    <w:rsid w:val="00252E51"/>
    <w:rsid w:val="00260853"/>
    <w:rsid w:val="002613C4"/>
    <w:rsid w:val="00261811"/>
    <w:rsid w:val="00262999"/>
    <w:rsid w:val="00262B9E"/>
    <w:rsid w:val="002633E5"/>
    <w:rsid w:val="00264179"/>
    <w:rsid w:val="002665FF"/>
    <w:rsid w:val="00270717"/>
    <w:rsid w:val="002709C5"/>
    <w:rsid w:val="002721CE"/>
    <w:rsid w:val="00272ECB"/>
    <w:rsid w:val="00272FE1"/>
    <w:rsid w:val="002731E0"/>
    <w:rsid w:val="0027359E"/>
    <w:rsid w:val="00274CC0"/>
    <w:rsid w:val="0027666F"/>
    <w:rsid w:val="0028158C"/>
    <w:rsid w:val="00281F1D"/>
    <w:rsid w:val="0028606C"/>
    <w:rsid w:val="00286504"/>
    <w:rsid w:val="0028748C"/>
    <w:rsid w:val="00291EBF"/>
    <w:rsid w:val="00292B98"/>
    <w:rsid w:val="002938B7"/>
    <w:rsid w:val="00294797"/>
    <w:rsid w:val="00295600"/>
    <w:rsid w:val="00297B9D"/>
    <w:rsid w:val="002A0274"/>
    <w:rsid w:val="002A676B"/>
    <w:rsid w:val="002B2520"/>
    <w:rsid w:val="002B30AF"/>
    <w:rsid w:val="002B3358"/>
    <w:rsid w:val="002C4EC7"/>
    <w:rsid w:val="002D5E84"/>
    <w:rsid w:val="002F24D5"/>
    <w:rsid w:val="002F351E"/>
    <w:rsid w:val="0030321B"/>
    <w:rsid w:val="0030441E"/>
    <w:rsid w:val="00305055"/>
    <w:rsid w:val="00305E2B"/>
    <w:rsid w:val="003115D5"/>
    <w:rsid w:val="00311A6D"/>
    <w:rsid w:val="003153C2"/>
    <w:rsid w:val="003169BB"/>
    <w:rsid w:val="0032086C"/>
    <w:rsid w:val="003240E2"/>
    <w:rsid w:val="00324395"/>
    <w:rsid w:val="0032583C"/>
    <w:rsid w:val="003317BD"/>
    <w:rsid w:val="00332BFD"/>
    <w:rsid w:val="0033305E"/>
    <w:rsid w:val="0033309F"/>
    <w:rsid w:val="00334F6B"/>
    <w:rsid w:val="00336EB9"/>
    <w:rsid w:val="00337714"/>
    <w:rsid w:val="003427B4"/>
    <w:rsid w:val="00343BCB"/>
    <w:rsid w:val="003440F4"/>
    <w:rsid w:val="003453C3"/>
    <w:rsid w:val="00346925"/>
    <w:rsid w:val="00347FE4"/>
    <w:rsid w:val="00352899"/>
    <w:rsid w:val="00357E32"/>
    <w:rsid w:val="00370BF2"/>
    <w:rsid w:val="00373E3A"/>
    <w:rsid w:val="00380A13"/>
    <w:rsid w:val="003835FA"/>
    <w:rsid w:val="00387434"/>
    <w:rsid w:val="003912C7"/>
    <w:rsid w:val="003A0C4E"/>
    <w:rsid w:val="003B0F89"/>
    <w:rsid w:val="003B3955"/>
    <w:rsid w:val="003B7843"/>
    <w:rsid w:val="003C05FD"/>
    <w:rsid w:val="003C065E"/>
    <w:rsid w:val="003C1283"/>
    <w:rsid w:val="003C1570"/>
    <w:rsid w:val="003C487C"/>
    <w:rsid w:val="003C4F9D"/>
    <w:rsid w:val="003C62C9"/>
    <w:rsid w:val="003C63CC"/>
    <w:rsid w:val="003D119D"/>
    <w:rsid w:val="003D14B6"/>
    <w:rsid w:val="003D2791"/>
    <w:rsid w:val="003D3893"/>
    <w:rsid w:val="003D6828"/>
    <w:rsid w:val="003D7F38"/>
    <w:rsid w:val="003E02B5"/>
    <w:rsid w:val="003E3028"/>
    <w:rsid w:val="003E438D"/>
    <w:rsid w:val="003E48FD"/>
    <w:rsid w:val="003E66D3"/>
    <w:rsid w:val="003F2FFA"/>
    <w:rsid w:val="004019A9"/>
    <w:rsid w:val="00403D57"/>
    <w:rsid w:val="00404C9C"/>
    <w:rsid w:val="004053F5"/>
    <w:rsid w:val="00407739"/>
    <w:rsid w:val="0041008B"/>
    <w:rsid w:val="00417395"/>
    <w:rsid w:val="00417F76"/>
    <w:rsid w:val="00423983"/>
    <w:rsid w:val="00427159"/>
    <w:rsid w:val="004274A1"/>
    <w:rsid w:val="00433792"/>
    <w:rsid w:val="00436AD4"/>
    <w:rsid w:val="00437981"/>
    <w:rsid w:val="00442226"/>
    <w:rsid w:val="004458E6"/>
    <w:rsid w:val="004466AD"/>
    <w:rsid w:val="004505B9"/>
    <w:rsid w:val="00460BE8"/>
    <w:rsid w:val="00461E5D"/>
    <w:rsid w:val="00461ED2"/>
    <w:rsid w:val="00463330"/>
    <w:rsid w:val="004641AA"/>
    <w:rsid w:val="00466A1D"/>
    <w:rsid w:val="00471CF4"/>
    <w:rsid w:val="00471D34"/>
    <w:rsid w:val="0047611B"/>
    <w:rsid w:val="00476D76"/>
    <w:rsid w:val="00477F17"/>
    <w:rsid w:val="00483359"/>
    <w:rsid w:val="004922EE"/>
    <w:rsid w:val="00497024"/>
    <w:rsid w:val="0049730C"/>
    <w:rsid w:val="004976B3"/>
    <w:rsid w:val="004977A1"/>
    <w:rsid w:val="004A1D4E"/>
    <w:rsid w:val="004A2C8E"/>
    <w:rsid w:val="004A522B"/>
    <w:rsid w:val="004B036E"/>
    <w:rsid w:val="004B4AD2"/>
    <w:rsid w:val="004B6ADC"/>
    <w:rsid w:val="004D5191"/>
    <w:rsid w:val="004D788C"/>
    <w:rsid w:val="004E627E"/>
    <w:rsid w:val="004F0254"/>
    <w:rsid w:val="004F03A7"/>
    <w:rsid w:val="004F304C"/>
    <w:rsid w:val="004F597B"/>
    <w:rsid w:val="0050109D"/>
    <w:rsid w:val="00502A13"/>
    <w:rsid w:val="0050311D"/>
    <w:rsid w:val="00505ED6"/>
    <w:rsid w:val="005072F8"/>
    <w:rsid w:val="005102DA"/>
    <w:rsid w:val="00516B84"/>
    <w:rsid w:val="00524416"/>
    <w:rsid w:val="00524BB7"/>
    <w:rsid w:val="005257F5"/>
    <w:rsid w:val="005266FC"/>
    <w:rsid w:val="00527971"/>
    <w:rsid w:val="005372FE"/>
    <w:rsid w:val="005375DE"/>
    <w:rsid w:val="005418B1"/>
    <w:rsid w:val="00546F48"/>
    <w:rsid w:val="00547381"/>
    <w:rsid w:val="00550602"/>
    <w:rsid w:val="00552390"/>
    <w:rsid w:val="00553B11"/>
    <w:rsid w:val="005542A8"/>
    <w:rsid w:val="00555659"/>
    <w:rsid w:val="0056654D"/>
    <w:rsid w:val="005678E7"/>
    <w:rsid w:val="00576B2D"/>
    <w:rsid w:val="005775E6"/>
    <w:rsid w:val="005901AC"/>
    <w:rsid w:val="00590C96"/>
    <w:rsid w:val="00591238"/>
    <w:rsid w:val="00596629"/>
    <w:rsid w:val="005A3DEC"/>
    <w:rsid w:val="005A4D9C"/>
    <w:rsid w:val="005A4FD2"/>
    <w:rsid w:val="005A6C72"/>
    <w:rsid w:val="005B2041"/>
    <w:rsid w:val="005B3EB7"/>
    <w:rsid w:val="005B7844"/>
    <w:rsid w:val="005C05AC"/>
    <w:rsid w:val="005C2B28"/>
    <w:rsid w:val="005D1329"/>
    <w:rsid w:val="005D25C8"/>
    <w:rsid w:val="005D2C20"/>
    <w:rsid w:val="005D33EB"/>
    <w:rsid w:val="005D4B42"/>
    <w:rsid w:val="005E0478"/>
    <w:rsid w:val="005E254D"/>
    <w:rsid w:val="005E2E44"/>
    <w:rsid w:val="005E325D"/>
    <w:rsid w:val="005E65AC"/>
    <w:rsid w:val="005E6739"/>
    <w:rsid w:val="005E7DD2"/>
    <w:rsid w:val="005F16A1"/>
    <w:rsid w:val="005F345F"/>
    <w:rsid w:val="005F471C"/>
    <w:rsid w:val="005F6303"/>
    <w:rsid w:val="005F65AF"/>
    <w:rsid w:val="005F6643"/>
    <w:rsid w:val="005F686A"/>
    <w:rsid w:val="00601982"/>
    <w:rsid w:val="0060333F"/>
    <w:rsid w:val="00605200"/>
    <w:rsid w:val="0060537A"/>
    <w:rsid w:val="0060668B"/>
    <w:rsid w:val="00610DBE"/>
    <w:rsid w:val="00611616"/>
    <w:rsid w:val="006120E6"/>
    <w:rsid w:val="0061330E"/>
    <w:rsid w:val="0062234F"/>
    <w:rsid w:val="00623A6B"/>
    <w:rsid w:val="00625414"/>
    <w:rsid w:val="00627468"/>
    <w:rsid w:val="00630FC0"/>
    <w:rsid w:val="006315D9"/>
    <w:rsid w:val="006317DE"/>
    <w:rsid w:val="00631D70"/>
    <w:rsid w:val="00632EC3"/>
    <w:rsid w:val="00637DEF"/>
    <w:rsid w:val="0064097D"/>
    <w:rsid w:val="006447A0"/>
    <w:rsid w:val="00646D92"/>
    <w:rsid w:val="0064778E"/>
    <w:rsid w:val="006501E1"/>
    <w:rsid w:val="00653E76"/>
    <w:rsid w:val="006554AB"/>
    <w:rsid w:val="0066085E"/>
    <w:rsid w:val="006657C3"/>
    <w:rsid w:val="00670DF6"/>
    <w:rsid w:val="00671CBF"/>
    <w:rsid w:val="006721C0"/>
    <w:rsid w:val="00672FCF"/>
    <w:rsid w:val="00676685"/>
    <w:rsid w:val="00680137"/>
    <w:rsid w:val="00687787"/>
    <w:rsid w:val="006914CA"/>
    <w:rsid w:val="00692212"/>
    <w:rsid w:val="0069224B"/>
    <w:rsid w:val="006943EA"/>
    <w:rsid w:val="00697015"/>
    <w:rsid w:val="006A1ABC"/>
    <w:rsid w:val="006A7F23"/>
    <w:rsid w:val="006B1ABB"/>
    <w:rsid w:val="006B5282"/>
    <w:rsid w:val="006B6307"/>
    <w:rsid w:val="006B747D"/>
    <w:rsid w:val="006C179B"/>
    <w:rsid w:val="006C1877"/>
    <w:rsid w:val="006C3139"/>
    <w:rsid w:val="006C409E"/>
    <w:rsid w:val="006C5148"/>
    <w:rsid w:val="006C5B94"/>
    <w:rsid w:val="006D08C4"/>
    <w:rsid w:val="006D57D0"/>
    <w:rsid w:val="006D7789"/>
    <w:rsid w:val="006D7C8B"/>
    <w:rsid w:val="006E4497"/>
    <w:rsid w:val="006F1F88"/>
    <w:rsid w:val="00702A19"/>
    <w:rsid w:val="00702AB2"/>
    <w:rsid w:val="00710C43"/>
    <w:rsid w:val="00711387"/>
    <w:rsid w:val="00713DA2"/>
    <w:rsid w:val="0071546F"/>
    <w:rsid w:val="00716FFA"/>
    <w:rsid w:val="00722A31"/>
    <w:rsid w:val="0072456C"/>
    <w:rsid w:val="0073072F"/>
    <w:rsid w:val="00732C9C"/>
    <w:rsid w:val="00733066"/>
    <w:rsid w:val="00734E4E"/>
    <w:rsid w:val="00743C39"/>
    <w:rsid w:val="00743E48"/>
    <w:rsid w:val="00752670"/>
    <w:rsid w:val="007547F1"/>
    <w:rsid w:val="00762AB3"/>
    <w:rsid w:val="00763837"/>
    <w:rsid w:val="00764720"/>
    <w:rsid w:val="00767371"/>
    <w:rsid w:val="00771869"/>
    <w:rsid w:val="007731E1"/>
    <w:rsid w:val="007779C1"/>
    <w:rsid w:val="00782150"/>
    <w:rsid w:val="00783B86"/>
    <w:rsid w:val="00784436"/>
    <w:rsid w:val="007860D8"/>
    <w:rsid w:val="00786A96"/>
    <w:rsid w:val="0078725A"/>
    <w:rsid w:val="00791BD9"/>
    <w:rsid w:val="00795989"/>
    <w:rsid w:val="007A0528"/>
    <w:rsid w:val="007A44CF"/>
    <w:rsid w:val="007A5D8E"/>
    <w:rsid w:val="007A628B"/>
    <w:rsid w:val="007A6BD1"/>
    <w:rsid w:val="007A7127"/>
    <w:rsid w:val="007B05D8"/>
    <w:rsid w:val="007B0AE8"/>
    <w:rsid w:val="007B1D8D"/>
    <w:rsid w:val="007B353B"/>
    <w:rsid w:val="007B5E68"/>
    <w:rsid w:val="007B7472"/>
    <w:rsid w:val="007C1868"/>
    <w:rsid w:val="007C3249"/>
    <w:rsid w:val="007C3A71"/>
    <w:rsid w:val="007C65A2"/>
    <w:rsid w:val="007D34D3"/>
    <w:rsid w:val="007D3CED"/>
    <w:rsid w:val="007D518F"/>
    <w:rsid w:val="007E0B00"/>
    <w:rsid w:val="007E2646"/>
    <w:rsid w:val="007E3D32"/>
    <w:rsid w:val="007F0A1C"/>
    <w:rsid w:val="007F15BC"/>
    <w:rsid w:val="007F18BC"/>
    <w:rsid w:val="007F6E56"/>
    <w:rsid w:val="007F6FD7"/>
    <w:rsid w:val="008045BB"/>
    <w:rsid w:val="00804EBE"/>
    <w:rsid w:val="0081071B"/>
    <w:rsid w:val="008139E3"/>
    <w:rsid w:val="0081526C"/>
    <w:rsid w:val="008153E3"/>
    <w:rsid w:val="00816ABB"/>
    <w:rsid w:val="00817AF7"/>
    <w:rsid w:val="00821532"/>
    <w:rsid w:val="008231FD"/>
    <w:rsid w:val="008238A8"/>
    <w:rsid w:val="00824351"/>
    <w:rsid w:val="00825107"/>
    <w:rsid w:val="008267F8"/>
    <w:rsid w:val="00830AC3"/>
    <w:rsid w:val="008362D5"/>
    <w:rsid w:val="008416C2"/>
    <w:rsid w:val="00842001"/>
    <w:rsid w:val="00843490"/>
    <w:rsid w:val="008514AB"/>
    <w:rsid w:val="008531E2"/>
    <w:rsid w:val="00853904"/>
    <w:rsid w:val="008540E4"/>
    <w:rsid w:val="008562FC"/>
    <w:rsid w:val="00861F12"/>
    <w:rsid w:val="0086447F"/>
    <w:rsid w:val="00864F7A"/>
    <w:rsid w:val="00865AB7"/>
    <w:rsid w:val="0086655F"/>
    <w:rsid w:val="00871B99"/>
    <w:rsid w:val="0087425C"/>
    <w:rsid w:val="0087541A"/>
    <w:rsid w:val="00877443"/>
    <w:rsid w:val="008803AE"/>
    <w:rsid w:val="00881D96"/>
    <w:rsid w:val="00882DF3"/>
    <w:rsid w:val="00891D6A"/>
    <w:rsid w:val="00892162"/>
    <w:rsid w:val="008922ED"/>
    <w:rsid w:val="00893862"/>
    <w:rsid w:val="00897732"/>
    <w:rsid w:val="00897A5C"/>
    <w:rsid w:val="008A37FC"/>
    <w:rsid w:val="008B0F41"/>
    <w:rsid w:val="008B1F64"/>
    <w:rsid w:val="008B3DF0"/>
    <w:rsid w:val="008B66D6"/>
    <w:rsid w:val="008C162C"/>
    <w:rsid w:val="008C3AAA"/>
    <w:rsid w:val="008C638C"/>
    <w:rsid w:val="008C7297"/>
    <w:rsid w:val="008D19C1"/>
    <w:rsid w:val="008D63D5"/>
    <w:rsid w:val="008E04BF"/>
    <w:rsid w:val="008E11DB"/>
    <w:rsid w:val="008E20F5"/>
    <w:rsid w:val="008E3459"/>
    <w:rsid w:val="008E3DA2"/>
    <w:rsid w:val="008E73F3"/>
    <w:rsid w:val="008E7EDD"/>
    <w:rsid w:val="008F0E5B"/>
    <w:rsid w:val="008F355F"/>
    <w:rsid w:val="008F4424"/>
    <w:rsid w:val="008F44F7"/>
    <w:rsid w:val="008F6879"/>
    <w:rsid w:val="0090025A"/>
    <w:rsid w:val="0090273D"/>
    <w:rsid w:val="00905D10"/>
    <w:rsid w:val="00907A67"/>
    <w:rsid w:val="00911A5F"/>
    <w:rsid w:val="00915B16"/>
    <w:rsid w:val="009166A1"/>
    <w:rsid w:val="00916FCA"/>
    <w:rsid w:val="009238C2"/>
    <w:rsid w:val="009300F0"/>
    <w:rsid w:val="00933299"/>
    <w:rsid w:val="00936FCF"/>
    <w:rsid w:val="00946F5B"/>
    <w:rsid w:val="009537B8"/>
    <w:rsid w:val="00954D21"/>
    <w:rsid w:val="00954EDD"/>
    <w:rsid w:val="009666A6"/>
    <w:rsid w:val="009710F2"/>
    <w:rsid w:val="009732C1"/>
    <w:rsid w:val="0097478C"/>
    <w:rsid w:val="009755AB"/>
    <w:rsid w:val="00977709"/>
    <w:rsid w:val="00980236"/>
    <w:rsid w:val="0098229B"/>
    <w:rsid w:val="00983DFB"/>
    <w:rsid w:val="00986D9F"/>
    <w:rsid w:val="00987D79"/>
    <w:rsid w:val="009957BD"/>
    <w:rsid w:val="009A04F6"/>
    <w:rsid w:val="009A09D2"/>
    <w:rsid w:val="009A4503"/>
    <w:rsid w:val="009A4DD6"/>
    <w:rsid w:val="009A765B"/>
    <w:rsid w:val="009B1229"/>
    <w:rsid w:val="009B12AE"/>
    <w:rsid w:val="009B4896"/>
    <w:rsid w:val="009C1E3D"/>
    <w:rsid w:val="009C2E12"/>
    <w:rsid w:val="009C439B"/>
    <w:rsid w:val="009C4C48"/>
    <w:rsid w:val="009C6AD1"/>
    <w:rsid w:val="009C6BBE"/>
    <w:rsid w:val="009C760F"/>
    <w:rsid w:val="009D3EEC"/>
    <w:rsid w:val="009D4A38"/>
    <w:rsid w:val="009D598F"/>
    <w:rsid w:val="009D61C6"/>
    <w:rsid w:val="009D66FA"/>
    <w:rsid w:val="009E0A9A"/>
    <w:rsid w:val="009E219F"/>
    <w:rsid w:val="009E5C44"/>
    <w:rsid w:val="009E6D02"/>
    <w:rsid w:val="009F36B0"/>
    <w:rsid w:val="00A00FE8"/>
    <w:rsid w:val="00A01227"/>
    <w:rsid w:val="00A0178E"/>
    <w:rsid w:val="00A02BCB"/>
    <w:rsid w:val="00A03EE2"/>
    <w:rsid w:val="00A11417"/>
    <w:rsid w:val="00A12388"/>
    <w:rsid w:val="00A12AC3"/>
    <w:rsid w:val="00A17F3D"/>
    <w:rsid w:val="00A2217D"/>
    <w:rsid w:val="00A228BB"/>
    <w:rsid w:val="00A22CF8"/>
    <w:rsid w:val="00A23DEF"/>
    <w:rsid w:val="00A244E8"/>
    <w:rsid w:val="00A25174"/>
    <w:rsid w:val="00A31406"/>
    <w:rsid w:val="00A331AF"/>
    <w:rsid w:val="00A334EC"/>
    <w:rsid w:val="00A3553A"/>
    <w:rsid w:val="00A35ABE"/>
    <w:rsid w:val="00A36B57"/>
    <w:rsid w:val="00A3794C"/>
    <w:rsid w:val="00A53B52"/>
    <w:rsid w:val="00A620AC"/>
    <w:rsid w:val="00A636AF"/>
    <w:rsid w:val="00A7088E"/>
    <w:rsid w:val="00A719FB"/>
    <w:rsid w:val="00A71F58"/>
    <w:rsid w:val="00A72D03"/>
    <w:rsid w:val="00A77452"/>
    <w:rsid w:val="00A77942"/>
    <w:rsid w:val="00A82D0A"/>
    <w:rsid w:val="00A8652F"/>
    <w:rsid w:val="00A90154"/>
    <w:rsid w:val="00A911FA"/>
    <w:rsid w:val="00A91235"/>
    <w:rsid w:val="00A91839"/>
    <w:rsid w:val="00A9209F"/>
    <w:rsid w:val="00AA2993"/>
    <w:rsid w:val="00AA45B2"/>
    <w:rsid w:val="00AA4A4C"/>
    <w:rsid w:val="00AA6E5F"/>
    <w:rsid w:val="00AB2163"/>
    <w:rsid w:val="00AB6578"/>
    <w:rsid w:val="00AC02C9"/>
    <w:rsid w:val="00AC2880"/>
    <w:rsid w:val="00AC7A35"/>
    <w:rsid w:val="00AD07A9"/>
    <w:rsid w:val="00AD212B"/>
    <w:rsid w:val="00AE20ED"/>
    <w:rsid w:val="00AE6056"/>
    <w:rsid w:val="00AF0A97"/>
    <w:rsid w:val="00AF3100"/>
    <w:rsid w:val="00AF59D7"/>
    <w:rsid w:val="00B021E2"/>
    <w:rsid w:val="00B025BC"/>
    <w:rsid w:val="00B06F29"/>
    <w:rsid w:val="00B122BA"/>
    <w:rsid w:val="00B12BF0"/>
    <w:rsid w:val="00B165AA"/>
    <w:rsid w:val="00B2002B"/>
    <w:rsid w:val="00B20878"/>
    <w:rsid w:val="00B25C91"/>
    <w:rsid w:val="00B26281"/>
    <w:rsid w:val="00B3098C"/>
    <w:rsid w:val="00B30E0A"/>
    <w:rsid w:val="00B40F79"/>
    <w:rsid w:val="00B44C06"/>
    <w:rsid w:val="00B5014B"/>
    <w:rsid w:val="00B52C11"/>
    <w:rsid w:val="00B60BA8"/>
    <w:rsid w:val="00B60BB4"/>
    <w:rsid w:val="00B66DB7"/>
    <w:rsid w:val="00B675DB"/>
    <w:rsid w:val="00B713A0"/>
    <w:rsid w:val="00B74735"/>
    <w:rsid w:val="00B753E3"/>
    <w:rsid w:val="00B805E2"/>
    <w:rsid w:val="00B8597F"/>
    <w:rsid w:val="00B913A0"/>
    <w:rsid w:val="00BA0A7C"/>
    <w:rsid w:val="00BA2052"/>
    <w:rsid w:val="00BA3477"/>
    <w:rsid w:val="00BB3A75"/>
    <w:rsid w:val="00BC7D82"/>
    <w:rsid w:val="00BD01E9"/>
    <w:rsid w:val="00BD043E"/>
    <w:rsid w:val="00BD1098"/>
    <w:rsid w:val="00BD195A"/>
    <w:rsid w:val="00BD269C"/>
    <w:rsid w:val="00BD38A6"/>
    <w:rsid w:val="00BD44DD"/>
    <w:rsid w:val="00BE2705"/>
    <w:rsid w:val="00BE332C"/>
    <w:rsid w:val="00BE4BB2"/>
    <w:rsid w:val="00BE689A"/>
    <w:rsid w:val="00BE7276"/>
    <w:rsid w:val="00BF0439"/>
    <w:rsid w:val="00BF4A06"/>
    <w:rsid w:val="00BF4AEC"/>
    <w:rsid w:val="00C03536"/>
    <w:rsid w:val="00C03E5F"/>
    <w:rsid w:val="00C0666B"/>
    <w:rsid w:val="00C116F6"/>
    <w:rsid w:val="00C11E8D"/>
    <w:rsid w:val="00C135F4"/>
    <w:rsid w:val="00C16E52"/>
    <w:rsid w:val="00C208DE"/>
    <w:rsid w:val="00C30570"/>
    <w:rsid w:val="00C34961"/>
    <w:rsid w:val="00C3498F"/>
    <w:rsid w:val="00C34C45"/>
    <w:rsid w:val="00C352DC"/>
    <w:rsid w:val="00C3596A"/>
    <w:rsid w:val="00C3667B"/>
    <w:rsid w:val="00C37F7E"/>
    <w:rsid w:val="00C40CAE"/>
    <w:rsid w:val="00C422A8"/>
    <w:rsid w:val="00C46147"/>
    <w:rsid w:val="00C4786C"/>
    <w:rsid w:val="00C51A66"/>
    <w:rsid w:val="00C5354A"/>
    <w:rsid w:val="00C54877"/>
    <w:rsid w:val="00C57161"/>
    <w:rsid w:val="00C60D01"/>
    <w:rsid w:val="00C619F8"/>
    <w:rsid w:val="00C62286"/>
    <w:rsid w:val="00C6303A"/>
    <w:rsid w:val="00C679A0"/>
    <w:rsid w:val="00C71EFE"/>
    <w:rsid w:val="00C72A3E"/>
    <w:rsid w:val="00C73233"/>
    <w:rsid w:val="00C75626"/>
    <w:rsid w:val="00C83B73"/>
    <w:rsid w:val="00C84267"/>
    <w:rsid w:val="00C84A27"/>
    <w:rsid w:val="00C90C8B"/>
    <w:rsid w:val="00C9114F"/>
    <w:rsid w:val="00C9193B"/>
    <w:rsid w:val="00C92736"/>
    <w:rsid w:val="00C92D43"/>
    <w:rsid w:val="00C92D55"/>
    <w:rsid w:val="00C952BF"/>
    <w:rsid w:val="00C95381"/>
    <w:rsid w:val="00C96373"/>
    <w:rsid w:val="00CA181E"/>
    <w:rsid w:val="00CA31DA"/>
    <w:rsid w:val="00CA3D65"/>
    <w:rsid w:val="00CB2120"/>
    <w:rsid w:val="00CB41D3"/>
    <w:rsid w:val="00CC101B"/>
    <w:rsid w:val="00CC2C6B"/>
    <w:rsid w:val="00CC4044"/>
    <w:rsid w:val="00CC5776"/>
    <w:rsid w:val="00CC7C1B"/>
    <w:rsid w:val="00CD1500"/>
    <w:rsid w:val="00CD35FC"/>
    <w:rsid w:val="00CD38F7"/>
    <w:rsid w:val="00CD44FB"/>
    <w:rsid w:val="00CD4950"/>
    <w:rsid w:val="00CD4963"/>
    <w:rsid w:val="00CD4A4D"/>
    <w:rsid w:val="00CD5BF4"/>
    <w:rsid w:val="00CE0EB8"/>
    <w:rsid w:val="00CE35DB"/>
    <w:rsid w:val="00CE4D33"/>
    <w:rsid w:val="00CE7DA4"/>
    <w:rsid w:val="00CF1A8A"/>
    <w:rsid w:val="00CF464D"/>
    <w:rsid w:val="00CF733D"/>
    <w:rsid w:val="00D1178F"/>
    <w:rsid w:val="00D12C7D"/>
    <w:rsid w:val="00D15305"/>
    <w:rsid w:val="00D23E5A"/>
    <w:rsid w:val="00D247B8"/>
    <w:rsid w:val="00D2670B"/>
    <w:rsid w:val="00D26A93"/>
    <w:rsid w:val="00D26AF7"/>
    <w:rsid w:val="00D31229"/>
    <w:rsid w:val="00D323F9"/>
    <w:rsid w:val="00D34A22"/>
    <w:rsid w:val="00D36AF9"/>
    <w:rsid w:val="00D3747F"/>
    <w:rsid w:val="00D41189"/>
    <w:rsid w:val="00D41DCD"/>
    <w:rsid w:val="00D42337"/>
    <w:rsid w:val="00D42A6E"/>
    <w:rsid w:val="00D47573"/>
    <w:rsid w:val="00D5173D"/>
    <w:rsid w:val="00D52A0B"/>
    <w:rsid w:val="00D5512C"/>
    <w:rsid w:val="00D63F0D"/>
    <w:rsid w:val="00D6413B"/>
    <w:rsid w:val="00D64B62"/>
    <w:rsid w:val="00D70CA5"/>
    <w:rsid w:val="00D70E65"/>
    <w:rsid w:val="00D754B5"/>
    <w:rsid w:val="00D75BCF"/>
    <w:rsid w:val="00D77643"/>
    <w:rsid w:val="00D8036D"/>
    <w:rsid w:val="00D8240A"/>
    <w:rsid w:val="00D87078"/>
    <w:rsid w:val="00D87792"/>
    <w:rsid w:val="00D8781E"/>
    <w:rsid w:val="00D91C14"/>
    <w:rsid w:val="00D923B3"/>
    <w:rsid w:val="00D92F2C"/>
    <w:rsid w:val="00D92F6A"/>
    <w:rsid w:val="00D9437B"/>
    <w:rsid w:val="00D94454"/>
    <w:rsid w:val="00D97AF2"/>
    <w:rsid w:val="00DA1D7F"/>
    <w:rsid w:val="00DA2196"/>
    <w:rsid w:val="00DB0A93"/>
    <w:rsid w:val="00DB395D"/>
    <w:rsid w:val="00DC069D"/>
    <w:rsid w:val="00DC0A48"/>
    <w:rsid w:val="00DC2296"/>
    <w:rsid w:val="00DC2BA5"/>
    <w:rsid w:val="00DC3F7A"/>
    <w:rsid w:val="00DD1CB4"/>
    <w:rsid w:val="00DD5B45"/>
    <w:rsid w:val="00DD648A"/>
    <w:rsid w:val="00DE0161"/>
    <w:rsid w:val="00DE2716"/>
    <w:rsid w:val="00DE42E2"/>
    <w:rsid w:val="00DE6380"/>
    <w:rsid w:val="00DE69CC"/>
    <w:rsid w:val="00DE769B"/>
    <w:rsid w:val="00DE7B51"/>
    <w:rsid w:val="00DF007C"/>
    <w:rsid w:val="00DF1770"/>
    <w:rsid w:val="00DF6C2C"/>
    <w:rsid w:val="00E002FA"/>
    <w:rsid w:val="00E04AC5"/>
    <w:rsid w:val="00E10A50"/>
    <w:rsid w:val="00E132FD"/>
    <w:rsid w:val="00E13432"/>
    <w:rsid w:val="00E137C0"/>
    <w:rsid w:val="00E144DD"/>
    <w:rsid w:val="00E165DA"/>
    <w:rsid w:val="00E17B4D"/>
    <w:rsid w:val="00E20C0B"/>
    <w:rsid w:val="00E21FA7"/>
    <w:rsid w:val="00E22684"/>
    <w:rsid w:val="00E27738"/>
    <w:rsid w:val="00E36417"/>
    <w:rsid w:val="00E36EA2"/>
    <w:rsid w:val="00E3708F"/>
    <w:rsid w:val="00E408DD"/>
    <w:rsid w:val="00E40A67"/>
    <w:rsid w:val="00E52E79"/>
    <w:rsid w:val="00E54704"/>
    <w:rsid w:val="00E566D9"/>
    <w:rsid w:val="00E63686"/>
    <w:rsid w:val="00E661E2"/>
    <w:rsid w:val="00E67815"/>
    <w:rsid w:val="00E67D1F"/>
    <w:rsid w:val="00E74A89"/>
    <w:rsid w:val="00E761BC"/>
    <w:rsid w:val="00E761E8"/>
    <w:rsid w:val="00E812F9"/>
    <w:rsid w:val="00E90015"/>
    <w:rsid w:val="00E9407B"/>
    <w:rsid w:val="00E97218"/>
    <w:rsid w:val="00EA378A"/>
    <w:rsid w:val="00EA48A0"/>
    <w:rsid w:val="00EA7835"/>
    <w:rsid w:val="00EB1DE2"/>
    <w:rsid w:val="00EB4566"/>
    <w:rsid w:val="00EB6092"/>
    <w:rsid w:val="00EC5C2F"/>
    <w:rsid w:val="00EC78F0"/>
    <w:rsid w:val="00EC7D1F"/>
    <w:rsid w:val="00ED273E"/>
    <w:rsid w:val="00ED2E7F"/>
    <w:rsid w:val="00ED72FC"/>
    <w:rsid w:val="00EF0B2E"/>
    <w:rsid w:val="00EF1600"/>
    <w:rsid w:val="00EF16B8"/>
    <w:rsid w:val="00EF2BE3"/>
    <w:rsid w:val="00F00568"/>
    <w:rsid w:val="00F046DB"/>
    <w:rsid w:val="00F06904"/>
    <w:rsid w:val="00F06B87"/>
    <w:rsid w:val="00F11C83"/>
    <w:rsid w:val="00F12D74"/>
    <w:rsid w:val="00F14FC9"/>
    <w:rsid w:val="00F1627E"/>
    <w:rsid w:val="00F164FA"/>
    <w:rsid w:val="00F1746F"/>
    <w:rsid w:val="00F22248"/>
    <w:rsid w:val="00F26D12"/>
    <w:rsid w:val="00F2728D"/>
    <w:rsid w:val="00F273B1"/>
    <w:rsid w:val="00F2782B"/>
    <w:rsid w:val="00F3038B"/>
    <w:rsid w:val="00F3171A"/>
    <w:rsid w:val="00F358E1"/>
    <w:rsid w:val="00F37CC8"/>
    <w:rsid w:val="00F37DD5"/>
    <w:rsid w:val="00F40919"/>
    <w:rsid w:val="00F43290"/>
    <w:rsid w:val="00F467BD"/>
    <w:rsid w:val="00F468C8"/>
    <w:rsid w:val="00F47B52"/>
    <w:rsid w:val="00F47E15"/>
    <w:rsid w:val="00F507F1"/>
    <w:rsid w:val="00F51B7A"/>
    <w:rsid w:val="00F526C0"/>
    <w:rsid w:val="00F5428C"/>
    <w:rsid w:val="00F553F9"/>
    <w:rsid w:val="00F61E12"/>
    <w:rsid w:val="00F65B49"/>
    <w:rsid w:val="00F70D86"/>
    <w:rsid w:val="00F72732"/>
    <w:rsid w:val="00F77FDE"/>
    <w:rsid w:val="00F84C6C"/>
    <w:rsid w:val="00F8573A"/>
    <w:rsid w:val="00F9386C"/>
    <w:rsid w:val="00F95A70"/>
    <w:rsid w:val="00FA125A"/>
    <w:rsid w:val="00FA1471"/>
    <w:rsid w:val="00FA6227"/>
    <w:rsid w:val="00FB2173"/>
    <w:rsid w:val="00FB5D06"/>
    <w:rsid w:val="00FB7BD3"/>
    <w:rsid w:val="00FC136C"/>
    <w:rsid w:val="00FC3485"/>
    <w:rsid w:val="00FD201A"/>
    <w:rsid w:val="00FE5979"/>
    <w:rsid w:val="00FF029C"/>
    <w:rsid w:val="00FF0BB0"/>
    <w:rsid w:val="00FF656B"/>
    <w:rsid w:val="00FF76D8"/>
    <w:rsid w:val="00FF7A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D4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5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A6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76B3"/>
    <w:pPr>
      <w:ind w:left="720"/>
      <w:contextualSpacing/>
    </w:pPr>
  </w:style>
  <w:style w:type="paragraph" w:styleId="BalloonText">
    <w:name w:val="Balloon Text"/>
    <w:basedOn w:val="Normal"/>
    <w:link w:val="BalloonTextChar"/>
    <w:uiPriority w:val="99"/>
    <w:semiHidden/>
    <w:unhideWhenUsed/>
    <w:rsid w:val="00BD0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43E"/>
    <w:rPr>
      <w:rFonts w:ascii="Tahoma" w:hAnsi="Tahoma" w:cs="Tahoma"/>
      <w:sz w:val="16"/>
      <w:szCs w:val="16"/>
    </w:rPr>
  </w:style>
  <w:style w:type="paragraph" w:styleId="FootnoteText">
    <w:name w:val="footnote text"/>
    <w:basedOn w:val="Normal"/>
    <w:link w:val="FootnoteTextChar"/>
    <w:uiPriority w:val="99"/>
    <w:semiHidden/>
    <w:unhideWhenUsed/>
    <w:rsid w:val="00051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6EA"/>
    <w:rPr>
      <w:sz w:val="20"/>
      <w:szCs w:val="20"/>
    </w:rPr>
  </w:style>
  <w:style w:type="character" w:styleId="FootnoteReference">
    <w:name w:val="footnote reference"/>
    <w:basedOn w:val="DefaultParagraphFont"/>
    <w:uiPriority w:val="99"/>
    <w:semiHidden/>
    <w:unhideWhenUsed/>
    <w:rsid w:val="000516EA"/>
    <w:rPr>
      <w:vertAlign w:val="superscript"/>
    </w:rPr>
  </w:style>
  <w:style w:type="character" w:customStyle="1" w:styleId="Heading2Char">
    <w:name w:val="Heading 2 Char"/>
    <w:basedOn w:val="DefaultParagraphFont"/>
    <w:link w:val="Heading2"/>
    <w:uiPriority w:val="9"/>
    <w:rsid w:val="006A7F2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A7F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7F23"/>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743C39"/>
    <w:pPr>
      <w:outlineLvl w:val="9"/>
    </w:pPr>
    <w:rPr>
      <w:lang w:val="en-US" w:eastAsia="ja-JP"/>
    </w:rPr>
  </w:style>
  <w:style w:type="paragraph" w:styleId="TOC1">
    <w:name w:val="toc 1"/>
    <w:basedOn w:val="Normal"/>
    <w:next w:val="Normal"/>
    <w:autoRedefine/>
    <w:uiPriority w:val="39"/>
    <w:unhideWhenUsed/>
    <w:rsid w:val="00743C39"/>
    <w:pPr>
      <w:spacing w:after="100"/>
    </w:pPr>
  </w:style>
  <w:style w:type="paragraph" w:styleId="TOC2">
    <w:name w:val="toc 2"/>
    <w:basedOn w:val="Normal"/>
    <w:next w:val="Normal"/>
    <w:autoRedefine/>
    <w:uiPriority w:val="39"/>
    <w:unhideWhenUsed/>
    <w:rsid w:val="00743C39"/>
    <w:pPr>
      <w:spacing w:after="100"/>
      <w:ind w:left="220"/>
    </w:pPr>
  </w:style>
  <w:style w:type="character" w:styleId="Hyperlink">
    <w:name w:val="Hyperlink"/>
    <w:basedOn w:val="DefaultParagraphFont"/>
    <w:uiPriority w:val="99"/>
    <w:unhideWhenUsed/>
    <w:rsid w:val="00743C39"/>
    <w:rPr>
      <w:color w:val="0000FF" w:themeColor="hyperlink"/>
      <w:u w:val="single"/>
    </w:rPr>
  </w:style>
  <w:style w:type="table" w:styleId="TableGrid">
    <w:name w:val="Table Grid"/>
    <w:basedOn w:val="TableNormal"/>
    <w:uiPriority w:val="59"/>
    <w:rsid w:val="00244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C6AD1"/>
    <w:rPr>
      <w:sz w:val="16"/>
      <w:szCs w:val="16"/>
    </w:rPr>
  </w:style>
  <w:style w:type="paragraph" w:styleId="CommentText">
    <w:name w:val="annotation text"/>
    <w:basedOn w:val="Normal"/>
    <w:link w:val="CommentTextChar"/>
    <w:uiPriority w:val="99"/>
    <w:semiHidden/>
    <w:unhideWhenUsed/>
    <w:rsid w:val="009C6AD1"/>
    <w:pPr>
      <w:spacing w:line="240" w:lineRule="auto"/>
    </w:pPr>
    <w:rPr>
      <w:sz w:val="20"/>
      <w:szCs w:val="20"/>
    </w:rPr>
  </w:style>
  <w:style w:type="character" w:customStyle="1" w:styleId="CommentTextChar">
    <w:name w:val="Comment Text Char"/>
    <w:basedOn w:val="DefaultParagraphFont"/>
    <w:link w:val="CommentText"/>
    <w:uiPriority w:val="99"/>
    <w:semiHidden/>
    <w:rsid w:val="009C6AD1"/>
    <w:rPr>
      <w:sz w:val="20"/>
      <w:szCs w:val="20"/>
    </w:rPr>
  </w:style>
  <w:style w:type="paragraph" w:styleId="CommentSubject">
    <w:name w:val="annotation subject"/>
    <w:basedOn w:val="CommentText"/>
    <w:next w:val="CommentText"/>
    <w:link w:val="CommentSubjectChar"/>
    <w:uiPriority w:val="99"/>
    <w:semiHidden/>
    <w:unhideWhenUsed/>
    <w:rsid w:val="009C6AD1"/>
    <w:rPr>
      <w:b/>
      <w:bCs/>
    </w:rPr>
  </w:style>
  <w:style w:type="character" w:customStyle="1" w:styleId="CommentSubjectChar">
    <w:name w:val="Comment Subject Char"/>
    <w:basedOn w:val="CommentTextChar"/>
    <w:link w:val="CommentSubject"/>
    <w:uiPriority w:val="99"/>
    <w:semiHidden/>
    <w:rsid w:val="009C6AD1"/>
    <w:rPr>
      <w:b/>
      <w:bCs/>
      <w:sz w:val="20"/>
      <w:szCs w:val="20"/>
    </w:rPr>
  </w:style>
  <w:style w:type="table" w:styleId="LightShading-Accent2">
    <w:name w:val="Light Shading Accent 2"/>
    <w:basedOn w:val="TableNormal"/>
    <w:uiPriority w:val="60"/>
    <w:rsid w:val="009C6BB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ibliography">
    <w:name w:val="Bibliography"/>
    <w:basedOn w:val="Normal"/>
    <w:next w:val="Normal"/>
    <w:uiPriority w:val="37"/>
    <w:unhideWhenUsed/>
    <w:rsid w:val="00B60BA8"/>
  </w:style>
  <w:style w:type="table" w:styleId="MediumShading2-Accent3">
    <w:name w:val="Medium Shading 2 Accent 3"/>
    <w:basedOn w:val="TableNormal"/>
    <w:uiPriority w:val="64"/>
    <w:rsid w:val="00D3747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semiHidden/>
    <w:rsid w:val="001C054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37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2FE"/>
  </w:style>
  <w:style w:type="paragraph" w:styleId="Footer">
    <w:name w:val="footer"/>
    <w:basedOn w:val="Normal"/>
    <w:link w:val="FooterChar"/>
    <w:uiPriority w:val="99"/>
    <w:unhideWhenUsed/>
    <w:rsid w:val="00537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2FE"/>
  </w:style>
  <w:style w:type="character" w:styleId="FollowedHyperlink">
    <w:name w:val="FollowedHyperlink"/>
    <w:basedOn w:val="DefaultParagraphFont"/>
    <w:uiPriority w:val="99"/>
    <w:semiHidden/>
    <w:unhideWhenUsed/>
    <w:rsid w:val="00C37F7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2A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05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A6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976B3"/>
    <w:pPr>
      <w:ind w:left="720"/>
      <w:contextualSpacing/>
    </w:pPr>
  </w:style>
  <w:style w:type="paragraph" w:styleId="BalloonText">
    <w:name w:val="Balloon Text"/>
    <w:basedOn w:val="Normal"/>
    <w:link w:val="BalloonTextChar"/>
    <w:uiPriority w:val="99"/>
    <w:semiHidden/>
    <w:unhideWhenUsed/>
    <w:rsid w:val="00BD0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43E"/>
    <w:rPr>
      <w:rFonts w:ascii="Tahoma" w:hAnsi="Tahoma" w:cs="Tahoma"/>
      <w:sz w:val="16"/>
      <w:szCs w:val="16"/>
    </w:rPr>
  </w:style>
  <w:style w:type="paragraph" w:styleId="FootnoteText">
    <w:name w:val="footnote text"/>
    <w:basedOn w:val="Normal"/>
    <w:link w:val="FootnoteTextChar"/>
    <w:uiPriority w:val="99"/>
    <w:semiHidden/>
    <w:unhideWhenUsed/>
    <w:rsid w:val="000516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6EA"/>
    <w:rPr>
      <w:sz w:val="20"/>
      <w:szCs w:val="20"/>
    </w:rPr>
  </w:style>
  <w:style w:type="character" w:styleId="FootnoteReference">
    <w:name w:val="footnote reference"/>
    <w:basedOn w:val="DefaultParagraphFont"/>
    <w:uiPriority w:val="99"/>
    <w:semiHidden/>
    <w:unhideWhenUsed/>
    <w:rsid w:val="000516EA"/>
    <w:rPr>
      <w:vertAlign w:val="superscript"/>
    </w:rPr>
  </w:style>
  <w:style w:type="character" w:customStyle="1" w:styleId="Heading2Char">
    <w:name w:val="Heading 2 Char"/>
    <w:basedOn w:val="DefaultParagraphFont"/>
    <w:link w:val="Heading2"/>
    <w:uiPriority w:val="9"/>
    <w:rsid w:val="006A7F2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A7F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A7F23"/>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743C39"/>
    <w:pPr>
      <w:outlineLvl w:val="9"/>
    </w:pPr>
    <w:rPr>
      <w:lang w:val="en-US" w:eastAsia="ja-JP"/>
    </w:rPr>
  </w:style>
  <w:style w:type="paragraph" w:styleId="TOC1">
    <w:name w:val="toc 1"/>
    <w:basedOn w:val="Normal"/>
    <w:next w:val="Normal"/>
    <w:autoRedefine/>
    <w:uiPriority w:val="39"/>
    <w:unhideWhenUsed/>
    <w:rsid w:val="00743C39"/>
    <w:pPr>
      <w:spacing w:after="100"/>
    </w:pPr>
  </w:style>
  <w:style w:type="paragraph" w:styleId="TOC2">
    <w:name w:val="toc 2"/>
    <w:basedOn w:val="Normal"/>
    <w:next w:val="Normal"/>
    <w:autoRedefine/>
    <w:uiPriority w:val="39"/>
    <w:unhideWhenUsed/>
    <w:rsid w:val="00743C39"/>
    <w:pPr>
      <w:spacing w:after="100"/>
      <w:ind w:left="220"/>
    </w:pPr>
  </w:style>
  <w:style w:type="character" w:styleId="Hyperlink">
    <w:name w:val="Hyperlink"/>
    <w:basedOn w:val="DefaultParagraphFont"/>
    <w:uiPriority w:val="99"/>
    <w:unhideWhenUsed/>
    <w:rsid w:val="00743C39"/>
    <w:rPr>
      <w:color w:val="0000FF" w:themeColor="hyperlink"/>
      <w:u w:val="single"/>
    </w:rPr>
  </w:style>
  <w:style w:type="table" w:styleId="TableGrid">
    <w:name w:val="Table Grid"/>
    <w:basedOn w:val="TableNormal"/>
    <w:uiPriority w:val="59"/>
    <w:rsid w:val="00244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C6AD1"/>
    <w:rPr>
      <w:sz w:val="16"/>
      <w:szCs w:val="16"/>
    </w:rPr>
  </w:style>
  <w:style w:type="paragraph" w:styleId="CommentText">
    <w:name w:val="annotation text"/>
    <w:basedOn w:val="Normal"/>
    <w:link w:val="CommentTextChar"/>
    <w:uiPriority w:val="99"/>
    <w:semiHidden/>
    <w:unhideWhenUsed/>
    <w:rsid w:val="009C6AD1"/>
    <w:pPr>
      <w:spacing w:line="240" w:lineRule="auto"/>
    </w:pPr>
    <w:rPr>
      <w:sz w:val="20"/>
      <w:szCs w:val="20"/>
    </w:rPr>
  </w:style>
  <w:style w:type="character" w:customStyle="1" w:styleId="CommentTextChar">
    <w:name w:val="Comment Text Char"/>
    <w:basedOn w:val="DefaultParagraphFont"/>
    <w:link w:val="CommentText"/>
    <w:uiPriority w:val="99"/>
    <w:semiHidden/>
    <w:rsid w:val="009C6AD1"/>
    <w:rPr>
      <w:sz w:val="20"/>
      <w:szCs w:val="20"/>
    </w:rPr>
  </w:style>
  <w:style w:type="paragraph" w:styleId="CommentSubject">
    <w:name w:val="annotation subject"/>
    <w:basedOn w:val="CommentText"/>
    <w:next w:val="CommentText"/>
    <w:link w:val="CommentSubjectChar"/>
    <w:uiPriority w:val="99"/>
    <w:semiHidden/>
    <w:unhideWhenUsed/>
    <w:rsid w:val="009C6AD1"/>
    <w:rPr>
      <w:b/>
      <w:bCs/>
    </w:rPr>
  </w:style>
  <w:style w:type="character" w:customStyle="1" w:styleId="CommentSubjectChar">
    <w:name w:val="Comment Subject Char"/>
    <w:basedOn w:val="CommentTextChar"/>
    <w:link w:val="CommentSubject"/>
    <w:uiPriority w:val="99"/>
    <w:semiHidden/>
    <w:rsid w:val="009C6AD1"/>
    <w:rPr>
      <w:b/>
      <w:bCs/>
      <w:sz w:val="20"/>
      <w:szCs w:val="20"/>
    </w:rPr>
  </w:style>
  <w:style w:type="table" w:styleId="LightShading-Accent2">
    <w:name w:val="Light Shading Accent 2"/>
    <w:basedOn w:val="TableNormal"/>
    <w:uiPriority w:val="60"/>
    <w:rsid w:val="009C6BB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ibliography">
    <w:name w:val="Bibliography"/>
    <w:basedOn w:val="Normal"/>
    <w:next w:val="Normal"/>
    <w:uiPriority w:val="37"/>
    <w:unhideWhenUsed/>
    <w:rsid w:val="00B60BA8"/>
  </w:style>
  <w:style w:type="table" w:styleId="MediumShading2-Accent3">
    <w:name w:val="Medium Shading 2 Accent 3"/>
    <w:basedOn w:val="TableNormal"/>
    <w:uiPriority w:val="64"/>
    <w:rsid w:val="00D3747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semiHidden/>
    <w:rsid w:val="001C054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37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2FE"/>
  </w:style>
  <w:style w:type="paragraph" w:styleId="Footer">
    <w:name w:val="footer"/>
    <w:basedOn w:val="Normal"/>
    <w:link w:val="FooterChar"/>
    <w:uiPriority w:val="99"/>
    <w:unhideWhenUsed/>
    <w:rsid w:val="00537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2FE"/>
  </w:style>
  <w:style w:type="character" w:styleId="FollowedHyperlink">
    <w:name w:val="FollowedHyperlink"/>
    <w:basedOn w:val="DefaultParagraphFont"/>
    <w:uiPriority w:val="99"/>
    <w:semiHidden/>
    <w:unhideWhenUsed/>
    <w:rsid w:val="00C37F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5000">
      <w:bodyDiv w:val="1"/>
      <w:marLeft w:val="0"/>
      <w:marRight w:val="0"/>
      <w:marTop w:val="0"/>
      <w:marBottom w:val="0"/>
      <w:divBdr>
        <w:top w:val="none" w:sz="0" w:space="0" w:color="auto"/>
        <w:left w:val="none" w:sz="0" w:space="0" w:color="auto"/>
        <w:bottom w:val="none" w:sz="0" w:space="0" w:color="auto"/>
        <w:right w:val="none" w:sz="0" w:space="0" w:color="auto"/>
      </w:divBdr>
      <w:divsChild>
        <w:div w:id="204635559">
          <w:marLeft w:val="0"/>
          <w:marRight w:val="0"/>
          <w:marTop w:val="0"/>
          <w:marBottom w:val="0"/>
          <w:divBdr>
            <w:top w:val="none" w:sz="0" w:space="0" w:color="auto"/>
            <w:left w:val="none" w:sz="0" w:space="0" w:color="auto"/>
            <w:bottom w:val="none" w:sz="0" w:space="0" w:color="auto"/>
            <w:right w:val="none" w:sz="0" w:space="0" w:color="auto"/>
          </w:divBdr>
        </w:div>
        <w:div w:id="763957204">
          <w:marLeft w:val="0"/>
          <w:marRight w:val="0"/>
          <w:marTop w:val="0"/>
          <w:marBottom w:val="0"/>
          <w:divBdr>
            <w:top w:val="none" w:sz="0" w:space="0" w:color="auto"/>
            <w:left w:val="none" w:sz="0" w:space="0" w:color="auto"/>
            <w:bottom w:val="none" w:sz="0" w:space="0" w:color="auto"/>
            <w:right w:val="none" w:sz="0" w:space="0" w:color="auto"/>
          </w:divBdr>
        </w:div>
        <w:div w:id="1179153753">
          <w:marLeft w:val="0"/>
          <w:marRight w:val="0"/>
          <w:marTop w:val="0"/>
          <w:marBottom w:val="0"/>
          <w:divBdr>
            <w:top w:val="none" w:sz="0" w:space="0" w:color="auto"/>
            <w:left w:val="none" w:sz="0" w:space="0" w:color="auto"/>
            <w:bottom w:val="none" w:sz="0" w:space="0" w:color="auto"/>
            <w:right w:val="none" w:sz="0" w:space="0" w:color="auto"/>
          </w:divBdr>
        </w:div>
        <w:div w:id="2005545348">
          <w:marLeft w:val="0"/>
          <w:marRight w:val="0"/>
          <w:marTop w:val="0"/>
          <w:marBottom w:val="0"/>
          <w:divBdr>
            <w:top w:val="none" w:sz="0" w:space="0" w:color="auto"/>
            <w:left w:val="none" w:sz="0" w:space="0" w:color="auto"/>
            <w:bottom w:val="none" w:sz="0" w:space="0" w:color="auto"/>
            <w:right w:val="none" w:sz="0" w:space="0" w:color="auto"/>
          </w:divBdr>
        </w:div>
        <w:div w:id="731393239">
          <w:marLeft w:val="0"/>
          <w:marRight w:val="0"/>
          <w:marTop w:val="0"/>
          <w:marBottom w:val="0"/>
          <w:divBdr>
            <w:top w:val="none" w:sz="0" w:space="0" w:color="auto"/>
            <w:left w:val="none" w:sz="0" w:space="0" w:color="auto"/>
            <w:bottom w:val="none" w:sz="0" w:space="0" w:color="auto"/>
            <w:right w:val="none" w:sz="0" w:space="0" w:color="auto"/>
          </w:divBdr>
        </w:div>
        <w:div w:id="1521891387">
          <w:marLeft w:val="0"/>
          <w:marRight w:val="0"/>
          <w:marTop w:val="0"/>
          <w:marBottom w:val="0"/>
          <w:divBdr>
            <w:top w:val="none" w:sz="0" w:space="0" w:color="auto"/>
            <w:left w:val="none" w:sz="0" w:space="0" w:color="auto"/>
            <w:bottom w:val="none" w:sz="0" w:space="0" w:color="auto"/>
            <w:right w:val="none" w:sz="0" w:space="0" w:color="auto"/>
          </w:divBdr>
        </w:div>
        <w:div w:id="1379090220">
          <w:marLeft w:val="0"/>
          <w:marRight w:val="0"/>
          <w:marTop w:val="0"/>
          <w:marBottom w:val="0"/>
          <w:divBdr>
            <w:top w:val="none" w:sz="0" w:space="0" w:color="auto"/>
            <w:left w:val="none" w:sz="0" w:space="0" w:color="auto"/>
            <w:bottom w:val="none" w:sz="0" w:space="0" w:color="auto"/>
            <w:right w:val="none" w:sz="0" w:space="0" w:color="auto"/>
          </w:divBdr>
        </w:div>
        <w:div w:id="280185456">
          <w:marLeft w:val="0"/>
          <w:marRight w:val="0"/>
          <w:marTop w:val="0"/>
          <w:marBottom w:val="0"/>
          <w:divBdr>
            <w:top w:val="none" w:sz="0" w:space="0" w:color="auto"/>
            <w:left w:val="none" w:sz="0" w:space="0" w:color="auto"/>
            <w:bottom w:val="none" w:sz="0" w:space="0" w:color="auto"/>
            <w:right w:val="none" w:sz="0" w:space="0" w:color="auto"/>
          </w:divBdr>
        </w:div>
        <w:div w:id="1180511985">
          <w:marLeft w:val="0"/>
          <w:marRight w:val="0"/>
          <w:marTop w:val="0"/>
          <w:marBottom w:val="0"/>
          <w:divBdr>
            <w:top w:val="none" w:sz="0" w:space="0" w:color="auto"/>
            <w:left w:val="none" w:sz="0" w:space="0" w:color="auto"/>
            <w:bottom w:val="none" w:sz="0" w:space="0" w:color="auto"/>
            <w:right w:val="none" w:sz="0" w:space="0" w:color="auto"/>
          </w:divBdr>
        </w:div>
        <w:div w:id="1867984647">
          <w:marLeft w:val="0"/>
          <w:marRight w:val="0"/>
          <w:marTop w:val="0"/>
          <w:marBottom w:val="0"/>
          <w:divBdr>
            <w:top w:val="none" w:sz="0" w:space="0" w:color="auto"/>
            <w:left w:val="none" w:sz="0" w:space="0" w:color="auto"/>
            <w:bottom w:val="none" w:sz="0" w:space="0" w:color="auto"/>
            <w:right w:val="none" w:sz="0" w:space="0" w:color="auto"/>
          </w:divBdr>
        </w:div>
        <w:div w:id="763302645">
          <w:marLeft w:val="0"/>
          <w:marRight w:val="0"/>
          <w:marTop w:val="0"/>
          <w:marBottom w:val="0"/>
          <w:divBdr>
            <w:top w:val="none" w:sz="0" w:space="0" w:color="auto"/>
            <w:left w:val="none" w:sz="0" w:space="0" w:color="auto"/>
            <w:bottom w:val="none" w:sz="0" w:space="0" w:color="auto"/>
            <w:right w:val="none" w:sz="0" w:space="0" w:color="auto"/>
          </w:divBdr>
        </w:div>
        <w:div w:id="1126583150">
          <w:marLeft w:val="0"/>
          <w:marRight w:val="0"/>
          <w:marTop w:val="0"/>
          <w:marBottom w:val="0"/>
          <w:divBdr>
            <w:top w:val="none" w:sz="0" w:space="0" w:color="auto"/>
            <w:left w:val="none" w:sz="0" w:space="0" w:color="auto"/>
            <w:bottom w:val="none" w:sz="0" w:space="0" w:color="auto"/>
            <w:right w:val="none" w:sz="0" w:space="0" w:color="auto"/>
          </w:divBdr>
        </w:div>
        <w:div w:id="1461342321">
          <w:marLeft w:val="0"/>
          <w:marRight w:val="0"/>
          <w:marTop w:val="0"/>
          <w:marBottom w:val="0"/>
          <w:divBdr>
            <w:top w:val="none" w:sz="0" w:space="0" w:color="auto"/>
            <w:left w:val="none" w:sz="0" w:space="0" w:color="auto"/>
            <w:bottom w:val="none" w:sz="0" w:space="0" w:color="auto"/>
            <w:right w:val="none" w:sz="0" w:space="0" w:color="auto"/>
          </w:divBdr>
        </w:div>
        <w:div w:id="230775093">
          <w:marLeft w:val="0"/>
          <w:marRight w:val="0"/>
          <w:marTop w:val="0"/>
          <w:marBottom w:val="0"/>
          <w:divBdr>
            <w:top w:val="none" w:sz="0" w:space="0" w:color="auto"/>
            <w:left w:val="none" w:sz="0" w:space="0" w:color="auto"/>
            <w:bottom w:val="none" w:sz="0" w:space="0" w:color="auto"/>
            <w:right w:val="none" w:sz="0" w:space="0" w:color="auto"/>
          </w:divBdr>
        </w:div>
        <w:div w:id="1701514348">
          <w:marLeft w:val="0"/>
          <w:marRight w:val="0"/>
          <w:marTop w:val="0"/>
          <w:marBottom w:val="0"/>
          <w:divBdr>
            <w:top w:val="none" w:sz="0" w:space="0" w:color="auto"/>
            <w:left w:val="none" w:sz="0" w:space="0" w:color="auto"/>
            <w:bottom w:val="none" w:sz="0" w:space="0" w:color="auto"/>
            <w:right w:val="none" w:sz="0" w:space="0" w:color="auto"/>
          </w:divBdr>
        </w:div>
      </w:divsChild>
    </w:div>
    <w:div w:id="247545820">
      <w:bodyDiv w:val="1"/>
      <w:marLeft w:val="0"/>
      <w:marRight w:val="0"/>
      <w:marTop w:val="0"/>
      <w:marBottom w:val="0"/>
      <w:divBdr>
        <w:top w:val="none" w:sz="0" w:space="0" w:color="auto"/>
        <w:left w:val="none" w:sz="0" w:space="0" w:color="auto"/>
        <w:bottom w:val="none" w:sz="0" w:space="0" w:color="auto"/>
        <w:right w:val="none" w:sz="0" w:space="0" w:color="auto"/>
      </w:divBdr>
      <w:divsChild>
        <w:div w:id="1063917937">
          <w:marLeft w:val="0"/>
          <w:marRight w:val="0"/>
          <w:marTop w:val="0"/>
          <w:marBottom w:val="0"/>
          <w:divBdr>
            <w:top w:val="none" w:sz="0" w:space="0" w:color="auto"/>
            <w:left w:val="none" w:sz="0" w:space="0" w:color="auto"/>
            <w:bottom w:val="none" w:sz="0" w:space="0" w:color="auto"/>
            <w:right w:val="none" w:sz="0" w:space="0" w:color="auto"/>
          </w:divBdr>
          <w:divsChild>
            <w:div w:id="567805230">
              <w:marLeft w:val="0"/>
              <w:marRight w:val="0"/>
              <w:marTop w:val="0"/>
              <w:marBottom w:val="0"/>
              <w:divBdr>
                <w:top w:val="none" w:sz="0" w:space="0" w:color="auto"/>
                <w:left w:val="none" w:sz="0" w:space="0" w:color="auto"/>
                <w:bottom w:val="none" w:sz="0" w:space="0" w:color="auto"/>
                <w:right w:val="none" w:sz="0" w:space="0" w:color="auto"/>
              </w:divBdr>
              <w:divsChild>
                <w:div w:id="15131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26746">
      <w:bodyDiv w:val="1"/>
      <w:marLeft w:val="0"/>
      <w:marRight w:val="0"/>
      <w:marTop w:val="0"/>
      <w:marBottom w:val="0"/>
      <w:divBdr>
        <w:top w:val="none" w:sz="0" w:space="0" w:color="auto"/>
        <w:left w:val="none" w:sz="0" w:space="0" w:color="auto"/>
        <w:bottom w:val="none" w:sz="0" w:space="0" w:color="auto"/>
        <w:right w:val="none" w:sz="0" w:space="0" w:color="auto"/>
      </w:divBdr>
      <w:divsChild>
        <w:div w:id="674304748">
          <w:marLeft w:val="0"/>
          <w:marRight w:val="0"/>
          <w:marTop w:val="0"/>
          <w:marBottom w:val="0"/>
          <w:divBdr>
            <w:top w:val="none" w:sz="0" w:space="0" w:color="auto"/>
            <w:left w:val="none" w:sz="0" w:space="0" w:color="auto"/>
            <w:bottom w:val="none" w:sz="0" w:space="0" w:color="auto"/>
            <w:right w:val="none" w:sz="0" w:space="0" w:color="auto"/>
          </w:divBdr>
        </w:div>
        <w:div w:id="1764300570">
          <w:marLeft w:val="0"/>
          <w:marRight w:val="0"/>
          <w:marTop w:val="0"/>
          <w:marBottom w:val="0"/>
          <w:divBdr>
            <w:top w:val="none" w:sz="0" w:space="0" w:color="auto"/>
            <w:left w:val="none" w:sz="0" w:space="0" w:color="auto"/>
            <w:bottom w:val="none" w:sz="0" w:space="0" w:color="auto"/>
            <w:right w:val="none" w:sz="0" w:space="0" w:color="auto"/>
          </w:divBdr>
        </w:div>
        <w:div w:id="1622227431">
          <w:marLeft w:val="0"/>
          <w:marRight w:val="0"/>
          <w:marTop w:val="0"/>
          <w:marBottom w:val="0"/>
          <w:divBdr>
            <w:top w:val="none" w:sz="0" w:space="0" w:color="auto"/>
            <w:left w:val="none" w:sz="0" w:space="0" w:color="auto"/>
            <w:bottom w:val="none" w:sz="0" w:space="0" w:color="auto"/>
            <w:right w:val="none" w:sz="0" w:space="0" w:color="auto"/>
          </w:divBdr>
        </w:div>
        <w:div w:id="1519849342">
          <w:marLeft w:val="0"/>
          <w:marRight w:val="0"/>
          <w:marTop w:val="0"/>
          <w:marBottom w:val="0"/>
          <w:divBdr>
            <w:top w:val="none" w:sz="0" w:space="0" w:color="auto"/>
            <w:left w:val="none" w:sz="0" w:space="0" w:color="auto"/>
            <w:bottom w:val="none" w:sz="0" w:space="0" w:color="auto"/>
            <w:right w:val="none" w:sz="0" w:space="0" w:color="auto"/>
          </w:divBdr>
        </w:div>
        <w:div w:id="1563642491">
          <w:marLeft w:val="0"/>
          <w:marRight w:val="0"/>
          <w:marTop w:val="0"/>
          <w:marBottom w:val="0"/>
          <w:divBdr>
            <w:top w:val="none" w:sz="0" w:space="0" w:color="auto"/>
            <w:left w:val="none" w:sz="0" w:space="0" w:color="auto"/>
            <w:bottom w:val="none" w:sz="0" w:space="0" w:color="auto"/>
            <w:right w:val="none" w:sz="0" w:space="0" w:color="auto"/>
          </w:divBdr>
        </w:div>
        <w:div w:id="1610234681">
          <w:marLeft w:val="0"/>
          <w:marRight w:val="0"/>
          <w:marTop w:val="0"/>
          <w:marBottom w:val="0"/>
          <w:divBdr>
            <w:top w:val="none" w:sz="0" w:space="0" w:color="auto"/>
            <w:left w:val="none" w:sz="0" w:space="0" w:color="auto"/>
            <w:bottom w:val="none" w:sz="0" w:space="0" w:color="auto"/>
            <w:right w:val="none" w:sz="0" w:space="0" w:color="auto"/>
          </w:divBdr>
        </w:div>
        <w:div w:id="594870550">
          <w:marLeft w:val="0"/>
          <w:marRight w:val="0"/>
          <w:marTop w:val="0"/>
          <w:marBottom w:val="0"/>
          <w:divBdr>
            <w:top w:val="none" w:sz="0" w:space="0" w:color="auto"/>
            <w:left w:val="none" w:sz="0" w:space="0" w:color="auto"/>
            <w:bottom w:val="none" w:sz="0" w:space="0" w:color="auto"/>
            <w:right w:val="none" w:sz="0" w:space="0" w:color="auto"/>
          </w:divBdr>
        </w:div>
        <w:div w:id="1115100194">
          <w:marLeft w:val="0"/>
          <w:marRight w:val="0"/>
          <w:marTop w:val="0"/>
          <w:marBottom w:val="0"/>
          <w:divBdr>
            <w:top w:val="none" w:sz="0" w:space="0" w:color="auto"/>
            <w:left w:val="none" w:sz="0" w:space="0" w:color="auto"/>
            <w:bottom w:val="none" w:sz="0" w:space="0" w:color="auto"/>
            <w:right w:val="none" w:sz="0" w:space="0" w:color="auto"/>
          </w:divBdr>
        </w:div>
        <w:div w:id="1862932401">
          <w:marLeft w:val="0"/>
          <w:marRight w:val="0"/>
          <w:marTop w:val="0"/>
          <w:marBottom w:val="0"/>
          <w:divBdr>
            <w:top w:val="none" w:sz="0" w:space="0" w:color="auto"/>
            <w:left w:val="none" w:sz="0" w:space="0" w:color="auto"/>
            <w:bottom w:val="none" w:sz="0" w:space="0" w:color="auto"/>
            <w:right w:val="none" w:sz="0" w:space="0" w:color="auto"/>
          </w:divBdr>
        </w:div>
        <w:div w:id="1734742118">
          <w:marLeft w:val="0"/>
          <w:marRight w:val="0"/>
          <w:marTop w:val="0"/>
          <w:marBottom w:val="0"/>
          <w:divBdr>
            <w:top w:val="none" w:sz="0" w:space="0" w:color="auto"/>
            <w:left w:val="none" w:sz="0" w:space="0" w:color="auto"/>
            <w:bottom w:val="none" w:sz="0" w:space="0" w:color="auto"/>
            <w:right w:val="none" w:sz="0" w:space="0" w:color="auto"/>
          </w:divBdr>
        </w:div>
        <w:div w:id="818889977">
          <w:marLeft w:val="0"/>
          <w:marRight w:val="0"/>
          <w:marTop w:val="0"/>
          <w:marBottom w:val="0"/>
          <w:divBdr>
            <w:top w:val="none" w:sz="0" w:space="0" w:color="auto"/>
            <w:left w:val="none" w:sz="0" w:space="0" w:color="auto"/>
            <w:bottom w:val="none" w:sz="0" w:space="0" w:color="auto"/>
            <w:right w:val="none" w:sz="0" w:space="0" w:color="auto"/>
          </w:divBdr>
        </w:div>
      </w:divsChild>
    </w:div>
    <w:div w:id="1133056615">
      <w:bodyDiv w:val="1"/>
      <w:marLeft w:val="0"/>
      <w:marRight w:val="0"/>
      <w:marTop w:val="0"/>
      <w:marBottom w:val="0"/>
      <w:divBdr>
        <w:top w:val="none" w:sz="0" w:space="0" w:color="auto"/>
        <w:left w:val="none" w:sz="0" w:space="0" w:color="auto"/>
        <w:bottom w:val="none" w:sz="0" w:space="0" w:color="auto"/>
        <w:right w:val="none" w:sz="0" w:space="0" w:color="auto"/>
      </w:divBdr>
      <w:divsChild>
        <w:div w:id="2044943617">
          <w:marLeft w:val="547"/>
          <w:marRight w:val="0"/>
          <w:marTop w:val="0"/>
          <w:marBottom w:val="0"/>
          <w:divBdr>
            <w:top w:val="none" w:sz="0" w:space="0" w:color="auto"/>
            <w:left w:val="none" w:sz="0" w:space="0" w:color="auto"/>
            <w:bottom w:val="none" w:sz="0" w:space="0" w:color="auto"/>
            <w:right w:val="none" w:sz="0" w:space="0" w:color="auto"/>
          </w:divBdr>
        </w:div>
        <w:div w:id="1337228165">
          <w:marLeft w:val="547"/>
          <w:marRight w:val="0"/>
          <w:marTop w:val="0"/>
          <w:marBottom w:val="0"/>
          <w:divBdr>
            <w:top w:val="none" w:sz="0" w:space="0" w:color="auto"/>
            <w:left w:val="none" w:sz="0" w:space="0" w:color="auto"/>
            <w:bottom w:val="none" w:sz="0" w:space="0" w:color="auto"/>
            <w:right w:val="none" w:sz="0" w:space="0" w:color="auto"/>
          </w:divBdr>
        </w:div>
      </w:divsChild>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sChild>
        <w:div w:id="878129649">
          <w:marLeft w:val="0"/>
          <w:marRight w:val="0"/>
          <w:marTop w:val="0"/>
          <w:marBottom w:val="0"/>
          <w:divBdr>
            <w:top w:val="none" w:sz="0" w:space="0" w:color="auto"/>
            <w:left w:val="none" w:sz="0" w:space="0" w:color="auto"/>
            <w:bottom w:val="none" w:sz="0" w:space="0" w:color="auto"/>
            <w:right w:val="none" w:sz="0" w:space="0" w:color="auto"/>
          </w:divBdr>
        </w:div>
        <w:div w:id="188359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hyperlink" Target="http://www.parliament.uk/briefing-papers/sn01079.pd" TargetMode="External"/><Relationship Id="rId23" Type="http://schemas.openxmlformats.org/officeDocument/2006/relationships/image" Target="media/image4.emf"/><Relationship Id="rId24" Type="http://schemas.openxmlformats.org/officeDocument/2006/relationships/image" Target="media/image5.emf"/><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publications.parliament.uk/pa/cm201314/cmhansrd/cm140320/text/140320w0002.htm" TargetMode="External"/><Relationship Id="rId4" Type="http://schemas.openxmlformats.org/officeDocument/2006/relationships/hyperlink" Target="http://www.aph.gov.au/About_Parliament/Parliamentary_Departments/Parliamentary_Library/pubs/rp/rp1314/QG/HELP" TargetMode="External"/><Relationship Id="rId5" Type="http://schemas.openxmlformats.org/officeDocument/2006/relationships/hyperlink" Target="http://www.ato.gov.au/Rates/HELP-repayment-thresholds-and-rates/" TargetMode="External"/><Relationship Id="rId6" Type="http://schemas.openxmlformats.org/officeDocument/2006/relationships/hyperlink" Target="http://www.hefce.ac.uk/news/newsarchive/2014/news85409.html" TargetMode="External"/><Relationship Id="rId7" Type="http://schemas.openxmlformats.org/officeDocument/2006/relationships/hyperlink" Target="http://www.lhmartininstitute.edu.au/insights-blog/2012/06/89-vet-has-too-many-qualifications-and-is-too-complex" TargetMode="External"/><Relationship Id="rId1" Type="http://schemas.openxmlformats.org/officeDocument/2006/relationships/hyperlink" Target="http://econ.lse.ac.uk/staff/nb/index_own.html" TargetMode="External"/><Relationship Id="rId2" Type="http://schemas.openxmlformats.org/officeDocument/2006/relationships/hyperlink" Target="https://crawford.anu.edu.au/people/academic/bruce-chapman?tb=public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9182BE-9A94-4176-8E7B-45BDFA7CA9E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9A9D2BC2-F58F-41D2-AA32-6BEA73E4AFA2}">
      <dgm:prSet phldrT="[Text]"/>
      <dgm:spPr>
        <a:solidFill>
          <a:srgbClr val="FFC000"/>
        </a:solidFill>
      </dgm:spPr>
      <dgm:t>
        <a:bodyPr/>
        <a:lstStyle/>
        <a:p>
          <a:r>
            <a:rPr lang="en-GB">
              <a:solidFill>
                <a:sysClr val="windowText" lastClr="000000"/>
              </a:solidFill>
            </a:rPr>
            <a:t>First UG degree?</a:t>
          </a:r>
        </a:p>
      </dgm:t>
    </dgm:pt>
    <dgm:pt modelId="{4672B494-DCFD-4492-BEDD-F4B490C9E470}" type="parTrans" cxnId="{39BDA376-656C-4480-90B1-DC184B87F610}">
      <dgm:prSet/>
      <dgm:spPr/>
      <dgm:t>
        <a:bodyPr/>
        <a:lstStyle/>
        <a:p>
          <a:endParaRPr lang="en-GB"/>
        </a:p>
      </dgm:t>
    </dgm:pt>
    <dgm:pt modelId="{A1EA19C0-F76A-4787-9878-BC023E128211}" type="sibTrans" cxnId="{39BDA376-656C-4480-90B1-DC184B87F610}">
      <dgm:prSet/>
      <dgm:spPr/>
      <dgm:t>
        <a:bodyPr/>
        <a:lstStyle/>
        <a:p>
          <a:endParaRPr lang="en-GB"/>
        </a:p>
      </dgm:t>
    </dgm:pt>
    <dgm:pt modelId="{6B6C76DC-4384-4185-A31B-927A3DFF12FA}">
      <dgm:prSet phldrT="[Text]"/>
      <dgm:spPr>
        <a:solidFill>
          <a:srgbClr val="FFC000"/>
        </a:solidFill>
      </dgm:spPr>
      <dgm:t>
        <a:bodyPr/>
        <a:lstStyle/>
        <a:p>
          <a:r>
            <a:rPr lang="en-GB">
              <a:solidFill>
                <a:sysClr val="windowText" lastClr="000000"/>
              </a:solidFill>
            </a:rPr>
            <a:t>Studying over 25% intensity?</a:t>
          </a:r>
        </a:p>
      </dgm:t>
    </dgm:pt>
    <dgm:pt modelId="{58F11FCB-EAFE-4196-BF90-8F0C39337139}" type="parTrans" cxnId="{AAAED479-0B31-48E5-85BF-BC06CA6B9B22}">
      <dgm:prSet/>
      <dgm:spPr/>
      <dgm:t>
        <a:bodyPr/>
        <a:lstStyle/>
        <a:p>
          <a:endParaRPr lang="en-GB"/>
        </a:p>
      </dgm:t>
    </dgm:pt>
    <dgm:pt modelId="{2DC942C8-5993-4607-A1F3-AD3CD23DAD78}" type="sibTrans" cxnId="{AAAED479-0B31-48E5-85BF-BC06CA6B9B22}">
      <dgm:prSet/>
      <dgm:spPr/>
      <dgm:t>
        <a:bodyPr/>
        <a:lstStyle/>
        <a:p>
          <a:endParaRPr lang="en-GB"/>
        </a:p>
      </dgm:t>
    </dgm:pt>
    <dgm:pt modelId="{C298766A-98BC-4501-BFB5-59018699461B}">
      <dgm:prSet phldrT="[Text]" custT="1"/>
      <dgm:spPr>
        <a:solidFill>
          <a:srgbClr val="FFC000"/>
        </a:solidFill>
      </dgm:spPr>
      <dgm:t>
        <a:bodyPr/>
        <a:lstStyle/>
        <a:p>
          <a:endParaRPr lang="en-GB" sz="800">
            <a:solidFill>
              <a:sysClr val="windowText" lastClr="000000"/>
            </a:solidFill>
          </a:endParaRPr>
        </a:p>
        <a:p>
          <a:r>
            <a:rPr lang="en-GB" sz="800">
              <a:solidFill>
                <a:sysClr val="windowText" lastClr="000000"/>
              </a:solidFill>
            </a:rPr>
            <a:t>Studying a high cost subject?</a:t>
          </a:r>
        </a:p>
        <a:p>
          <a:endParaRPr lang="en-GB" sz="700"/>
        </a:p>
      </dgm:t>
    </dgm:pt>
    <dgm:pt modelId="{93BE1350-BA41-4992-A6B9-BDD3F3AD6D2C}" type="parTrans" cxnId="{E894724D-3611-40BC-A97C-D693F79E5E04}">
      <dgm:prSet/>
      <dgm:spPr/>
      <dgm:t>
        <a:bodyPr/>
        <a:lstStyle/>
        <a:p>
          <a:endParaRPr lang="en-GB"/>
        </a:p>
      </dgm:t>
    </dgm:pt>
    <dgm:pt modelId="{31E12976-4D5D-4F31-876F-623673C4071D}" type="sibTrans" cxnId="{E894724D-3611-40BC-A97C-D693F79E5E04}">
      <dgm:prSet/>
      <dgm:spPr/>
      <dgm:t>
        <a:bodyPr/>
        <a:lstStyle/>
        <a:p>
          <a:endParaRPr lang="en-GB"/>
        </a:p>
      </dgm:t>
    </dgm:pt>
    <dgm:pt modelId="{1A26B086-F996-410E-A072-19782CA3FFBE}">
      <dgm:prSet phldrT="[Text]"/>
      <dgm:spPr>
        <a:solidFill>
          <a:srgbClr val="002060"/>
        </a:solidFill>
      </dgm:spPr>
      <dgm:t>
        <a:bodyPr/>
        <a:lstStyle/>
        <a:p>
          <a:r>
            <a:rPr lang="en-GB"/>
            <a:t>100% fee upfront </a:t>
          </a:r>
        </a:p>
        <a:p>
          <a:r>
            <a:rPr lang="en-GB"/>
            <a:t>(no fee max)</a:t>
          </a:r>
        </a:p>
      </dgm:t>
    </dgm:pt>
    <dgm:pt modelId="{86370F82-E2C9-49DE-B8E8-C519B86CC7BC}" type="parTrans" cxnId="{7E96D596-B017-484B-A0C1-1C0996BF2093}">
      <dgm:prSet/>
      <dgm:spPr/>
      <dgm:t>
        <a:bodyPr/>
        <a:lstStyle/>
        <a:p>
          <a:endParaRPr lang="en-GB"/>
        </a:p>
      </dgm:t>
    </dgm:pt>
    <dgm:pt modelId="{A94ABC0C-AD45-407F-A452-C3C781C67FC1}" type="sibTrans" cxnId="{7E96D596-B017-484B-A0C1-1C0996BF2093}">
      <dgm:prSet/>
      <dgm:spPr/>
      <dgm:t>
        <a:bodyPr/>
        <a:lstStyle/>
        <a:p>
          <a:endParaRPr lang="en-GB"/>
        </a:p>
      </dgm:t>
    </dgm:pt>
    <dgm:pt modelId="{F282DA47-FB7B-4D04-B3CE-A5AE8967F869}">
      <dgm:prSet phldrT="[Text]"/>
      <dgm:spPr>
        <a:solidFill>
          <a:srgbClr val="FFC000"/>
        </a:solidFill>
      </dgm:spPr>
      <dgm:t>
        <a:bodyPr/>
        <a:lstStyle/>
        <a:p>
          <a:r>
            <a:rPr lang="en-GB">
              <a:solidFill>
                <a:sysClr val="windowText" lastClr="000000"/>
              </a:solidFill>
            </a:rPr>
            <a:t>Postgraduate?</a:t>
          </a:r>
        </a:p>
      </dgm:t>
    </dgm:pt>
    <dgm:pt modelId="{3D3686F2-495F-4C9A-9C6E-1130B17C06B8}" type="parTrans" cxnId="{5164B6F0-DAFA-499A-A587-19E35AEDC513}">
      <dgm:prSet/>
      <dgm:spPr/>
      <dgm:t>
        <a:bodyPr/>
        <a:lstStyle/>
        <a:p>
          <a:endParaRPr lang="en-GB"/>
        </a:p>
      </dgm:t>
    </dgm:pt>
    <dgm:pt modelId="{486AB5F5-4052-4CC4-BEE4-1BDC77F5FE7B}" type="sibTrans" cxnId="{5164B6F0-DAFA-499A-A587-19E35AEDC513}">
      <dgm:prSet/>
      <dgm:spPr/>
      <dgm:t>
        <a:bodyPr/>
        <a:lstStyle/>
        <a:p>
          <a:endParaRPr lang="en-GB"/>
        </a:p>
      </dgm:t>
    </dgm:pt>
    <dgm:pt modelId="{437ED22C-5D10-4E91-9429-4FEE4C9641B0}">
      <dgm:prSet phldrT="[Text]"/>
      <dgm:spPr>
        <a:solidFill>
          <a:srgbClr val="FFC000"/>
        </a:solidFill>
      </dgm:spPr>
      <dgm:t>
        <a:bodyPr/>
        <a:lstStyle/>
        <a:p>
          <a:r>
            <a:rPr lang="en-GB">
              <a:solidFill>
                <a:sysClr val="windowText" lastClr="000000"/>
              </a:solidFill>
            </a:rPr>
            <a:t>On a subsidised postgraduate course?</a:t>
          </a:r>
        </a:p>
      </dgm:t>
    </dgm:pt>
    <dgm:pt modelId="{EDEB9439-3D52-4023-9730-4C9BA5D1E826}" type="parTrans" cxnId="{E4D22C8C-C773-4099-B291-1A5BE3900542}">
      <dgm:prSet/>
      <dgm:spPr/>
      <dgm:t>
        <a:bodyPr/>
        <a:lstStyle/>
        <a:p>
          <a:endParaRPr lang="en-GB"/>
        </a:p>
      </dgm:t>
    </dgm:pt>
    <dgm:pt modelId="{0D6C9220-E884-4503-AAF7-517BFBB47523}" type="sibTrans" cxnId="{E4D22C8C-C773-4099-B291-1A5BE3900542}">
      <dgm:prSet/>
      <dgm:spPr/>
      <dgm:t>
        <a:bodyPr/>
        <a:lstStyle/>
        <a:p>
          <a:endParaRPr lang="en-GB"/>
        </a:p>
      </dgm:t>
    </dgm:pt>
    <dgm:pt modelId="{3F69DEF2-CF0E-4DF4-9AE6-88FA683DC5CC}">
      <dgm:prSet/>
      <dgm:spPr>
        <a:solidFill>
          <a:srgbClr val="FF0000"/>
        </a:solidFill>
      </dgm:spPr>
      <dgm:t>
        <a:bodyPr/>
        <a:lstStyle/>
        <a:p>
          <a:r>
            <a:rPr lang="en-GB"/>
            <a:t>Fee loan </a:t>
          </a:r>
        </a:p>
        <a:p>
          <a:r>
            <a:rPr lang="en-GB"/>
            <a:t>(max fee £9K)</a:t>
          </a:r>
        </a:p>
        <a:p>
          <a:r>
            <a:rPr lang="en-GB"/>
            <a:t>T funding</a:t>
          </a:r>
        </a:p>
      </dgm:t>
    </dgm:pt>
    <dgm:pt modelId="{B446C47A-3ED8-450D-B482-F9E91734DF4F}" type="parTrans" cxnId="{BF0A83D5-AE03-4905-98E4-D528E4736CA8}">
      <dgm:prSet/>
      <dgm:spPr/>
      <dgm:t>
        <a:bodyPr/>
        <a:lstStyle/>
        <a:p>
          <a:endParaRPr lang="en-GB"/>
        </a:p>
      </dgm:t>
    </dgm:pt>
    <dgm:pt modelId="{9ACCAF62-69C2-4174-A17D-D65FB760D560}" type="sibTrans" cxnId="{BF0A83D5-AE03-4905-98E4-D528E4736CA8}">
      <dgm:prSet/>
      <dgm:spPr/>
      <dgm:t>
        <a:bodyPr/>
        <a:lstStyle/>
        <a:p>
          <a:endParaRPr lang="en-GB"/>
        </a:p>
      </dgm:t>
    </dgm:pt>
    <dgm:pt modelId="{FD0BC5F4-A6A2-49CB-A826-C5CBE2C9D0A0}">
      <dgm:prSet/>
      <dgm:spPr>
        <a:solidFill>
          <a:srgbClr val="FF0000"/>
        </a:solidFill>
      </dgm:spPr>
      <dgm:t>
        <a:bodyPr/>
        <a:lstStyle/>
        <a:p>
          <a:r>
            <a:rPr lang="en-GB"/>
            <a:t>Fee loan</a:t>
          </a:r>
        </a:p>
        <a:p>
          <a:r>
            <a:rPr lang="en-GB"/>
            <a:t>(max fee £9K)</a:t>
          </a:r>
        </a:p>
      </dgm:t>
    </dgm:pt>
    <dgm:pt modelId="{562572A2-5F97-4060-A9A2-2BA536582808}" type="parTrans" cxnId="{A72C4EA4-3422-4324-9E11-F028FEB877DF}">
      <dgm:prSet/>
      <dgm:spPr/>
      <dgm:t>
        <a:bodyPr/>
        <a:lstStyle/>
        <a:p>
          <a:endParaRPr lang="en-GB"/>
        </a:p>
      </dgm:t>
    </dgm:pt>
    <dgm:pt modelId="{4E0FDE65-FC8A-4BEF-9CA1-F5DE564FD29E}" type="sibTrans" cxnId="{A72C4EA4-3422-4324-9E11-F028FEB877DF}">
      <dgm:prSet/>
      <dgm:spPr/>
      <dgm:t>
        <a:bodyPr/>
        <a:lstStyle/>
        <a:p>
          <a:endParaRPr lang="en-GB"/>
        </a:p>
      </dgm:t>
    </dgm:pt>
    <dgm:pt modelId="{15ADFCF4-A7DA-46DC-BC0A-8C6C3F4D94CC}">
      <dgm:prSet/>
      <dgm:spPr>
        <a:solidFill>
          <a:srgbClr val="002060"/>
        </a:solidFill>
      </dgm:spPr>
      <dgm:t>
        <a:bodyPr/>
        <a:lstStyle/>
        <a:p>
          <a:r>
            <a:rPr lang="en-GB"/>
            <a:t>100% fee upfront </a:t>
          </a:r>
        </a:p>
        <a:p>
          <a:r>
            <a:rPr lang="en-GB"/>
            <a:t>(no fee max)</a:t>
          </a:r>
        </a:p>
      </dgm:t>
    </dgm:pt>
    <dgm:pt modelId="{715D702A-B69B-41A5-B38A-BC66A06CB42B}" type="parTrans" cxnId="{96DA03A0-1711-494A-B804-1C0CECA3F6BD}">
      <dgm:prSet/>
      <dgm:spPr/>
      <dgm:t>
        <a:bodyPr/>
        <a:lstStyle/>
        <a:p>
          <a:endParaRPr lang="en-GB"/>
        </a:p>
      </dgm:t>
    </dgm:pt>
    <dgm:pt modelId="{384A92E5-01BF-4807-A064-801BA85FE664}" type="sibTrans" cxnId="{96DA03A0-1711-494A-B804-1C0CECA3F6BD}">
      <dgm:prSet/>
      <dgm:spPr/>
      <dgm:t>
        <a:bodyPr/>
        <a:lstStyle/>
        <a:p>
          <a:endParaRPr lang="en-GB"/>
        </a:p>
      </dgm:t>
    </dgm:pt>
    <dgm:pt modelId="{62C6D494-5371-4F21-A203-FBB4C328157C}">
      <dgm:prSet/>
      <dgm:spPr>
        <a:solidFill>
          <a:srgbClr val="7030A0"/>
        </a:solidFill>
      </dgm:spPr>
      <dgm:t>
        <a:bodyPr/>
        <a:lstStyle/>
        <a:p>
          <a:r>
            <a:rPr lang="en-GB"/>
            <a:t>Fee upfront</a:t>
          </a:r>
        </a:p>
        <a:p>
          <a:r>
            <a:rPr lang="en-GB"/>
            <a:t>(no fee max)</a:t>
          </a:r>
        </a:p>
        <a:p>
          <a:r>
            <a:rPr lang="en-GB"/>
            <a:t>Some T funding</a:t>
          </a:r>
        </a:p>
      </dgm:t>
    </dgm:pt>
    <dgm:pt modelId="{E8B27A0D-26D7-4AE9-93E2-A042B60A1527}" type="parTrans" cxnId="{F525AF30-B82F-4922-AF53-00DC163223EE}">
      <dgm:prSet/>
      <dgm:spPr/>
      <dgm:t>
        <a:bodyPr/>
        <a:lstStyle/>
        <a:p>
          <a:endParaRPr lang="en-GB"/>
        </a:p>
      </dgm:t>
    </dgm:pt>
    <dgm:pt modelId="{3E5FFE67-5B3E-48E5-BDF7-4E6FCD696D51}" type="sibTrans" cxnId="{F525AF30-B82F-4922-AF53-00DC163223EE}">
      <dgm:prSet/>
      <dgm:spPr/>
      <dgm:t>
        <a:bodyPr/>
        <a:lstStyle/>
        <a:p>
          <a:endParaRPr lang="en-GB"/>
        </a:p>
      </dgm:t>
    </dgm:pt>
    <dgm:pt modelId="{95A1D799-185F-45A2-823F-F9179A1523DE}">
      <dgm:prSet/>
      <dgm:spPr>
        <a:solidFill>
          <a:srgbClr val="002060"/>
        </a:solidFill>
      </dgm:spPr>
      <dgm:t>
        <a:bodyPr/>
        <a:lstStyle/>
        <a:p>
          <a:r>
            <a:rPr lang="en-GB"/>
            <a:t>100% fee upfront</a:t>
          </a:r>
        </a:p>
        <a:p>
          <a:r>
            <a:rPr lang="en-GB"/>
            <a:t>(no fee max)</a:t>
          </a:r>
        </a:p>
      </dgm:t>
    </dgm:pt>
    <dgm:pt modelId="{F23ACE40-56F9-486B-905D-6D546AB1ECA4}" type="parTrans" cxnId="{D5DDAC46-ABE1-4B94-AF54-23541729FE4E}">
      <dgm:prSet/>
      <dgm:spPr/>
      <dgm:t>
        <a:bodyPr/>
        <a:lstStyle/>
        <a:p>
          <a:endParaRPr lang="en-GB"/>
        </a:p>
      </dgm:t>
    </dgm:pt>
    <dgm:pt modelId="{14EC950A-E35A-4ECD-8E31-0C9829D70025}" type="sibTrans" cxnId="{D5DDAC46-ABE1-4B94-AF54-23541729FE4E}">
      <dgm:prSet/>
      <dgm:spPr/>
      <dgm:t>
        <a:bodyPr/>
        <a:lstStyle/>
        <a:p>
          <a:endParaRPr lang="en-GB"/>
        </a:p>
      </dgm:t>
    </dgm:pt>
    <dgm:pt modelId="{BAF98480-57DB-42DB-8EA5-592850FB4DEA}">
      <dgm:prSet/>
      <dgm:spPr>
        <a:solidFill>
          <a:srgbClr val="FF0000"/>
        </a:solidFill>
      </dgm:spPr>
      <dgm:t>
        <a:bodyPr/>
        <a:lstStyle/>
        <a:p>
          <a:r>
            <a:rPr lang="en-GB"/>
            <a:t>Fee loan </a:t>
          </a:r>
        </a:p>
        <a:p>
          <a:r>
            <a:rPr lang="en-GB"/>
            <a:t>(max fee £6K)</a:t>
          </a:r>
        </a:p>
      </dgm:t>
    </dgm:pt>
    <dgm:pt modelId="{025E8587-6E01-47E6-A50F-2D399847034A}" type="parTrans" cxnId="{B928E0B4-1610-4E3E-A62A-ED1DA054E251}">
      <dgm:prSet/>
      <dgm:spPr/>
      <dgm:t>
        <a:bodyPr/>
        <a:lstStyle/>
        <a:p>
          <a:endParaRPr lang="en-GB"/>
        </a:p>
      </dgm:t>
    </dgm:pt>
    <dgm:pt modelId="{473DDC9E-9BB4-4B55-A925-C0C75C0556EE}" type="sibTrans" cxnId="{B928E0B4-1610-4E3E-A62A-ED1DA054E251}">
      <dgm:prSet/>
      <dgm:spPr/>
      <dgm:t>
        <a:bodyPr/>
        <a:lstStyle/>
        <a:p>
          <a:endParaRPr lang="en-GB"/>
        </a:p>
      </dgm:t>
    </dgm:pt>
    <dgm:pt modelId="{37117BBC-69BD-41C1-A5E9-054FD0B47663}">
      <dgm:prSet custT="1"/>
      <dgm:spPr>
        <a:solidFill>
          <a:srgbClr val="FFC000"/>
        </a:solidFill>
      </dgm:spPr>
      <dgm:t>
        <a:bodyPr/>
        <a:lstStyle/>
        <a:p>
          <a:r>
            <a:rPr lang="en-GB" sz="800">
              <a:solidFill>
                <a:sysClr val="windowText" lastClr="000000"/>
              </a:solidFill>
            </a:rPr>
            <a:t>Studying at a private provider?</a:t>
          </a:r>
        </a:p>
      </dgm:t>
    </dgm:pt>
    <dgm:pt modelId="{70B58060-8F87-4493-A409-67F8B9BE2C02}" type="sibTrans" cxnId="{9FBE6EF1-4FF5-4D67-BCEC-105F2ADDF6C3}">
      <dgm:prSet/>
      <dgm:spPr/>
      <dgm:t>
        <a:bodyPr/>
        <a:lstStyle/>
        <a:p>
          <a:endParaRPr lang="en-GB"/>
        </a:p>
      </dgm:t>
    </dgm:pt>
    <dgm:pt modelId="{0873F135-4418-4BAE-B7B9-DE11E732CFCA}" type="parTrans" cxnId="{9FBE6EF1-4FF5-4D67-BCEC-105F2ADDF6C3}">
      <dgm:prSet/>
      <dgm:spPr/>
      <dgm:t>
        <a:bodyPr/>
        <a:lstStyle/>
        <a:p>
          <a:endParaRPr lang="en-GB"/>
        </a:p>
      </dgm:t>
    </dgm:pt>
    <dgm:pt modelId="{124A1039-9422-44F3-938C-A339183481C7}" type="pres">
      <dgm:prSet presAssocID="{879182BE-9A94-4176-8E7B-45BDFA7CA9E4}" presName="diagram" presStyleCnt="0">
        <dgm:presLayoutVars>
          <dgm:chPref val="1"/>
          <dgm:dir/>
          <dgm:animOne val="branch"/>
          <dgm:animLvl val="lvl"/>
          <dgm:resizeHandles val="exact"/>
        </dgm:presLayoutVars>
      </dgm:prSet>
      <dgm:spPr/>
      <dgm:t>
        <a:bodyPr/>
        <a:lstStyle/>
        <a:p>
          <a:endParaRPr lang="en-GB"/>
        </a:p>
      </dgm:t>
    </dgm:pt>
    <dgm:pt modelId="{C4B6D55B-AE01-480F-846A-A2CF50E331F2}" type="pres">
      <dgm:prSet presAssocID="{9A9D2BC2-F58F-41D2-AA32-6BEA73E4AFA2}" presName="root1" presStyleCnt="0"/>
      <dgm:spPr/>
    </dgm:pt>
    <dgm:pt modelId="{A3014A96-4305-414A-9133-ADFC22560E45}" type="pres">
      <dgm:prSet presAssocID="{9A9D2BC2-F58F-41D2-AA32-6BEA73E4AFA2}" presName="LevelOneTextNode" presStyleLbl="node0" presStyleIdx="0" presStyleCnt="1" custLinFactNeighborX="-63" custLinFactNeighborY="-1806">
        <dgm:presLayoutVars>
          <dgm:chPref val="3"/>
        </dgm:presLayoutVars>
      </dgm:prSet>
      <dgm:spPr/>
      <dgm:t>
        <a:bodyPr/>
        <a:lstStyle/>
        <a:p>
          <a:endParaRPr lang="en-GB"/>
        </a:p>
      </dgm:t>
    </dgm:pt>
    <dgm:pt modelId="{DEE0C556-3873-4633-9E2C-314C2CF1D242}" type="pres">
      <dgm:prSet presAssocID="{9A9D2BC2-F58F-41D2-AA32-6BEA73E4AFA2}" presName="level2hierChild" presStyleCnt="0"/>
      <dgm:spPr/>
    </dgm:pt>
    <dgm:pt modelId="{DA662F79-8BE1-4AE8-9CE6-3B0997E30FE2}" type="pres">
      <dgm:prSet presAssocID="{58F11FCB-EAFE-4196-BF90-8F0C39337139}" presName="conn2-1" presStyleLbl="parChTrans1D2" presStyleIdx="0" presStyleCnt="2"/>
      <dgm:spPr/>
      <dgm:t>
        <a:bodyPr/>
        <a:lstStyle/>
        <a:p>
          <a:endParaRPr lang="en-GB"/>
        </a:p>
      </dgm:t>
    </dgm:pt>
    <dgm:pt modelId="{50DBBEF2-D48B-470B-B983-ACD24AA7B3D8}" type="pres">
      <dgm:prSet presAssocID="{58F11FCB-EAFE-4196-BF90-8F0C39337139}" presName="connTx" presStyleLbl="parChTrans1D2" presStyleIdx="0" presStyleCnt="2"/>
      <dgm:spPr/>
      <dgm:t>
        <a:bodyPr/>
        <a:lstStyle/>
        <a:p>
          <a:endParaRPr lang="en-GB"/>
        </a:p>
      </dgm:t>
    </dgm:pt>
    <dgm:pt modelId="{8D1F0E26-1817-4C24-8CD7-40D1F1DBADCD}" type="pres">
      <dgm:prSet presAssocID="{6B6C76DC-4384-4185-A31B-927A3DFF12FA}" presName="root2" presStyleCnt="0"/>
      <dgm:spPr/>
    </dgm:pt>
    <dgm:pt modelId="{D4B59972-679B-42F5-9956-2C0EAD6A85EA}" type="pres">
      <dgm:prSet presAssocID="{6B6C76DC-4384-4185-A31B-927A3DFF12FA}" presName="LevelTwoTextNode" presStyleLbl="node2" presStyleIdx="0" presStyleCnt="2">
        <dgm:presLayoutVars>
          <dgm:chPref val="3"/>
        </dgm:presLayoutVars>
      </dgm:prSet>
      <dgm:spPr/>
      <dgm:t>
        <a:bodyPr/>
        <a:lstStyle/>
        <a:p>
          <a:endParaRPr lang="en-GB"/>
        </a:p>
      </dgm:t>
    </dgm:pt>
    <dgm:pt modelId="{8C635DA0-C6CF-4706-B34C-ED2D02715051}" type="pres">
      <dgm:prSet presAssocID="{6B6C76DC-4384-4185-A31B-927A3DFF12FA}" presName="level3hierChild" presStyleCnt="0"/>
      <dgm:spPr/>
    </dgm:pt>
    <dgm:pt modelId="{256DC3CA-E674-47FE-A905-3490876A402B}" type="pres">
      <dgm:prSet presAssocID="{0873F135-4418-4BAE-B7B9-DE11E732CFCA}" presName="conn2-1" presStyleLbl="parChTrans1D3" presStyleIdx="0" presStyleCnt="4"/>
      <dgm:spPr/>
      <dgm:t>
        <a:bodyPr/>
        <a:lstStyle/>
        <a:p>
          <a:endParaRPr lang="en-GB"/>
        </a:p>
      </dgm:t>
    </dgm:pt>
    <dgm:pt modelId="{51DB51D9-D632-4F13-9399-673219ADAE61}" type="pres">
      <dgm:prSet presAssocID="{0873F135-4418-4BAE-B7B9-DE11E732CFCA}" presName="connTx" presStyleLbl="parChTrans1D3" presStyleIdx="0" presStyleCnt="4"/>
      <dgm:spPr/>
      <dgm:t>
        <a:bodyPr/>
        <a:lstStyle/>
        <a:p>
          <a:endParaRPr lang="en-GB"/>
        </a:p>
      </dgm:t>
    </dgm:pt>
    <dgm:pt modelId="{94F70DD7-A27E-418D-8932-57FE131291D4}" type="pres">
      <dgm:prSet presAssocID="{37117BBC-69BD-41C1-A5E9-054FD0B47663}" presName="root2" presStyleCnt="0"/>
      <dgm:spPr/>
    </dgm:pt>
    <dgm:pt modelId="{4D2DB224-B1A0-4AB0-8155-73E11838A853}" type="pres">
      <dgm:prSet presAssocID="{37117BBC-69BD-41C1-A5E9-054FD0B47663}" presName="LevelTwoTextNode" presStyleLbl="node3" presStyleIdx="0" presStyleCnt="4">
        <dgm:presLayoutVars>
          <dgm:chPref val="3"/>
        </dgm:presLayoutVars>
      </dgm:prSet>
      <dgm:spPr/>
      <dgm:t>
        <a:bodyPr/>
        <a:lstStyle/>
        <a:p>
          <a:endParaRPr lang="en-GB"/>
        </a:p>
      </dgm:t>
    </dgm:pt>
    <dgm:pt modelId="{F566A36E-2810-4C0F-8400-AA0B56681C91}" type="pres">
      <dgm:prSet presAssocID="{37117BBC-69BD-41C1-A5E9-054FD0B47663}" presName="level3hierChild" presStyleCnt="0"/>
      <dgm:spPr/>
    </dgm:pt>
    <dgm:pt modelId="{BCABC5EE-F232-4053-BA8A-507DEC78A717}" type="pres">
      <dgm:prSet presAssocID="{93BE1350-BA41-4992-A6B9-BDD3F3AD6D2C}" presName="conn2-1" presStyleLbl="parChTrans1D4" presStyleIdx="0" presStyleCnt="6"/>
      <dgm:spPr/>
      <dgm:t>
        <a:bodyPr/>
        <a:lstStyle/>
        <a:p>
          <a:endParaRPr lang="en-GB"/>
        </a:p>
      </dgm:t>
    </dgm:pt>
    <dgm:pt modelId="{C1B25A5B-3BB4-45DD-A47A-FC56421F34A5}" type="pres">
      <dgm:prSet presAssocID="{93BE1350-BA41-4992-A6B9-BDD3F3AD6D2C}" presName="connTx" presStyleLbl="parChTrans1D4" presStyleIdx="0" presStyleCnt="6"/>
      <dgm:spPr/>
      <dgm:t>
        <a:bodyPr/>
        <a:lstStyle/>
        <a:p>
          <a:endParaRPr lang="en-GB"/>
        </a:p>
      </dgm:t>
    </dgm:pt>
    <dgm:pt modelId="{E35EEA46-9A23-4189-B187-F002B649A642}" type="pres">
      <dgm:prSet presAssocID="{C298766A-98BC-4501-BFB5-59018699461B}" presName="root2" presStyleCnt="0"/>
      <dgm:spPr/>
    </dgm:pt>
    <dgm:pt modelId="{64568F69-92A9-41B1-B298-BC9D97334070}" type="pres">
      <dgm:prSet presAssocID="{C298766A-98BC-4501-BFB5-59018699461B}" presName="LevelTwoTextNode" presStyleLbl="node4" presStyleIdx="0" presStyleCnt="6" custLinFactY="9927" custLinFactNeighborX="-2761" custLinFactNeighborY="100000">
        <dgm:presLayoutVars>
          <dgm:chPref val="3"/>
        </dgm:presLayoutVars>
      </dgm:prSet>
      <dgm:spPr/>
      <dgm:t>
        <a:bodyPr/>
        <a:lstStyle/>
        <a:p>
          <a:endParaRPr lang="en-GB"/>
        </a:p>
      </dgm:t>
    </dgm:pt>
    <dgm:pt modelId="{0859BAED-E415-40F0-8BFD-33E6465039C9}" type="pres">
      <dgm:prSet presAssocID="{C298766A-98BC-4501-BFB5-59018699461B}" presName="level3hierChild" presStyleCnt="0"/>
      <dgm:spPr/>
    </dgm:pt>
    <dgm:pt modelId="{27B4A551-98B4-47AA-9B0D-07CDCD37334E}" type="pres">
      <dgm:prSet presAssocID="{B446C47A-3ED8-450D-B482-F9E91734DF4F}" presName="conn2-1" presStyleLbl="parChTrans1D4" presStyleIdx="1" presStyleCnt="6"/>
      <dgm:spPr/>
      <dgm:t>
        <a:bodyPr/>
        <a:lstStyle/>
        <a:p>
          <a:endParaRPr lang="en-GB"/>
        </a:p>
      </dgm:t>
    </dgm:pt>
    <dgm:pt modelId="{DBEC01CB-63F9-4145-B14B-6559AEDE4F64}" type="pres">
      <dgm:prSet presAssocID="{B446C47A-3ED8-450D-B482-F9E91734DF4F}" presName="connTx" presStyleLbl="parChTrans1D4" presStyleIdx="1" presStyleCnt="6"/>
      <dgm:spPr/>
      <dgm:t>
        <a:bodyPr/>
        <a:lstStyle/>
        <a:p>
          <a:endParaRPr lang="en-GB"/>
        </a:p>
      </dgm:t>
    </dgm:pt>
    <dgm:pt modelId="{B04BD585-8BEC-4527-B8C8-AAE0EDAC117C}" type="pres">
      <dgm:prSet presAssocID="{3F69DEF2-CF0E-4DF4-9AE6-88FA683DC5CC}" presName="root2" presStyleCnt="0"/>
      <dgm:spPr/>
    </dgm:pt>
    <dgm:pt modelId="{5E454903-4A0E-4EBE-8BCC-52DC0B62F1EE}" type="pres">
      <dgm:prSet presAssocID="{3F69DEF2-CF0E-4DF4-9AE6-88FA683DC5CC}" presName="LevelTwoTextNode" presStyleLbl="node4" presStyleIdx="1" presStyleCnt="6" custLinFactNeighborX="589" custLinFactNeighborY="98554">
        <dgm:presLayoutVars>
          <dgm:chPref val="3"/>
        </dgm:presLayoutVars>
      </dgm:prSet>
      <dgm:spPr/>
      <dgm:t>
        <a:bodyPr/>
        <a:lstStyle/>
        <a:p>
          <a:endParaRPr lang="en-GB"/>
        </a:p>
      </dgm:t>
    </dgm:pt>
    <dgm:pt modelId="{5553E729-EE1E-4CE7-9FB2-7211D9EE1936}" type="pres">
      <dgm:prSet presAssocID="{3F69DEF2-CF0E-4DF4-9AE6-88FA683DC5CC}" presName="level3hierChild" presStyleCnt="0"/>
      <dgm:spPr/>
    </dgm:pt>
    <dgm:pt modelId="{5BD33D61-6E23-4190-B197-151CDB742252}" type="pres">
      <dgm:prSet presAssocID="{562572A2-5F97-4060-A9A2-2BA536582808}" presName="conn2-1" presStyleLbl="parChTrans1D4" presStyleIdx="2" presStyleCnt="6"/>
      <dgm:spPr/>
      <dgm:t>
        <a:bodyPr/>
        <a:lstStyle/>
        <a:p>
          <a:endParaRPr lang="en-GB"/>
        </a:p>
      </dgm:t>
    </dgm:pt>
    <dgm:pt modelId="{0335992F-260C-4A7B-8879-81E3F9B1F377}" type="pres">
      <dgm:prSet presAssocID="{562572A2-5F97-4060-A9A2-2BA536582808}" presName="connTx" presStyleLbl="parChTrans1D4" presStyleIdx="2" presStyleCnt="6"/>
      <dgm:spPr/>
      <dgm:t>
        <a:bodyPr/>
        <a:lstStyle/>
        <a:p>
          <a:endParaRPr lang="en-GB"/>
        </a:p>
      </dgm:t>
    </dgm:pt>
    <dgm:pt modelId="{09B2EED6-9119-40D9-9C25-57F9FF63A64D}" type="pres">
      <dgm:prSet presAssocID="{FD0BC5F4-A6A2-49CB-A826-C5CBE2C9D0A0}" presName="root2" presStyleCnt="0"/>
      <dgm:spPr/>
    </dgm:pt>
    <dgm:pt modelId="{794215F7-5961-4B94-B54C-1DCA1C30F327}" type="pres">
      <dgm:prSet presAssocID="{FD0BC5F4-A6A2-49CB-A826-C5CBE2C9D0A0}" presName="LevelTwoTextNode" presStyleLbl="node4" presStyleIdx="2" presStyleCnt="6" custLinFactY="9821" custLinFactNeighborX="589" custLinFactNeighborY="100000">
        <dgm:presLayoutVars>
          <dgm:chPref val="3"/>
        </dgm:presLayoutVars>
      </dgm:prSet>
      <dgm:spPr/>
      <dgm:t>
        <a:bodyPr/>
        <a:lstStyle/>
        <a:p>
          <a:endParaRPr lang="en-GB"/>
        </a:p>
      </dgm:t>
    </dgm:pt>
    <dgm:pt modelId="{98FE3E51-C178-4EEA-9457-4ABAB0EAA9E5}" type="pres">
      <dgm:prSet presAssocID="{FD0BC5F4-A6A2-49CB-A826-C5CBE2C9D0A0}" presName="level3hierChild" presStyleCnt="0"/>
      <dgm:spPr/>
    </dgm:pt>
    <dgm:pt modelId="{A8AD05E1-9B40-4BEB-A74D-0B693EC26750}" type="pres">
      <dgm:prSet presAssocID="{025E8587-6E01-47E6-A50F-2D399847034A}" presName="conn2-1" presStyleLbl="parChTrans1D4" presStyleIdx="3" presStyleCnt="6"/>
      <dgm:spPr/>
      <dgm:t>
        <a:bodyPr/>
        <a:lstStyle/>
        <a:p>
          <a:endParaRPr lang="en-GB"/>
        </a:p>
      </dgm:t>
    </dgm:pt>
    <dgm:pt modelId="{0947D0CE-4728-4F97-8FD3-165C26173BF0}" type="pres">
      <dgm:prSet presAssocID="{025E8587-6E01-47E6-A50F-2D399847034A}" presName="connTx" presStyleLbl="parChTrans1D4" presStyleIdx="3" presStyleCnt="6"/>
      <dgm:spPr/>
      <dgm:t>
        <a:bodyPr/>
        <a:lstStyle/>
        <a:p>
          <a:endParaRPr lang="en-GB"/>
        </a:p>
      </dgm:t>
    </dgm:pt>
    <dgm:pt modelId="{E707259E-F5AC-4A7B-9247-2F1EBA31B1A8}" type="pres">
      <dgm:prSet presAssocID="{BAF98480-57DB-42DB-8EA5-592850FB4DEA}" presName="root2" presStyleCnt="0"/>
      <dgm:spPr/>
    </dgm:pt>
    <dgm:pt modelId="{30A31764-4A92-44DE-9ACE-0856F8236CDE}" type="pres">
      <dgm:prSet presAssocID="{BAF98480-57DB-42DB-8EA5-592850FB4DEA}" presName="LevelTwoTextNode" presStyleLbl="node4" presStyleIdx="3" presStyleCnt="6" custLinFactY="-31340" custLinFactNeighborX="-2761" custLinFactNeighborY="-100000">
        <dgm:presLayoutVars>
          <dgm:chPref val="3"/>
        </dgm:presLayoutVars>
      </dgm:prSet>
      <dgm:spPr/>
      <dgm:t>
        <a:bodyPr/>
        <a:lstStyle/>
        <a:p>
          <a:endParaRPr lang="en-GB"/>
        </a:p>
      </dgm:t>
    </dgm:pt>
    <dgm:pt modelId="{8CC19434-0731-4468-9DD6-9F13060BA308}" type="pres">
      <dgm:prSet presAssocID="{BAF98480-57DB-42DB-8EA5-592850FB4DEA}" presName="level3hierChild" presStyleCnt="0"/>
      <dgm:spPr/>
    </dgm:pt>
    <dgm:pt modelId="{FEE50127-7D0E-4841-B5B6-C15B44F307E1}" type="pres">
      <dgm:prSet presAssocID="{86370F82-E2C9-49DE-B8E8-C519B86CC7BC}" presName="conn2-1" presStyleLbl="parChTrans1D3" presStyleIdx="1" presStyleCnt="4"/>
      <dgm:spPr/>
      <dgm:t>
        <a:bodyPr/>
        <a:lstStyle/>
        <a:p>
          <a:endParaRPr lang="en-GB"/>
        </a:p>
      </dgm:t>
    </dgm:pt>
    <dgm:pt modelId="{67F80855-48F6-41E8-8F2C-F3226C2EE962}" type="pres">
      <dgm:prSet presAssocID="{86370F82-E2C9-49DE-B8E8-C519B86CC7BC}" presName="connTx" presStyleLbl="parChTrans1D3" presStyleIdx="1" presStyleCnt="4"/>
      <dgm:spPr/>
      <dgm:t>
        <a:bodyPr/>
        <a:lstStyle/>
        <a:p>
          <a:endParaRPr lang="en-GB"/>
        </a:p>
      </dgm:t>
    </dgm:pt>
    <dgm:pt modelId="{339105B5-C364-4681-9FE0-1A4E02AD64E7}" type="pres">
      <dgm:prSet presAssocID="{1A26B086-F996-410E-A072-19782CA3FFBE}" presName="root2" presStyleCnt="0"/>
      <dgm:spPr/>
    </dgm:pt>
    <dgm:pt modelId="{B99AA2F1-1A9B-4D68-8AB2-E1F89D560F18}" type="pres">
      <dgm:prSet presAssocID="{1A26B086-F996-410E-A072-19782CA3FFBE}" presName="LevelTwoTextNode" presStyleLbl="node3" presStyleIdx="1" presStyleCnt="4">
        <dgm:presLayoutVars>
          <dgm:chPref val="3"/>
        </dgm:presLayoutVars>
      </dgm:prSet>
      <dgm:spPr/>
      <dgm:t>
        <a:bodyPr/>
        <a:lstStyle/>
        <a:p>
          <a:endParaRPr lang="en-GB"/>
        </a:p>
      </dgm:t>
    </dgm:pt>
    <dgm:pt modelId="{7F304523-5C88-4F0B-9C97-6B9D63BF9EAD}" type="pres">
      <dgm:prSet presAssocID="{1A26B086-F996-410E-A072-19782CA3FFBE}" presName="level3hierChild" presStyleCnt="0"/>
      <dgm:spPr/>
    </dgm:pt>
    <dgm:pt modelId="{5E302375-0915-4068-8BFD-7D4BE1F84F1D}" type="pres">
      <dgm:prSet presAssocID="{3D3686F2-495F-4C9A-9C6E-1130B17C06B8}" presName="conn2-1" presStyleLbl="parChTrans1D2" presStyleIdx="1" presStyleCnt="2"/>
      <dgm:spPr/>
      <dgm:t>
        <a:bodyPr/>
        <a:lstStyle/>
        <a:p>
          <a:endParaRPr lang="en-GB"/>
        </a:p>
      </dgm:t>
    </dgm:pt>
    <dgm:pt modelId="{32DB3412-DB36-4A97-B081-694480E4F63C}" type="pres">
      <dgm:prSet presAssocID="{3D3686F2-495F-4C9A-9C6E-1130B17C06B8}" presName="connTx" presStyleLbl="parChTrans1D2" presStyleIdx="1" presStyleCnt="2"/>
      <dgm:spPr/>
      <dgm:t>
        <a:bodyPr/>
        <a:lstStyle/>
        <a:p>
          <a:endParaRPr lang="en-GB"/>
        </a:p>
      </dgm:t>
    </dgm:pt>
    <dgm:pt modelId="{74342282-253D-4C75-A855-BA71A4128433}" type="pres">
      <dgm:prSet presAssocID="{F282DA47-FB7B-4D04-B3CE-A5AE8967F869}" presName="root2" presStyleCnt="0"/>
      <dgm:spPr/>
    </dgm:pt>
    <dgm:pt modelId="{C3F0E2BF-C28D-4007-A2D9-D773D2CC635D}" type="pres">
      <dgm:prSet presAssocID="{F282DA47-FB7B-4D04-B3CE-A5AE8967F869}" presName="LevelTwoTextNode" presStyleLbl="node2" presStyleIdx="1" presStyleCnt="2">
        <dgm:presLayoutVars>
          <dgm:chPref val="3"/>
        </dgm:presLayoutVars>
      </dgm:prSet>
      <dgm:spPr/>
      <dgm:t>
        <a:bodyPr/>
        <a:lstStyle/>
        <a:p>
          <a:endParaRPr lang="en-GB"/>
        </a:p>
      </dgm:t>
    </dgm:pt>
    <dgm:pt modelId="{C4BF3A91-2793-4B78-A0DF-32734C49C7DA}" type="pres">
      <dgm:prSet presAssocID="{F282DA47-FB7B-4D04-B3CE-A5AE8967F869}" presName="level3hierChild" presStyleCnt="0"/>
      <dgm:spPr/>
    </dgm:pt>
    <dgm:pt modelId="{BA71AA1A-9FFD-4ACA-9C8F-355042E17229}" type="pres">
      <dgm:prSet presAssocID="{EDEB9439-3D52-4023-9730-4C9BA5D1E826}" presName="conn2-1" presStyleLbl="parChTrans1D3" presStyleIdx="2" presStyleCnt="4"/>
      <dgm:spPr/>
      <dgm:t>
        <a:bodyPr/>
        <a:lstStyle/>
        <a:p>
          <a:endParaRPr lang="en-GB"/>
        </a:p>
      </dgm:t>
    </dgm:pt>
    <dgm:pt modelId="{06003CB9-58F0-4A4B-8277-7E1EE2C5DDBA}" type="pres">
      <dgm:prSet presAssocID="{EDEB9439-3D52-4023-9730-4C9BA5D1E826}" presName="connTx" presStyleLbl="parChTrans1D3" presStyleIdx="2" presStyleCnt="4"/>
      <dgm:spPr/>
      <dgm:t>
        <a:bodyPr/>
        <a:lstStyle/>
        <a:p>
          <a:endParaRPr lang="en-GB"/>
        </a:p>
      </dgm:t>
    </dgm:pt>
    <dgm:pt modelId="{31D90CAC-349F-4EB8-9706-63AD2EDD428F}" type="pres">
      <dgm:prSet presAssocID="{437ED22C-5D10-4E91-9429-4FEE4C9641B0}" presName="root2" presStyleCnt="0"/>
      <dgm:spPr/>
    </dgm:pt>
    <dgm:pt modelId="{CAC4FC00-CB4B-43B1-B5FF-57863C186B9E}" type="pres">
      <dgm:prSet presAssocID="{437ED22C-5D10-4E91-9429-4FEE4C9641B0}" presName="LevelTwoTextNode" presStyleLbl="node3" presStyleIdx="2" presStyleCnt="4">
        <dgm:presLayoutVars>
          <dgm:chPref val="3"/>
        </dgm:presLayoutVars>
      </dgm:prSet>
      <dgm:spPr/>
      <dgm:t>
        <a:bodyPr/>
        <a:lstStyle/>
        <a:p>
          <a:endParaRPr lang="en-GB"/>
        </a:p>
      </dgm:t>
    </dgm:pt>
    <dgm:pt modelId="{D487B7D7-9C69-48C3-8B26-6EE047ECC7AC}" type="pres">
      <dgm:prSet presAssocID="{437ED22C-5D10-4E91-9429-4FEE4C9641B0}" presName="level3hierChild" presStyleCnt="0"/>
      <dgm:spPr/>
    </dgm:pt>
    <dgm:pt modelId="{FE390B04-8F69-48B0-94AF-6B128B4DAB16}" type="pres">
      <dgm:prSet presAssocID="{E8B27A0D-26D7-4AE9-93E2-A042B60A1527}" presName="conn2-1" presStyleLbl="parChTrans1D4" presStyleIdx="4" presStyleCnt="6"/>
      <dgm:spPr/>
      <dgm:t>
        <a:bodyPr/>
        <a:lstStyle/>
        <a:p>
          <a:endParaRPr lang="en-GB"/>
        </a:p>
      </dgm:t>
    </dgm:pt>
    <dgm:pt modelId="{8CCB0022-8FCC-4E0A-AEDB-5B2B730B5DAA}" type="pres">
      <dgm:prSet presAssocID="{E8B27A0D-26D7-4AE9-93E2-A042B60A1527}" presName="connTx" presStyleLbl="parChTrans1D4" presStyleIdx="4" presStyleCnt="6"/>
      <dgm:spPr/>
      <dgm:t>
        <a:bodyPr/>
        <a:lstStyle/>
        <a:p>
          <a:endParaRPr lang="en-GB"/>
        </a:p>
      </dgm:t>
    </dgm:pt>
    <dgm:pt modelId="{7EBA3C7D-5B56-44A0-90D0-E33B922237F5}" type="pres">
      <dgm:prSet presAssocID="{62C6D494-5371-4F21-A203-FBB4C328157C}" presName="root2" presStyleCnt="0"/>
      <dgm:spPr/>
    </dgm:pt>
    <dgm:pt modelId="{F363DA05-CDE2-4085-8BEF-3BF256187452}" type="pres">
      <dgm:prSet presAssocID="{62C6D494-5371-4F21-A203-FBB4C328157C}" presName="LevelTwoTextNode" presStyleLbl="node4" presStyleIdx="4" presStyleCnt="6">
        <dgm:presLayoutVars>
          <dgm:chPref val="3"/>
        </dgm:presLayoutVars>
      </dgm:prSet>
      <dgm:spPr/>
      <dgm:t>
        <a:bodyPr/>
        <a:lstStyle/>
        <a:p>
          <a:endParaRPr lang="en-GB"/>
        </a:p>
      </dgm:t>
    </dgm:pt>
    <dgm:pt modelId="{4961EE79-6FFF-47B2-945F-755411B17CFA}" type="pres">
      <dgm:prSet presAssocID="{62C6D494-5371-4F21-A203-FBB4C328157C}" presName="level3hierChild" presStyleCnt="0"/>
      <dgm:spPr/>
    </dgm:pt>
    <dgm:pt modelId="{B61B4799-A2EF-48D3-9443-154690E955E8}" type="pres">
      <dgm:prSet presAssocID="{F23ACE40-56F9-486B-905D-6D546AB1ECA4}" presName="conn2-1" presStyleLbl="parChTrans1D4" presStyleIdx="5" presStyleCnt="6"/>
      <dgm:spPr/>
      <dgm:t>
        <a:bodyPr/>
        <a:lstStyle/>
        <a:p>
          <a:endParaRPr lang="en-GB"/>
        </a:p>
      </dgm:t>
    </dgm:pt>
    <dgm:pt modelId="{61C61B58-F167-4E59-9FF8-713E430C0E36}" type="pres">
      <dgm:prSet presAssocID="{F23ACE40-56F9-486B-905D-6D546AB1ECA4}" presName="connTx" presStyleLbl="parChTrans1D4" presStyleIdx="5" presStyleCnt="6"/>
      <dgm:spPr/>
      <dgm:t>
        <a:bodyPr/>
        <a:lstStyle/>
        <a:p>
          <a:endParaRPr lang="en-GB"/>
        </a:p>
      </dgm:t>
    </dgm:pt>
    <dgm:pt modelId="{BED41323-1E62-4948-9EAF-9BA85AE400C6}" type="pres">
      <dgm:prSet presAssocID="{95A1D799-185F-45A2-823F-F9179A1523DE}" presName="root2" presStyleCnt="0"/>
      <dgm:spPr/>
    </dgm:pt>
    <dgm:pt modelId="{11B73183-D512-4B96-BE1F-0CEB762B5F6D}" type="pres">
      <dgm:prSet presAssocID="{95A1D799-185F-45A2-823F-F9179A1523DE}" presName="LevelTwoTextNode" presStyleLbl="node4" presStyleIdx="5" presStyleCnt="6">
        <dgm:presLayoutVars>
          <dgm:chPref val="3"/>
        </dgm:presLayoutVars>
      </dgm:prSet>
      <dgm:spPr/>
      <dgm:t>
        <a:bodyPr/>
        <a:lstStyle/>
        <a:p>
          <a:endParaRPr lang="en-GB"/>
        </a:p>
      </dgm:t>
    </dgm:pt>
    <dgm:pt modelId="{383D2A04-F39D-4DA3-BD94-F92EDF72635C}" type="pres">
      <dgm:prSet presAssocID="{95A1D799-185F-45A2-823F-F9179A1523DE}" presName="level3hierChild" presStyleCnt="0"/>
      <dgm:spPr/>
    </dgm:pt>
    <dgm:pt modelId="{D0DF8ED0-545B-47A3-9D6E-D89A42B68030}" type="pres">
      <dgm:prSet presAssocID="{715D702A-B69B-41A5-B38A-BC66A06CB42B}" presName="conn2-1" presStyleLbl="parChTrans1D3" presStyleIdx="3" presStyleCnt="4"/>
      <dgm:spPr/>
      <dgm:t>
        <a:bodyPr/>
        <a:lstStyle/>
        <a:p>
          <a:endParaRPr lang="en-GB"/>
        </a:p>
      </dgm:t>
    </dgm:pt>
    <dgm:pt modelId="{F9714ED5-465E-48AC-9E79-684553D63EE5}" type="pres">
      <dgm:prSet presAssocID="{715D702A-B69B-41A5-B38A-BC66A06CB42B}" presName="connTx" presStyleLbl="parChTrans1D3" presStyleIdx="3" presStyleCnt="4"/>
      <dgm:spPr/>
      <dgm:t>
        <a:bodyPr/>
        <a:lstStyle/>
        <a:p>
          <a:endParaRPr lang="en-GB"/>
        </a:p>
      </dgm:t>
    </dgm:pt>
    <dgm:pt modelId="{4BFD7331-EAD7-4514-9B10-7590932D751B}" type="pres">
      <dgm:prSet presAssocID="{15ADFCF4-A7DA-46DC-BC0A-8C6C3F4D94CC}" presName="root2" presStyleCnt="0"/>
      <dgm:spPr/>
    </dgm:pt>
    <dgm:pt modelId="{C5F73B4C-0AC7-4038-9292-EE4E4D925B5C}" type="pres">
      <dgm:prSet presAssocID="{15ADFCF4-A7DA-46DC-BC0A-8C6C3F4D94CC}" presName="LevelTwoTextNode" presStyleLbl="node3" presStyleIdx="3" presStyleCnt="4">
        <dgm:presLayoutVars>
          <dgm:chPref val="3"/>
        </dgm:presLayoutVars>
      </dgm:prSet>
      <dgm:spPr/>
      <dgm:t>
        <a:bodyPr/>
        <a:lstStyle/>
        <a:p>
          <a:endParaRPr lang="en-GB"/>
        </a:p>
      </dgm:t>
    </dgm:pt>
    <dgm:pt modelId="{C29A3695-2E52-45D7-B77C-3BE180C75687}" type="pres">
      <dgm:prSet presAssocID="{15ADFCF4-A7DA-46DC-BC0A-8C6C3F4D94CC}" presName="level3hierChild" presStyleCnt="0"/>
      <dgm:spPr/>
    </dgm:pt>
  </dgm:ptLst>
  <dgm:cxnLst>
    <dgm:cxn modelId="{85A9ADED-C62D-41FD-8ADF-4A4CB6FAA7B8}" type="presOf" srcId="{EDEB9439-3D52-4023-9730-4C9BA5D1E826}" destId="{06003CB9-58F0-4A4B-8277-7E1EE2C5DDBA}" srcOrd="1" destOrd="0" presId="urn:microsoft.com/office/officeart/2005/8/layout/hierarchy2"/>
    <dgm:cxn modelId="{26C3C568-562F-4446-BB0C-D1A7C6B310E6}" type="presOf" srcId="{FD0BC5F4-A6A2-49CB-A826-C5CBE2C9D0A0}" destId="{794215F7-5961-4B94-B54C-1DCA1C30F327}" srcOrd="0" destOrd="0" presId="urn:microsoft.com/office/officeart/2005/8/layout/hierarchy2"/>
    <dgm:cxn modelId="{5164B6F0-DAFA-499A-A587-19E35AEDC513}" srcId="{9A9D2BC2-F58F-41D2-AA32-6BEA73E4AFA2}" destId="{F282DA47-FB7B-4D04-B3CE-A5AE8967F869}" srcOrd="1" destOrd="0" parTransId="{3D3686F2-495F-4C9A-9C6E-1130B17C06B8}" sibTransId="{486AB5F5-4052-4CC4-BEE4-1BDC77F5FE7B}"/>
    <dgm:cxn modelId="{8C811DEA-A538-46E9-9FF0-2D50BCA29F70}" type="presOf" srcId="{0873F135-4418-4BAE-B7B9-DE11E732CFCA}" destId="{51DB51D9-D632-4F13-9399-673219ADAE61}" srcOrd="1" destOrd="0" presId="urn:microsoft.com/office/officeart/2005/8/layout/hierarchy2"/>
    <dgm:cxn modelId="{E6F88A9A-E884-4AB4-8E4B-2D8626695DCB}" type="presOf" srcId="{E8B27A0D-26D7-4AE9-93E2-A042B60A1527}" destId="{FE390B04-8F69-48B0-94AF-6B128B4DAB16}" srcOrd="0" destOrd="0" presId="urn:microsoft.com/office/officeart/2005/8/layout/hierarchy2"/>
    <dgm:cxn modelId="{1C4A01E7-59C2-4022-B33A-F1FDA78A7024}" type="presOf" srcId="{1A26B086-F996-410E-A072-19782CA3FFBE}" destId="{B99AA2F1-1A9B-4D68-8AB2-E1F89D560F18}" srcOrd="0" destOrd="0" presId="urn:microsoft.com/office/officeart/2005/8/layout/hierarchy2"/>
    <dgm:cxn modelId="{A72C4EA4-3422-4324-9E11-F028FEB877DF}" srcId="{C298766A-98BC-4501-BFB5-59018699461B}" destId="{FD0BC5F4-A6A2-49CB-A826-C5CBE2C9D0A0}" srcOrd="1" destOrd="0" parTransId="{562572A2-5F97-4060-A9A2-2BA536582808}" sibTransId="{4E0FDE65-FC8A-4BEF-9CA1-F5DE564FD29E}"/>
    <dgm:cxn modelId="{1F290633-242A-4E5B-8121-229BF60A766C}" type="presOf" srcId="{3D3686F2-495F-4C9A-9C6E-1130B17C06B8}" destId="{32DB3412-DB36-4A97-B081-694480E4F63C}" srcOrd="1" destOrd="0" presId="urn:microsoft.com/office/officeart/2005/8/layout/hierarchy2"/>
    <dgm:cxn modelId="{A5DC99D6-BC4E-477F-8204-448F9B51F2C8}" type="presOf" srcId="{3F69DEF2-CF0E-4DF4-9AE6-88FA683DC5CC}" destId="{5E454903-4A0E-4EBE-8BCC-52DC0B62F1EE}" srcOrd="0" destOrd="0" presId="urn:microsoft.com/office/officeart/2005/8/layout/hierarchy2"/>
    <dgm:cxn modelId="{A674263A-C666-451A-980D-AAF64DF615B7}" type="presOf" srcId="{F282DA47-FB7B-4D04-B3CE-A5AE8967F869}" destId="{C3F0E2BF-C28D-4007-A2D9-D773D2CC635D}" srcOrd="0" destOrd="0" presId="urn:microsoft.com/office/officeart/2005/8/layout/hierarchy2"/>
    <dgm:cxn modelId="{8EACDC47-5C33-4A2C-A033-654F1D40DEB9}" type="presOf" srcId="{025E8587-6E01-47E6-A50F-2D399847034A}" destId="{A8AD05E1-9B40-4BEB-A74D-0B693EC26750}" srcOrd="0" destOrd="0" presId="urn:microsoft.com/office/officeart/2005/8/layout/hierarchy2"/>
    <dgm:cxn modelId="{D5DDAC46-ABE1-4B94-AF54-23541729FE4E}" srcId="{437ED22C-5D10-4E91-9429-4FEE4C9641B0}" destId="{95A1D799-185F-45A2-823F-F9179A1523DE}" srcOrd="1" destOrd="0" parTransId="{F23ACE40-56F9-486B-905D-6D546AB1ECA4}" sibTransId="{14EC950A-E35A-4ECD-8E31-0C9829D70025}"/>
    <dgm:cxn modelId="{F525AF30-B82F-4922-AF53-00DC163223EE}" srcId="{437ED22C-5D10-4E91-9429-4FEE4C9641B0}" destId="{62C6D494-5371-4F21-A203-FBB4C328157C}" srcOrd="0" destOrd="0" parTransId="{E8B27A0D-26D7-4AE9-93E2-A042B60A1527}" sibTransId="{3E5FFE67-5B3E-48E5-BDF7-4E6FCD696D51}"/>
    <dgm:cxn modelId="{BD613B0C-B194-435D-AB6E-DCA606BABEB9}" type="presOf" srcId="{B446C47A-3ED8-450D-B482-F9E91734DF4F}" destId="{27B4A551-98B4-47AA-9B0D-07CDCD37334E}" srcOrd="0" destOrd="0" presId="urn:microsoft.com/office/officeart/2005/8/layout/hierarchy2"/>
    <dgm:cxn modelId="{94860E88-1E3E-4D61-AAC8-4F43FB322E7C}" type="presOf" srcId="{B446C47A-3ED8-450D-B482-F9E91734DF4F}" destId="{DBEC01CB-63F9-4145-B14B-6559AEDE4F64}" srcOrd="1" destOrd="0" presId="urn:microsoft.com/office/officeart/2005/8/layout/hierarchy2"/>
    <dgm:cxn modelId="{BF0A83D5-AE03-4905-98E4-D528E4736CA8}" srcId="{C298766A-98BC-4501-BFB5-59018699461B}" destId="{3F69DEF2-CF0E-4DF4-9AE6-88FA683DC5CC}" srcOrd="0" destOrd="0" parTransId="{B446C47A-3ED8-450D-B482-F9E91734DF4F}" sibTransId="{9ACCAF62-69C2-4174-A17D-D65FB760D560}"/>
    <dgm:cxn modelId="{8B306351-F7AA-493D-95A5-AD4A71A3CD07}" type="presOf" srcId="{715D702A-B69B-41A5-B38A-BC66A06CB42B}" destId="{D0DF8ED0-545B-47A3-9D6E-D89A42B68030}" srcOrd="0" destOrd="0" presId="urn:microsoft.com/office/officeart/2005/8/layout/hierarchy2"/>
    <dgm:cxn modelId="{7E96D596-B017-484B-A0C1-1C0996BF2093}" srcId="{6B6C76DC-4384-4185-A31B-927A3DFF12FA}" destId="{1A26B086-F996-410E-A072-19782CA3FFBE}" srcOrd="1" destOrd="0" parTransId="{86370F82-E2C9-49DE-B8E8-C519B86CC7BC}" sibTransId="{A94ABC0C-AD45-407F-A452-C3C781C67FC1}"/>
    <dgm:cxn modelId="{E36D4E90-9917-4262-AE5D-3141A72105E3}" type="presOf" srcId="{C298766A-98BC-4501-BFB5-59018699461B}" destId="{64568F69-92A9-41B1-B298-BC9D97334070}" srcOrd="0" destOrd="0" presId="urn:microsoft.com/office/officeart/2005/8/layout/hierarchy2"/>
    <dgm:cxn modelId="{FB7B2DCB-6A81-4C90-88C4-F2775E8ECFFB}" type="presOf" srcId="{562572A2-5F97-4060-A9A2-2BA536582808}" destId="{0335992F-260C-4A7B-8879-81E3F9B1F377}" srcOrd="1" destOrd="0" presId="urn:microsoft.com/office/officeart/2005/8/layout/hierarchy2"/>
    <dgm:cxn modelId="{2B7061F9-ACE1-4D60-B1AC-F122F97A822B}" type="presOf" srcId="{0873F135-4418-4BAE-B7B9-DE11E732CFCA}" destId="{256DC3CA-E674-47FE-A905-3490876A402B}" srcOrd="0" destOrd="0" presId="urn:microsoft.com/office/officeart/2005/8/layout/hierarchy2"/>
    <dgm:cxn modelId="{E4D22C8C-C773-4099-B291-1A5BE3900542}" srcId="{F282DA47-FB7B-4D04-B3CE-A5AE8967F869}" destId="{437ED22C-5D10-4E91-9429-4FEE4C9641B0}" srcOrd="0" destOrd="0" parTransId="{EDEB9439-3D52-4023-9730-4C9BA5D1E826}" sibTransId="{0D6C9220-E884-4503-AAF7-517BFBB47523}"/>
    <dgm:cxn modelId="{E894724D-3611-40BC-A97C-D693F79E5E04}" srcId="{37117BBC-69BD-41C1-A5E9-054FD0B47663}" destId="{C298766A-98BC-4501-BFB5-59018699461B}" srcOrd="0" destOrd="0" parTransId="{93BE1350-BA41-4992-A6B9-BDD3F3AD6D2C}" sibTransId="{31E12976-4D5D-4F31-876F-623673C4071D}"/>
    <dgm:cxn modelId="{D21A0553-508C-4D50-83C0-4CD63FE70682}" type="presOf" srcId="{BAF98480-57DB-42DB-8EA5-592850FB4DEA}" destId="{30A31764-4A92-44DE-9ACE-0856F8236CDE}" srcOrd="0" destOrd="0" presId="urn:microsoft.com/office/officeart/2005/8/layout/hierarchy2"/>
    <dgm:cxn modelId="{96B6C4AF-A27F-4281-B971-642EB033CB52}" type="presOf" srcId="{F23ACE40-56F9-486B-905D-6D546AB1ECA4}" destId="{61C61B58-F167-4E59-9FF8-713E430C0E36}" srcOrd="1" destOrd="0" presId="urn:microsoft.com/office/officeart/2005/8/layout/hierarchy2"/>
    <dgm:cxn modelId="{7FBC0A40-0670-497B-A41F-3DD4FF2F2AC6}" type="presOf" srcId="{15ADFCF4-A7DA-46DC-BC0A-8C6C3F4D94CC}" destId="{C5F73B4C-0AC7-4038-9292-EE4E4D925B5C}" srcOrd="0" destOrd="0" presId="urn:microsoft.com/office/officeart/2005/8/layout/hierarchy2"/>
    <dgm:cxn modelId="{FCA25614-E839-4892-9831-361F91934849}" type="presOf" srcId="{95A1D799-185F-45A2-823F-F9179A1523DE}" destId="{11B73183-D512-4B96-BE1F-0CEB762B5F6D}" srcOrd="0" destOrd="0" presId="urn:microsoft.com/office/officeart/2005/8/layout/hierarchy2"/>
    <dgm:cxn modelId="{119247F9-7FB3-4B8B-BC10-173B7663ABE1}" type="presOf" srcId="{62C6D494-5371-4F21-A203-FBB4C328157C}" destId="{F363DA05-CDE2-4085-8BEF-3BF256187452}" srcOrd="0" destOrd="0" presId="urn:microsoft.com/office/officeart/2005/8/layout/hierarchy2"/>
    <dgm:cxn modelId="{96DA03A0-1711-494A-B804-1C0CECA3F6BD}" srcId="{F282DA47-FB7B-4D04-B3CE-A5AE8967F869}" destId="{15ADFCF4-A7DA-46DC-BC0A-8C6C3F4D94CC}" srcOrd="1" destOrd="0" parTransId="{715D702A-B69B-41A5-B38A-BC66A06CB42B}" sibTransId="{384A92E5-01BF-4807-A064-801BA85FE664}"/>
    <dgm:cxn modelId="{2A2F5EBC-BD1C-46D3-AD56-3B252C0C40CF}" type="presOf" srcId="{86370F82-E2C9-49DE-B8E8-C519B86CC7BC}" destId="{FEE50127-7D0E-4841-B5B6-C15B44F307E1}" srcOrd="0" destOrd="0" presId="urn:microsoft.com/office/officeart/2005/8/layout/hierarchy2"/>
    <dgm:cxn modelId="{5573A357-C70B-4D23-8937-C988393190C1}" type="presOf" srcId="{025E8587-6E01-47E6-A50F-2D399847034A}" destId="{0947D0CE-4728-4F97-8FD3-165C26173BF0}" srcOrd="1" destOrd="0" presId="urn:microsoft.com/office/officeart/2005/8/layout/hierarchy2"/>
    <dgm:cxn modelId="{73FD272B-7D5E-426C-A61E-8B714D618363}" type="presOf" srcId="{EDEB9439-3D52-4023-9730-4C9BA5D1E826}" destId="{BA71AA1A-9FFD-4ACA-9C8F-355042E17229}" srcOrd="0" destOrd="0" presId="urn:microsoft.com/office/officeart/2005/8/layout/hierarchy2"/>
    <dgm:cxn modelId="{D79AC43A-06FB-4B3D-855C-BAF51356CBAF}" type="presOf" srcId="{37117BBC-69BD-41C1-A5E9-054FD0B47663}" destId="{4D2DB224-B1A0-4AB0-8155-73E11838A853}" srcOrd="0" destOrd="0" presId="urn:microsoft.com/office/officeart/2005/8/layout/hierarchy2"/>
    <dgm:cxn modelId="{9FBE6EF1-4FF5-4D67-BCEC-105F2ADDF6C3}" srcId="{6B6C76DC-4384-4185-A31B-927A3DFF12FA}" destId="{37117BBC-69BD-41C1-A5E9-054FD0B47663}" srcOrd="0" destOrd="0" parTransId="{0873F135-4418-4BAE-B7B9-DE11E732CFCA}" sibTransId="{70B58060-8F87-4493-A409-67F8B9BE2C02}"/>
    <dgm:cxn modelId="{B928E0B4-1610-4E3E-A62A-ED1DA054E251}" srcId="{37117BBC-69BD-41C1-A5E9-054FD0B47663}" destId="{BAF98480-57DB-42DB-8EA5-592850FB4DEA}" srcOrd="1" destOrd="0" parTransId="{025E8587-6E01-47E6-A50F-2D399847034A}" sibTransId="{473DDC9E-9BB4-4B55-A925-C0C75C0556EE}"/>
    <dgm:cxn modelId="{7BFE25F8-4C66-49EC-B720-50F5004A8ADD}" type="presOf" srcId="{3D3686F2-495F-4C9A-9C6E-1130B17C06B8}" destId="{5E302375-0915-4068-8BFD-7D4BE1F84F1D}" srcOrd="0" destOrd="0" presId="urn:microsoft.com/office/officeart/2005/8/layout/hierarchy2"/>
    <dgm:cxn modelId="{28E64227-CEA0-4975-B72A-F78B8107EDC1}" type="presOf" srcId="{715D702A-B69B-41A5-B38A-BC66A06CB42B}" destId="{F9714ED5-465E-48AC-9E79-684553D63EE5}" srcOrd="1" destOrd="0" presId="urn:microsoft.com/office/officeart/2005/8/layout/hierarchy2"/>
    <dgm:cxn modelId="{FA333430-F146-4645-998C-EB0CF43B03E9}" type="presOf" srcId="{58F11FCB-EAFE-4196-BF90-8F0C39337139}" destId="{50DBBEF2-D48B-470B-B983-ACD24AA7B3D8}" srcOrd="1" destOrd="0" presId="urn:microsoft.com/office/officeart/2005/8/layout/hierarchy2"/>
    <dgm:cxn modelId="{F8574B61-F1F0-4692-91FA-425D337D9899}" type="presOf" srcId="{86370F82-E2C9-49DE-B8E8-C519B86CC7BC}" destId="{67F80855-48F6-41E8-8F2C-F3226C2EE962}" srcOrd="1" destOrd="0" presId="urn:microsoft.com/office/officeart/2005/8/layout/hierarchy2"/>
    <dgm:cxn modelId="{D2630C16-14E6-4006-823C-54B7442EB7E0}" type="presOf" srcId="{437ED22C-5D10-4E91-9429-4FEE4C9641B0}" destId="{CAC4FC00-CB4B-43B1-B5FF-57863C186B9E}" srcOrd="0" destOrd="0" presId="urn:microsoft.com/office/officeart/2005/8/layout/hierarchy2"/>
    <dgm:cxn modelId="{D6794E3C-4021-41AB-A409-7EAD45878813}" type="presOf" srcId="{9A9D2BC2-F58F-41D2-AA32-6BEA73E4AFA2}" destId="{A3014A96-4305-414A-9133-ADFC22560E45}" srcOrd="0" destOrd="0" presId="urn:microsoft.com/office/officeart/2005/8/layout/hierarchy2"/>
    <dgm:cxn modelId="{6A0290C1-F26E-466C-8D1A-924E19EE0670}" type="presOf" srcId="{6B6C76DC-4384-4185-A31B-927A3DFF12FA}" destId="{D4B59972-679B-42F5-9956-2C0EAD6A85EA}" srcOrd="0" destOrd="0" presId="urn:microsoft.com/office/officeart/2005/8/layout/hierarchy2"/>
    <dgm:cxn modelId="{B0BF78A9-A14A-4AE6-8189-2FE76AE56300}" type="presOf" srcId="{93BE1350-BA41-4992-A6B9-BDD3F3AD6D2C}" destId="{C1B25A5B-3BB4-45DD-A47A-FC56421F34A5}" srcOrd="1" destOrd="0" presId="urn:microsoft.com/office/officeart/2005/8/layout/hierarchy2"/>
    <dgm:cxn modelId="{39BDA376-656C-4480-90B1-DC184B87F610}" srcId="{879182BE-9A94-4176-8E7B-45BDFA7CA9E4}" destId="{9A9D2BC2-F58F-41D2-AA32-6BEA73E4AFA2}" srcOrd="0" destOrd="0" parTransId="{4672B494-DCFD-4492-BEDD-F4B490C9E470}" sibTransId="{A1EA19C0-F76A-4787-9878-BC023E128211}"/>
    <dgm:cxn modelId="{FA192191-C39C-449F-ADBF-5E4852DD2DCC}" type="presOf" srcId="{93BE1350-BA41-4992-A6B9-BDD3F3AD6D2C}" destId="{BCABC5EE-F232-4053-BA8A-507DEC78A717}" srcOrd="0" destOrd="0" presId="urn:microsoft.com/office/officeart/2005/8/layout/hierarchy2"/>
    <dgm:cxn modelId="{1A799FF3-937D-4B9A-80FF-9CA31B802AC2}" type="presOf" srcId="{E8B27A0D-26D7-4AE9-93E2-A042B60A1527}" destId="{8CCB0022-8FCC-4E0A-AEDB-5B2B730B5DAA}" srcOrd="1" destOrd="0" presId="urn:microsoft.com/office/officeart/2005/8/layout/hierarchy2"/>
    <dgm:cxn modelId="{AAAED479-0B31-48E5-85BF-BC06CA6B9B22}" srcId="{9A9D2BC2-F58F-41D2-AA32-6BEA73E4AFA2}" destId="{6B6C76DC-4384-4185-A31B-927A3DFF12FA}" srcOrd="0" destOrd="0" parTransId="{58F11FCB-EAFE-4196-BF90-8F0C39337139}" sibTransId="{2DC942C8-5993-4607-A1F3-AD3CD23DAD78}"/>
    <dgm:cxn modelId="{62745212-AB08-4603-AC4B-019E476B717A}" type="presOf" srcId="{F23ACE40-56F9-486B-905D-6D546AB1ECA4}" destId="{B61B4799-A2EF-48D3-9443-154690E955E8}" srcOrd="0" destOrd="0" presId="urn:microsoft.com/office/officeart/2005/8/layout/hierarchy2"/>
    <dgm:cxn modelId="{EB98B3FD-8BE4-403B-90B9-711A7C643746}" type="presOf" srcId="{562572A2-5F97-4060-A9A2-2BA536582808}" destId="{5BD33D61-6E23-4190-B197-151CDB742252}" srcOrd="0" destOrd="0" presId="urn:microsoft.com/office/officeart/2005/8/layout/hierarchy2"/>
    <dgm:cxn modelId="{36C3FCA1-C014-43B9-934E-BA076EC865C8}" type="presOf" srcId="{879182BE-9A94-4176-8E7B-45BDFA7CA9E4}" destId="{124A1039-9422-44F3-938C-A339183481C7}" srcOrd="0" destOrd="0" presId="urn:microsoft.com/office/officeart/2005/8/layout/hierarchy2"/>
    <dgm:cxn modelId="{35B5C9A7-E40F-4A52-85D9-93EF968A1D36}" type="presOf" srcId="{58F11FCB-EAFE-4196-BF90-8F0C39337139}" destId="{DA662F79-8BE1-4AE8-9CE6-3B0997E30FE2}" srcOrd="0" destOrd="0" presId="urn:microsoft.com/office/officeart/2005/8/layout/hierarchy2"/>
    <dgm:cxn modelId="{D5A618B5-5FE8-4DB3-9C75-3AB014FCD6C1}" type="presParOf" srcId="{124A1039-9422-44F3-938C-A339183481C7}" destId="{C4B6D55B-AE01-480F-846A-A2CF50E331F2}" srcOrd="0" destOrd="0" presId="urn:microsoft.com/office/officeart/2005/8/layout/hierarchy2"/>
    <dgm:cxn modelId="{ACEDDF9E-BB61-4112-9993-E5CD39D0EF18}" type="presParOf" srcId="{C4B6D55B-AE01-480F-846A-A2CF50E331F2}" destId="{A3014A96-4305-414A-9133-ADFC22560E45}" srcOrd="0" destOrd="0" presId="urn:microsoft.com/office/officeart/2005/8/layout/hierarchy2"/>
    <dgm:cxn modelId="{FC8E50D1-80B1-43F6-B342-55E85918FEB9}" type="presParOf" srcId="{C4B6D55B-AE01-480F-846A-A2CF50E331F2}" destId="{DEE0C556-3873-4633-9E2C-314C2CF1D242}" srcOrd="1" destOrd="0" presId="urn:microsoft.com/office/officeart/2005/8/layout/hierarchy2"/>
    <dgm:cxn modelId="{6A9F1F3A-3CC5-49BF-A3BD-5B143B5F6407}" type="presParOf" srcId="{DEE0C556-3873-4633-9E2C-314C2CF1D242}" destId="{DA662F79-8BE1-4AE8-9CE6-3B0997E30FE2}" srcOrd="0" destOrd="0" presId="urn:microsoft.com/office/officeart/2005/8/layout/hierarchy2"/>
    <dgm:cxn modelId="{34D086CC-7FA8-4C6C-A862-7D579B6988AA}" type="presParOf" srcId="{DA662F79-8BE1-4AE8-9CE6-3B0997E30FE2}" destId="{50DBBEF2-D48B-470B-B983-ACD24AA7B3D8}" srcOrd="0" destOrd="0" presId="urn:microsoft.com/office/officeart/2005/8/layout/hierarchy2"/>
    <dgm:cxn modelId="{A19F0AAE-3473-4E0E-8EA0-8DF4D82FC8CD}" type="presParOf" srcId="{DEE0C556-3873-4633-9E2C-314C2CF1D242}" destId="{8D1F0E26-1817-4C24-8CD7-40D1F1DBADCD}" srcOrd="1" destOrd="0" presId="urn:microsoft.com/office/officeart/2005/8/layout/hierarchy2"/>
    <dgm:cxn modelId="{5D1A2A62-25E0-4742-A730-B78295FFEAA3}" type="presParOf" srcId="{8D1F0E26-1817-4C24-8CD7-40D1F1DBADCD}" destId="{D4B59972-679B-42F5-9956-2C0EAD6A85EA}" srcOrd="0" destOrd="0" presId="urn:microsoft.com/office/officeart/2005/8/layout/hierarchy2"/>
    <dgm:cxn modelId="{62D8C2C0-99FC-4370-A99A-24B623704F77}" type="presParOf" srcId="{8D1F0E26-1817-4C24-8CD7-40D1F1DBADCD}" destId="{8C635DA0-C6CF-4706-B34C-ED2D02715051}" srcOrd="1" destOrd="0" presId="urn:microsoft.com/office/officeart/2005/8/layout/hierarchy2"/>
    <dgm:cxn modelId="{C10FEBFA-5AC9-41FB-A3C6-5769A852A98D}" type="presParOf" srcId="{8C635DA0-C6CF-4706-B34C-ED2D02715051}" destId="{256DC3CA-E674-47FE-A905-3490876A402B}" srcOrd="0" destOrd="0" presId="urn:microsoft.com/office/officeart/2005/8/layout/hierarchy2"/>
    <dgm:cxn modelId="{BF080E41-DA3A-4607-9346-7B34A82C351C}" type="presParOf" srcId="{256DC3CA-E674-47FE-A905-3490876A402B}" destId="{51DB51D9-D632-4F13-9399-673219ADAE61}" srcOrd="0" destOrd="0" presId="urn:microsoft.com/office/officeart/2005/8/layout/hierarchy2"/>
    <dgm:cxn modelId="{3863A9CA-F506-4342-82CD-FC3514B6E611}" type="presParOf" srcId="{8C635DA0-C6CF-4706-B34C-ED2D02715051}" destId="{94F70DD7-A27E-418D-8932-57FE131291D4}" srcOrd="1" destOrd="0" presId="urn:microsoft.com/office/officeart/2005/8/layout/hierarchy2"/>
    <dgm:cxn modelId="{BE5F92CA-C323-43E5-88D2-4628C3F3AFE8}" type="presParOf" srcId="{94F70DD7-A27E-418D-8932-57FE131291D4}" destId="{4D2DB224-B1A0-4AB0-8155-73E11838A853}" srcOrd="0" destOrd="0" presId="urn:microsoft.com/office/officeart/2005/8/layout/hierarchy2"/>
    <dgm:cxn modelId="{31F06C81-FCF4-4259-9CE1-13617EF23331}" type="presParOf" srcId="{94F70DD7-A27E-418D-8932-57FE131291D4}" destId="{F566A36E-2810-4C0F-8400-AA0B56681C91}" srcOrd="1" destOrd="0" presId="urn:microsoft.com/office/officeart/2005/8/layout/hierarchy2"/>
    <dgm:cxn modelId="{8526F31F-BB0E-40ED-B843-3777302DEFD4}" type="presParOf" srcId="{F566A36E-2810-4C0F-8400-AA0B56681C91}" destId="{BCABC5EE-F232-4053-BA8A-507DEC78A717}" srcOrd="0" destOrd="0" presId="urn:microsoft.com/office/officeart/2005/8/layout/hierarchy2"/>
    <dgm:cxn modelId="{0DC6786E-6417-449D-B1D9-A18396946812}" type="presParOf" srcId="{BCABC5EE-F232-4053-BA8A-507DEC78A717}" destId="{C1B25A5B-3BB4-45DD-A47A-FC56421F34A5}" srcOrd="0" destOrd="0" presId="urn:microsoft.com/office/officeart/2005/8/layout/hierarchy2"/>
    <dgm:cxn modelId="{DC91D015-88BB-413C-9A18-BC6331B43BF8}" type="presParOf" srcId="{F566A36E-2810-4C0F-8400-AA0B56681C91}" destId="{E35EEA46-9A23-4189-B187-F002B649A642}" srcOrd="1" destOrd="0" presId="urn:microsoft.com/office/officeart/2005/8/layout/hierarchy2"/>
    <dgm:cxn modelId="{7AC37BE7-292E-429C-B197-61B0FB547E0F}" type="presParOf" srcId="{E35EEA46-9A23-4189-B187-F002B649A642}" destId="{64568F69-92A9-41B1-B298-BC9D97334070}" srcOrd="0" destOrd="0" presId="urn:microsoft.com/office/officeart/2005/8/layout/hierarchy2"/>
    <dgm:cxn modelId="{2692B44B-3FA4-4998-B1AE-89DBDEA538AD}" type="presParOf" srcId="{E35EEA46-9A23-4189-B187-F002B649A642}" destId="{0859BAED-E415-40F0-8BFD-33E6465039C9}" srcOrd="1" destOrd="0" presId="urn:microsoft.com/office/officeart/2005/8/layout/hierarchy2"/>
    <dgm:cxn modelId="{04EA32B7-C3B4-435A-9E05-010143EAD57F}" type="presParOf" srcId="{0859BAED-E415-40F0-8BFD-33E6465039C9}" destId="{27B4A551-98B4-47AA-9B0D-07CDCD37334E}" srcOrd="0" destOrd="0" presId="urn:microsoft.com/office/officeart/2005/8/layout/hierarchy2"/>
    <dgm:cxn modelId="{88E49A97-DACB-476C-A3AC-00577A35ECAD}" type="presParOf" srcId="{27B4A551-98B4-47AA-9B0D-07CDCD37334E}" destId="{DBEC01CB-63F9-4145-B14B-6559AEDE4F64}" srcOrd="0" destOrd="0" presId="urn:microsoft.com/office/officeart/2005/8/layout/hierarchy2"/>
    <dgm:cxn modelId="{8895AFDA-E120-4586-93D6-9927742CB0EA}" type="presParOf" srcId="{0859BAED-E415-40F0-8BFD-33E6465039C9}" destId="{B04BD585-8BEC-4527-B8C8-AAE0EDAC117C}" srcOrd="1" destOrd="0" presId="urn:microsoft.com/office/officeart/2005/8/layout/hierarchy2"/>
    <dgm:cxn modelId="{19D0C79B-2AD4-478A-81B5-5BE638109C53}" type="presParOf" srcId="{B04BD585-8BEC-4527-B8C8-AAE0EDAC117C}" destId="{5E454903-4A0E-4EBE-8BCC-52DC0B62F1EE}" srcOrd="0" destOrd="0" presId="urn:microsoft.com/office/officeart/2005/8/layout/hierarchy2"/>
    <dgm:cxn modelId="{15D13F17-B1EF-40DD-BA76-9C42509751C9}" type="presParOf" srcId="{B04BD585-8BEC-4527-B8C8-AAE0EDAC117C}" destId="{5553E729-EE1E-4CE7-9FB2-7211D9EE1936}" srcOrd="1" destOrd="0" presId="urn:microsoft.com/office/officeart/2005/8/layout/hierarchy2"/>
    <dgm:cxn modelId="{B9F2DFF3-4171-420D-93D3-BC2543A046C3}" type="presParOf" srcId="{0859BAED-E415-40F0-8BFD-33E6465039C9}" destId="{5BD33D61-6E23-4190-B197-151CDB742252}" srcOrd="2" destOrd="0" presId="urn:microsoft.com/office/officeart/2005/8/layout/hierarchy2"/>
    <dgm:cxn modelId="{F78D592F-862E-4AD5-9538-7F410BE0447F}" type="presParOf" srcId="{5BD33D61-6E23-4190-B197-151CDB742252}" destId="{0335992F-260C-4A7B-8879-81E3F9B1F377}" srcOrd="0" destOrd="0" presId="urn:microsoft.com/office/officeart/2005/8/layout/hierarchy2"/>
    <dgm:cxn modelId="{FBB66ECE-9170-40A4-ABB9-A356C5A74BE2}" type="presParOf" srcId="{0859BAED-E415-40F0-8BFD-33E6465039C9}" destId="{09B2EED6-9119-40D9-9C25-57F9FF63A64D}" srcOrd="3" destOrd="0" presId="urn:microsoft.com/office/officeart/2005/8/layout/hierarchy2"/>
    <dgm:cxn modelId="{1A3904C7-ECDE-40B4-9295-182867C37D8B}" type="presParOf" srcId="{09B2EED6-9119-40D9-9C25-57F9FF63A64D}" destId="{794215F7-5961-4B94-B54C-1DCA1C30F327}" srcOrd="0" destOrd="0" presId="urn:microsoft.com/office/officeart/2005/8/layout/hierarchy2"/>
    <dgm:cxn modelId="{62BFA071-D894-4E09-920D-22D11DA7CFC7}" type="presParOf" srcId="{09B2EED6-9119-40D9-9C25-57F9FF63A64D}" destId="{98FE3E51-C178-4EEA-9457-4ABAB0EAA9E5}" srcOrd="1" destOrd="0" presId="urn:microsoft.com/office/officeart/2005/8/layout/hierarchy2"/>
    <dgm:cxn modelId="{7F76AD1F-C6F3-442F-8CD6-8EAD824E33A4}" type="presParOf" srcId="{F566A36E-2810-4C0F-8400-AA0B56681C91}" destId="{A8AD05E1-9B40-4BEB-A74D-0B693EC26750}" srcOrd="2" destOrd="0" presId="urn:microsoft.com/office/officeart/2005/8/layout/hierarchy2"/>
    <dgm:cxn modelId="{BB0F344C-0862-4308-9237-47239B057CAC}" type="presParOf" srcId="{A8AD05E1-9B40-4BEB-A74D-0B693EC26750}" destId="{0947D0CE-4728-4F97-8FD3-165C26173BF0}" srcOrd="0" destOrd="0" presId="urn:microsoft.com/office/officeart/2005/8/layout/hierarchy2"/>
    <dgm:cxn modelId="{BD622787-E0DB-4324-BA8C-87559D36AD6F}" type="presParOf" srcId="{F566A36E-2810-4C0F-8400-AA0B56681C91}" destId="{E707259E-F5AC-4A7B-9247-2F1EBA31B1A8}" srcOrd="3" destOrd="0" presId="urn:microsoft.com/office/officeart/2005/8/layout/hierarchy2"/>
    <dgm:cxn modelId="{934B16DC-A625-4F32-8CB4-8E41EE9A71C9}" type="presParOf" srcId="{E707259E-F5AC-4A7B-9247-2F1EBA31B1A8}" destId="{30A31764-4A92-44DE-9ACE-0856F8236CDE}" srcOrd="0" destOrd="0" presId="urn:microsoft.com/office/officeart/2005/8/layout/hierarchy2"/>
    <dgm:cxn modelId="{5ED34665-76A3-4473-9A5E-AA5B56C3CA24}" type="presParOf" srcId="{E707259E-F5AC-4A7B-9247-2F1EBA31B1A8}" destId="{8CC19434-0731-4468-9DD6-9F13060BA308}" srcOrd="1" destOrd="0" presId="urn:microsoft.com/office/officeart/2005/8/layout/hierarchy2"/>
    <dgm:cxn modelId="{EBFF30CE-090B-49F9-968B-5943F9A2428C}" type="presParOf" srcId="{8C635DA0-C6CF-4706-B34C-ED2D02715051}" destId="{FEE50127-7D0E-4841-B5B6-C15B44F307E1}" srcOrd="2" destOrd="0" presId="urn:microsoft.com/office/officeart/2005/8/layout/hierarchy2"/>
    <dgm:cxn modelId="{F307721F-5B06-49CC-B092-C9DA25176C77}" type="presParOf" srcId="{FEE50127-7D0E-4841-B5B6-C15B44F307E1}" destId="{67F80855-48F6-41E8-8F2C-F3226C2EE962}" srcOrd="0" destOrd="0" presId="urn:microsoft.com/office/officeart/2005/8/layout/hierarchy2"/>
    <dgm:cxn modelId="{572B2FB9-C470-4CDB-8CC5-5009AE112CE7}" type="presParOf" srcId="{8C635DA0-C6CF-4706-B34C-ED2D02715051}" destId="{339105B5-C364-4681-9FE0-1A4E02AD64E7}" srcOrd="3" destOrd="0" presId="urn:microsoft.com/office/officeart/2005/8/layout/hierarchy2"/>
    <dgm:cxn modelId="{AFDF7A81-345E-4DA0-A5C0-B337CF88A1D9}" type="presParOf" srcId="{339105B5-C364-4681-9FE0-1A4E02AD64E7}" destId="{B99AA2F1-1A9B-4D68-8AB2-E1F89D560F18}" srcOrd="0" destOrd="0" presId="urn:microsoft.com/office/officeart/2005/8/layout/hierarchy2"/>
    <dgm:cxn modelId="{0FD4EBE7-D03C-4939-BC86-365A480A43B1}" type="presParOf" srcId="{339105B5-C364-4681-9FE0-1A4E02AD64E7}" destId="{7F304523-5C88-4F0B-9C97-6B9D63BF9EAD}" srcOrd="1" destOrd="0" presId="urn:microsoft.com/office/officeart/2005/8/layout/hierarchy2"/>
    <dgm:cxn modelId="{2259D2ED-BD41-4EAE-A4D8-62FB39E1AB66}" type="presParOf" srcId="{DEE0C556-3873-4633-9E2C-314C2CF1D242}" destId="{5E302375-0915-4068-8BFD-7D4BE1F84F1D}" srcOrd="2" destOrd="0" presId="urn:microsoft.com/office/officeart/2005/8/layout/hierarchy2"/>
    <dgm:cxn modelId="{D89E6BFD-CEC0-44E2-99C5-F944AB2507EF}" type="presParOf" srcId="{5E302375-0915-4068-8BFD-7D4BE1F84F1D}" destId="{32DB3412-DB36-4A97-B081-694480E4F63C}" srcOrd="0" destOrd="0" presId="urn:microsoft.com/office/officeart/2005/8/layout/hierarchy2"/>
    <dgm:cxn modelId="{154DB0BC-7570-44FA-BBB4-AF887E331621}" type="presParOf" srcId="{DEE0C556-3873-4633-9E2C-314C2CF1D242}" destId="{74342282-253D-4C75-A855-BA71A4128433}" srcOrd="3" destOrd="0" presId="urn:microsoft.com/office/officeart/2005/8/layout/hierarchy2"/>
    <dgm:cxn modelId="{A1903D78-DF4A-4074-AE70-55152082C3B4}" type="presParOf" srcId="{74342282-253D-4C75-A855-BA71A4128433}" destId="{C3F0E2BF-C28D-4007-A2D9-D773D2CC635D}" srcOrd="0" destOrd="0" presId="urn:microsoft.com/office/officeart/2005/8/layout/hierarchy2"/>
    <dgm:cxn modelId="{8C848DC4-9F10-49D2-BAE9-B69AFD2AF2D6}" type="presParOf" srcId="{74342282-253D-4C75-A855-BA71A4128433}" destId="{C4BF3A91-2793-4B78-A0DF-32734C49C7DA}" srcOrd="1" destOrd="0" presId="urn:microsoft.com/office/officeart/2005/8/layout/hierarchy2"/>
    <dgm:cxn modelId="{24A4063B-64A3-4E3C-A26E-BEA9EF05088F}" type="presParOf" srcId="{C4BF3A91-2793-4B78-A0DF-32734C49C7DA}" destId="{BA71AA1A-9FFD-4ACA-9C8F-355042E17229}" srcOrd="0" destOrd="0" presId="urn:microsoft.com/office/officeart/2005/8/layout/hierarchy2"/>
    <dgm:cxn modelId="{31B06E18-151A-46D4-8275-8ED2816253D7}" type="presParOf" srcId="{BA71AA1A-9FFD-4ACA-9C8F-355042E17229}" destId="{06003CB9-58F0-4A4B-8277-7E1EE2C5DDBA}" srcOrd="0" destOrd="0" presId="urn:microsoft.com/office/officeart/2005/8/layout/hierarchy2"/>
    <dgm:cxn modelId="{C8580656-2242-454F-944C-C8389B054747}" type="presParOf" srcId="{C4BF3A91-2793-4B78-A0DF-32734C49C7DA}" destId="{31D90CAC-349F-4EB8-9706-63AD2EDD428F}" srcOrd="1" destOrd="0" presId="urn:microsoft.com/office/officeart/2005/8/layout/hierarchy2"/>
    <dgm:cxn modelId="{52590954-5D7A-4407-A8D8-FAABE0BCAE57}" type="presParOf" srcId="{31D90CAC-349F-4EB8-9706-63AD2EDD428F}" destId="{CAC4FC00-CB4B-43B1-B5FF-57863C186B9E}" srcOrd="0" destOrd="0" presId="urn:microsoft.com/office/officeart/2005/8/layout/hierarchy2"/>
    <dgm:cxn modelId="{E4B6255D-17A6-4568-9470-89D89B6902DA}" type="presParOf" srcId="{31D90CAC-349F-4EB8-9706-63AD2EDD428F}" destId="{D487B7D7-9C69-48C3-8B26-6EE047ECC7AC}" srcOrd="1" destOrd="0" presId="urn:microsoft.com/office/officeart/2005/8/layout/hierarchy2"/>
    <dgm:cxn modelId="{91A45ADB-41EC-41AA-856C-416571414035}" type="presParOf" srcId="{D487B7D7-9C69-48C3-8B26-6EE047ECC7AC}" destId="{FE390B04-8F69-48B0-94AF-6B128B4DAB16}" srcOrd="0" destOrd="0" presId="urn:microsoft.com/office/officeart/2005/8/layout/hierarchy2"/>
    <dgm:cxn modelId="{C7F5E4E9-8A1D-4FA7-BC4C-16A247BC7DC6}" type="presParOf" srcId="{FE390B04-8F69-48B0-94AF-6B128B4DAB16}" destId="{8CCB0022-8FCC-4E0A-AEDB-5B2B730B5DAA}" srcOrd="0" destOrd="0" presId="urn:microsoft.com/office/officeart/2005/8/layout/hierarchy2"/>
    <dgm:cxn modelId="{7C2707CE-CD51-41E0-A700-1709C094117B}" type="presParOf" srcId="{D487B7D7-9C69-48C3-8B26-6EE047ECC7AC}" destId="{7EBA3C7D-5B56-44A0-90D0-E33B922237F5}" srcOrd="1" destOrd="0" presId="urn:microsoft.com/office/officeart/2005/8/layout/hierarchy2"/>
    <dgm:cxn modelId="{65F1073E-1719-4C62-B82A-1C574D6A707A}" type="presParOf" srcId="{7EBA3C7D-5B56-44A0-90D0-E33B922237F5}" destId="{F363DA05-CDE2-4085-8BEF-3BF256187452}" srcOrd="0" destOrd="0" presId="urn:microsoft.com/office/officeart/2005/8/layout/hierarchy2"/>
    <dgm:cxn modelId="{29B7554F-8B10-448E-B521-B1E1CB771D27}" type="presParOf" srcId="{7EBA3C7D-5B56-44A0-90D0-E33B922237F5}" destId="{4961EE79-6FFF-47B2-945F-755411B17CFA}" srcOrd="1" destOrd="0" presId="urn:microsoft.com/office/officeart/2005/8/layout/hierarchy2"/>
    <dgm:cxn modelId="{01064674-3FEB-491A-A3C3-CE78E7087320}" type="presParOf" srcId="{D487B7D7-9C69-48C3-8B26-6EE047ECC7AC}" destId="{B61B4799-A2EF-48D3-9443-154690E955E8}" srcOrd="2" destOrd="0" presId="urn:microsoft.com/office/officeart/2005/8/layout/hierarchy2"/>
    <dgm:cxn modelId="{E7C8F267-BF54-48DE-9F1E-2A048F13AA52}" type="presParOf" srcId="{B61B4799-A2EF-48D3-9443-154690E955E8}" destId="{61C61B58-F167-4E59-9FF8-713E430C0E36}" srcOrd="0" destOrd="0" presId="urn:microsoft.com/office/officeart/2005/8/layout/hierarchy2"/>
    <dgm:cxn modelId="{F4C59D01-3740-4F19-B427-DA593DF4DF18}" type="presParOf" srcId="{D487B7D7-9C69-48C3-8B26-6EE047ECC7AC}" destId="{BED41323-1E62-4948-9EAF-9BA85AE400C6}" srcOrd="3" destOrd="0" presId="urn:microsoft.com/office/officeart/2005/8/layout/hierarchy2"/>
    <dgm:cxn modelId="{1FE99CAD-4310-43DC-878A-31C6AC483FF8}" type="presParOf" srcId="{BED41323-1E62-4948-9EAF-9BA85AE400C6}" destId="{11B73183-D512-4B96-BE1F-0CEB762B5F6D}" srcOrd="0" destOrd="0" presId="urn:microsoft.com/office/officeart/2005/8/layout/hierarchy2"/>
    <dgm:cxn modelId="{0D572A5E-A55C-4E52-ABD7-36E673B78CF1}" type="presParOf" srcId="{BED41323-1E62-4948-9EAF-9BA85AE400C6}" destId="{383D2A04-F39D-4DA3-BD94-F92EDF72635C}" srcOrd="1" destOrd="0" presId="urn:microsoft.com/office/officeart/2005/8/layout/hierarchy2"/>
    <dgm:cxn modelId="{2DC3FA1B-989B-4FC9-82C5-4AFADEF2A431}" type="presParOf" srcId="{C4BF3A91-2793-4B78-A0DF-32734C49C7DA}" destId="{D0DF8ED0-545B-47A3-9D6E-D89A42B68030}" srcOrd="2" destOrd="0" presId="urn:microsoft.com/office/officeart/2005/8/layout/hierarchy2"/>
    <dgm:cxn modelId="{C8353F4F-5DDA-458A-8F74-08816BC172DD}" type="presParOf" srcId="{D0DF8ED0-545B-47A3-9D6E-D89A42B68030}" destId="{F9714ED5-465E-48AC-9E79-684553D63EE5}" srcOrd="0" destOrd="0" presId="urn:microsoft.com/office/officeart/2005/8/layout/hierarchy2"/>
    <dgm:cxn modelId="{89537F25-DBC6-4F19-9A5A-C99D4E1DB179}" type="presParOf" srcId="{C4BF3A91-2793-4B78-A0DF-32734C49C7DA}" destId="{4BFD7331-EAD7-4514-9B10-7590932D751B}" srcOrd="3" destOrd="0" presId="urn:microsoft.com/office/officeart/2005/8/layout/hierarchy2"/>
    <dgm:cxn modelId="{8A5882CC-E20C-48EC-84FD-70CE1E53CFD8}" type="presParOf" srcId="{4BFD7331-EAD7-4514-9B10-7590932D751B}" destId="{C5F73B4C-0AC7-4038-9292-EE4E4D925B5C}" srcOrd="0" destOrd="0" presId="urn:microsoft.com/office/officeart/2005/8/layout/hierarchy2"/>
    <dgm:cxn modelId="{F818EA7D-FDB9-49CC-893F-2CBA2AC505C0}" type="presParOf" srcId="{4BFD7331-EAD7-4514-9B10-7590932D751B}" destId="{C29A3695-2E52-45D7-B77C-3BE180C75687}"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79182BE-9A94-4176-8E7B-45BDFA7CA9E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9A9D2BC2-F58F-41D2-AA32-6BEA73E4AFA2}">
      <dgm:prSet phldrT="[Text]" custT="1"/>
      <dgm:spPr>
        <a:solidFill>
          <a:srgbClr val="00B050"/>
        </a:solidFill>
      </dgm:spPr>
      <dgm:t>
        <a:bodyPr/>
        <a:lstStyle/>
        <a:p>
          <a:r>
            <a:rPr lang="en-GB" sz="900">
              <a:solidFill>
                <a:sysClr val="windowText" lastClr="000000"/>
              </a:solidFill>
            </a:rPr>
            <a:t>On a publicly-subsised place at a publicly-subsidised university? </a:t>
          </a:r>
        </a:p>
        <a:p>
          <a:r>
            <a:rPr lang="en-GB" sz="900">
              <a:solidFill>
                <a:sysClr val="windowText" lastClr="000000"/>
              </a:solidFill>
            </a:rPr>
            <a:t>(most UG and  40% PG</a:t>
          </a:r>
          <a:r>
            <a:rPr lang="en-GB" sz="700">
              <a:solidFill>
                <a:sysClr val="windowText" lastClr="000000"/>
              </a:solidFill>
            </a:rPr>
            <a:t>)</a:t>
          </a:r>
        </a:p>
      </dgm:t>
    </dgm:pt>
    <dgm:pt modelId="{4672B494-DCFD-4492-BEDD-F4B490C9E470}" type="parTrans" cxnId="{39BDA376-656C-4480-90B1-DC184B87F610}">
      <dgm:prSet/>
      <dgm:spPr/>
      <dgm:t>
        <a:bodyPr/>
        <a:lstStyle/>
        <a:p>
          <a:endParaRPr lang="en-GB"/>
        </a:p>
      </dgm:t>
    </dgm:pt>
    <dgm:pt modelId="{A1EA19C0-F76A-4787-9878-BC023E128211}" type="sibTrans" cxnId="{39BDA376-656C-4480-90B1-DC184B87F610}">
      <dgm:prSet/>
      <dgm:spPr/>
      <dgm:t>
        <a:bodyPr/>
        <a:lstStyle/>
        <a:p>
          <a:endParaRPr lang="en-GB"/>
        </a:p>
      </dgm:t>
    </dgm:pt>
    <dgm:pt modelId="{6B6C76DC-4384-4185-A31B-927A3DFF12FA}">
      <dgm:prSet phldrT="[Text]" custT="1"/>
      <dgm:spPr>
        <a:solidFill>
          <a:srgbClr val="FF0000"/>
        </a:solidFill>
      </dgm:spPr>
      <dgm:t>
        <a:bodyPr/>
        <a:lstStyle/>
        <a:p>
          <a:r>
            <a:rPr lang="en-GB" sz="800"/>
            <a:t>HECS-HELP </a:t>
          </a:r>
        </a:p>
        <a:p>
          <a:r>
            <a:rPr lang="en-GB" sz="800"/>
            <a:t>(max fee £5,670)</a:t>
          </a:r>
        </a:p>
        <a:p>
          <a:r>
            <a:rPr lang="en-GB" sz="800"/>
            <a:t>Base funding</a:t>
          </a:r>
        </a:p>
      </dgm:t>
    </dgm:pt>
    <dgm:pt modelId="{58F11FCB-EAFE-4196-BF90-8F0C39337139}" type="parTrans" cxnId="{AAAED479-0B31-48E5-85BF-BC06CA6B9B22}">
      <dgm:prSet/>
      <dgm:spPr/>
      <dgm:t>
        <a:bodyPr/>
        <a:lstStyle/>
        <a:p>
          <a:endParaRPr lang="en-GB"/>
        </a:p>
      </dgm:t>
    </dgm:pt>
    <dgm:pt modelId="{2DC942C8-5993-4607-A1F3-AD3CD23DAD78}" type="sibTrans" cxnId="{AAAED479-0B31-48E5-85BF-BC06CA6B9B22}">
      <dgm:prSet/>
      <dgm:spPr/>
      <dgm:t>
        <a:bodyPr/>
        <a:lstStyle/>
        <a:p>
          <a:endParaRPr lang="en-GB"/>
        </a:p>
      </dgm:t>
    </dgm:pt>
    <dgm:pt modelId="{F282DA47-FB7B-4D04-B3CE-A5AE8967F869}">
      <dgm:prSet phldrT="[Text]" custT="1"/>
      <dgm:spPr>
        <a:solidFill>
          <a:srgbClr val="00B050"/>
        </a:solidFill>
      </dgm:spPr>
      <dgm:t>
        <a:bodyPr/>
        <a:lstStyle/>
        <a:p>
          <a:r>
            <a:rPr lang="en-GB" sz="900">
              <a:solidFill>
                <a:sysClr val="windowText" lastClr="000000"/>
              </a:solidFill>
            </a:rPr>
            <a:t>Postgraduate? </a:t>
          </a:r>
        </a:p>
      </dgm:t>
    </dgm:pt>
    <dgm:pt modelId="{3D3686F2-495F-4C9A-9C6E-1130B17C06B8}" type="parTrans" cxnId="{5164B6F0-DAFA-499A-A587-19E35AEDC513}">
      <dgm:prSet/>
      <dgm:spPr/>
      <dgm:t>
        <a:bodyPr/>
        <a:lstStyle/>
        <a:p>
          <a:endParaRPr lang="en-GB"/>
        </a:p>
      </dgm:t>
    </dgm:pt>
    <dgm:pt modelId="{486AB5F5-4052-4CC4-BEE4-1BDC77F5FE7B}" type="sibTrans" cxnId="{5164B6F0-DAFA-499A-A587-19E35AEDC513}">
      <dgm:prSet/>
      <dgm:spPr/>
      <dgm:t>
        <a:bodyPr/>
        <a:lstStyle/>
        <a:p>
          <a:endParaRPr lang="en-GB"/>
        </a:p>
      </dgm:t>
    </dgm:pt>
    <dgm:pt modelId="{B1994581-8A4F-4311-99BB-E4AA93E1AB67}">
      <dgm:prSet custT="1"/>
      <dgm:spPr>
        <a:solidFill>
          <a:srgbClr val="FF0000"/>
        </a:solidFill>
      </dgm:spPr>
      <dgm:t>
        <a:bodyPr/>
        <a:lstStyle/>
        <a:p>
          <a:r>
            <a:rPr lang="en-GB" sz="1000"/>
            <a:t>PG FEE-HELP</a:t>
          </a:r>
        </a:p>
        <a:p>
          <a:r>
            <a:rPr lang="en-GB" sz="1000"/>
            <a:t>(no fee max)</a:t>
          </a:r>
        </a:p>
      </dgm:t>
    </dgm:pt>
    <dgm:pt modelId="{43F5747C-48A2-45E9-9859-DACBF0EE6CE0}" type="parTrans" cxnId="{41F02BD0-1BC9-4E3C-B9CC-3BA9182B1125}">
      <dgm:prSet/>
      <dgm:spPr/>
      <dgm:t>
        <a:bodyPr/>
        <a:lstStyle/>
        <a:p>
          <a:endParaRPr lang="en-GB"/>
        </a:p>
      </dgm:t>
    </dgm:pt>
    <dgm:pt modelId="{A9B61736-16CD-4BF1-B2D9-27B9E7E319FE}" type="sibTrans" cxnId="{41F02BD0-1BC9-4E3C-B9CC-3BA9182B1125}">
      <dgm:prSet/>
      <dgm:spPr/>
      <dgm:t>
        <a:bodyPr/>
        <a:lstStyle/>
        <a:p>
          <a:endParaRPr lang="en-GB"/>
        </a:p>
      </dgm:t>
    </dgm:pt>
    <dgm:pt modelId="{2B0C79E5-BD19-4D48-8353-763584277C05}">
      <dgm:prSet custT="1"/>
      <dgm:spPr>
        <a:solidFill>
          <a:srgbClr val="00B050"/>
        </a:solidFill>
      </dgm:spPr>
      <dgm:t>
        <a:bodyPr/>
        <a:lstStyle/>
        <a:p>
          <a:r>
            <a:rPr lang="en-GB" sz="800">
              <a:solidFill>
                <a:sysClr val="windowText" lastClr="000000"/>
              </a:solidFill>
            </a:rPr>
            <a:t>Under the FEE-HELP lifetime maximum?</a:t>
          </a:r>
        </a:p>
      </dgm:t>
    </dgm:pt>
    <dgm:pt modelId="{A96B2639-61EC-45CD-8F26-8AAF06501BD3}" type="parTrans" cxnId="{03914DAA-3556-47A1-A0BD-1F1713695FDF}">
      <dgm:prSet/>
      <dgm:spPr/>
      <dgm:t>
        <a:bodyPr/>
        <a:lstStyle/>
        <a:p>
          <a:endParaRPr lang="en-GB"/>
        </a:p>
      </dgm:t>
    </dgm:pt>
    <dgm:pt modelId="{6CFE56F5-2B61-4C64-8299-BBA7927D4C20}" type="sibTrans" cxnId="{03914DAA-3556-47A1-A0BD-1F1713695FDF}">
      <dgm:prSet/>
      <dgm:spPr/>
      <dgm:t>
        <a:bodyPr/>
        <a:lstStyle/>
        <a:p>
          <a:endParaRPr lang="en-GB"/>
        </a:p>
      </dgm:t>
    </dgm:pt>
    <dgm:pt modelId="{25C580DC-8072-4A4A-9D5E-1BC9C803D4D8}">
      <dgm:prSet custT="1"/>
      <dgm:spPr>
        <a:solidFill>
          <a:srgbClr val="002060"/>
        </a:solidFill>
      </dgm:spPr>
      <dgm:t>
        <a:bodyPr/>
        <a:lstStyle/>
        <a:p>
          <a:r>
            <a:rPr lang="en-GB" sz="1000"/>
            <a:t>100% fee upfront</a:t>
          </a:r>
        </a:p>
        <a:p>
          <a:r>
            <a:rPr lang="en-GB" sz="1000"/>
            <a:t>(no fee max)</a:t>
          </a:r>
        </a:p>
      </dgm:t>
    </dgm:pt>
    <dgm:pt modelId="{D7F37792-32DE-46B6-99EE-5EBE2490C3F2}" type="parTrans" cxnId="{BF7B5E76-A262-4C82-BBF2-0BAF990B8FC7}">
      <dgm:prSet/>
      <dgm:spPr/>
      <dgm:t>
        <a:bodyPr/>
        <a:lstStyle/>
        <a:p>
          <a:endParaRPr lang="en-GB"/>
        </a:p>
      </dgm:t>
    </dgm:pt>
    <dgm:pt modelId="{2C29FD12-34E7-419B-8306-CD8841212CE8}" type="sibTrans" cxnId="{BF7B5E76-A262-4C82-BBF2-0BAF990B8FC7}">
      <dgm:prSet/>
      <dgm:spPr/>
      <dgm:t>
        <a:bodyPr/>
        <a:lstStyle/>
        <a:p>
          <a:endParaRPr lang="en-GB"/>
        </a:p>
      </dgm:t>
    </dgm:pt>
    <dgm:pt modelId="{6D98C3F3-3095-4C2B-A331-674BB649FDED}">
      <dgm:prSet custT="1"/>
      <dgm:spPr>
        <a:solidFill>
          <a:srgbClr val="A50021"/>
        </a:solidFill>
      </dgm:spPr>
      <dgm:t>
        <a:bodyPr/>
        <a:lstStyle/>
        <a:p>
          <a:r>
            <a:rPr lang="en-GB" sz="1000"/>
            <a:t>UG FEE-HELP</a:t>
          </a:r>
        </a:p>
        <a:p>
          <a:r>
            <a:rPr lang="en-GB" sz="1000"/>
            <a:t>(no  fee max)</a:t>
          </a:r>
        </a:p>
      </dgm:t>
    </dgm:pt>
    <dgm:pt modelId="{AC0698E7-68CA-4B5D-8F68-A03350859160}" type="parTrans" cxnId="{02CCA144-D789-449E-93ED-B2057C7F20A7}">
      <dgm:prSet/>
      <dgm:spPr/>
      <dgm:t>
        <a:bodyPr/>
        <a:lstStyle/>
        <a:p>
          <a:endParaRPr lang="en-GB"/>
        </a:p>
      </dgm:t>
    </dgm:pt>
    <dgm:pt modelId="{8DD633A5-49D2-49E2-B1C7-04CFCC47FE72}" type="sibTrans" cxnId="{02CCA144-D789-449E-93ED-B2057C7F20A7}">
      <dgm:prSet/>
      <dgm:spPr/>
      <dgm:t>
        <a:bodyPr/>
        <a:lstStyle/>
        <a:p>
          <a:endParaRPr lang="en-GB"/>
        </a:p>
      </dgm:t>
    </dgm:pt>
    <dgm:pt modelId="{124A1039-9422-44F3-938C-A339183481C7}" type="pres">
      <dgm:prSet presAssocID="{879182BE-9A94-4176-8E7B-45BDFA7CA9E4}" presName="diagram" presStyleCnt="0">
        <dgm:presLayoutVars>
          <dgm:chPref val="1"/>
          <dgm:dir/>
          <dgm:animOne val="branch"/>
          <dgm:animLvl val="lvl"/>
          <dgm:resizeHandles val="exact"/>
        </dgm:presLayoutVars>
      </dgm:prSet>
      <dgm:spPr/>
      <dgm:t>
        <a:bodyPr/>
        <a:lstStyle/>
        <a:p>
          <a:endParaRPr lang="en-GB"/>
        </a:p>
      </dgm:t>
    </dgm:pt>
    <dgm:pt modelId="{C4B6D55B-AE01-480F-846A-A2CF50E331F2}" type="pres">
      <dgm:prSet presAssocID="{9A9D2BC2-F58F-41D2-AA32-6BEA73E4AFA2}" presName="root1" presStyleCnt="0"/>
      <dgm:spPr/>
    </dgm:pt>
    <dgm:pt modelId="{A3014A96-4305-414A-9133-ADFC22560E45}" type="pres">
      <dgm:prSet presAssocID="{9A9D2BC2-F58F-41D2-AA32-6BEA73E4AFA2}" presName="LevelOneTextNode" presStyleLbl="node0" presStyleIdx="0" presStyleCnt="1" custScaleY="249659" custLinFactY="-10197" custLinFactNeighborX="-589" custLinFactNeighborY="-100000">
        <dgm:presLayoutVars>
          <dgm:chPref val="3"/>
        </dgm:presLayoutVars>
      </dgm:prSet>
      <dgm:spPr/>
      <dgm:t>
        <a:bodyPr/>
        <a:lstStyle/>
        <a:p>
          <a:endParaRPr lang="en-GB"/>
        </a:p>
      </dgm:t>
    </dgm:pt>
    <dgm:pt modelId="{DEE0C556-3873-4633-9E2C-314C2CF1D242}" type="pres">
      <dgm:prSet presAssocID="{9A9D2BC2-F58F-41D2-AA32-6BEA73E4AFA2}" presName="level2hierChild" presStyleCnt="0"/>
      <dgm:spPr/>
    </dgm:pt>
    <dgm:pt modelId="{DA662F79-8BE1-4AE8-9CE6-3B0997E30FE2}" type="pres">
      <dgm:prSet presAssocID="{58F11FCB-EAFE-4196-BF90-8F0C39337139}" presName="conn2-1" presStyleLbl="parChTrans1D2" presStyleIdx="0" presStyleCnt="2"/>
      <dgm:spPr/>
      <dgm:t>
        <a:bodyPr/>
        <a:lstStyle/>
        <a:p>
          <a:endParaRPr lang="en-GB"/>
        </a:p>
      </dgm:t>
    </dgm:pt>
    <dgm:pt modelId="{50DBBEF2-D48B-470B-B983-ACD24AA7B3D8}" type="pres">
      <dgm:prSet presAssocID="{58F11FCB-EAFE-4196-BF90-8F0C39337139}" presName="connTx" presStyleLbl="parChTrans1D2" presStyleIdx="0" presStyleCnt="2"/>
      <dgm:spPr/>
      <dgm:t>
        <a:bodyPr/>
        <a:lstStyle/>
        <a:p>
          <a:endParaRPr lang="en-GB"/>
        </a:p>
      </dgm:t>
    </dgm:pt>
    <dgm:pt modelId="{8D1F0E26-1817-4C24-8CD7-40D1F1DBADCD}" type="pres">
      <dgm:prSet presAssocID="{6B6C76DC-4384-4185-A31B-927A3DFF12FA}" presName="root2" presStyleCnt="0"/>
      <dgm:spPr/>
    </dgm:pt>
    <dgm:pt modelId="{D4B59972-679B-42F5-9956-2C0EAD6A85EA}" type="pres">
      <dgm:prSet presAssocID="{6B6C76DC-4384-4185-A31B-927A3DFF12FA}" presName="LevelTwoTextNode" presStyleLbl="node2" presStyleIdx="0" presStyleCnt="2" custLinFactY="-97435" custLinFactNeighborY="-100000">
        <dgm:presLayoutVars>
          <dgm:chPref val="3"/>
        </dgm:presLayoutVars>
      </dgm:prSet>
      <dgm:spPr/>
      <dgm:t>
        <a:bodyPr/>
        <a:lstStyle/>
        <a:p>
          <a:endParaRPr lang="en-GB"/>
        </a:p>
      </dgm:t>
    </dgm:pt>
    <dgm:pt modelId="{8C635DA0-C6CF-4706-B34C-ED2D02715051}" type="pres">
      <dgm:prSet presAssocID="{6B6C76DC-4384-4185-A31B-927A3DFF12FA}" presName="level3hierChild" presStyleCnt="0"/>
      <dgm:spPr/>
    </dgm:pt>
    <dgm:pt modelId="{7DD57F05-A336-48E1-9B43-6DB525DC8D95}" type="pres">
      <dgm:prSet presAssocID="{A96B2639-61EC-45CD-8F26-8AAF06501BD3}" presName="conn2-1" presStyleLbl="parChTrans1D2" presStyleIdx="1" presStyleCnt="2"/>
      <dgm:spPr/>
      <dgm:t>
        <a:bodyPr/>
        <a:lstStyle/>
        <a:p>
          <a:endParaRPr lang="en-GB"/>
        </a:p>
      </dgm:t>
    </dgm:pt>
    <dgm:pt modelId="{82B6EFA7-AD7D-4156-86A3-DE462B6220AD}" type="pres">
      <dgm:prSet presAssocID="{A96B2639-61EC-45CD-8F26-8AAF06501BD3}" presName="connTx" presStyleLbl="parChTrans1D2" presStyleIdx="1" presStyleCnt="2"/>
      <dgm:spPr/>
      <dgm:t>
        <a:bodyPr/>
        <a:lstStyle/>
        <a:p>
          <a:endParaRPr lang="en-GB"/>
        </a:p>
      </dgm:t>
    </dgm:pt>
    <dgm:pt modelId="{CFA5CBD1-F2F3-44C4-AFED-2C1460B186BB}" type="pres">
      <dgm:prSet presAssocID="{2B0C79E5-BD19-4D48-8353-763584277C05}" presName="root2" presStyleCnt="0"/>
      <dgm:spPr/>
    </dgm:pt>
    <dgm:pt modelId="{AD2A6E42-8357-40EE-B894-8F29B2319AAC}" type="pres">
      <dgm:prSet presAssocID="{2B0C79E5-BD19-4D48-8353-763584277C05}" presName="LevelTwoTextNode" presStyleLbl="node2" presStyleIdx="1" presStyleCnt="2">
        <dgm:presLayoutVars>
          <dgm:chPref val="3"/>
        </dgm:presLayoutVars>
      </dgm:prSet>
      <dgm:spPr/>
      <dgm:t>
        <a:bodyPr/>
        <a:lstStyle/>
        <a:p>
          <a:endParaRPr lang="en-GB"/>
        </a:p>
      </dgm:t>
    </dgm:pt>
    <dgm:pt modelId="{9A1057AF-32D8-4C15-8B4D-A834BCCBABD2}" type="pres">
      <dgm:prSet presAssocID="{2B0C79E5-BD19-4D48-8353-763584277C05}" presName="level3hierChild" presStyleCnt="0"/>
      <dgm:spPr/>
    </dgm:pt>
    <dgm:pt modelId="{5E302375-0915-4068-8BFD-7D4BE1F84F1D}" type="pres">
      <dgm:prSet presAssocID="{3D3686F2-495F-4C9A-9C6E-1130B17C06B8}" presName="conn2-1" presStyleLbl="parChTrans1D3" presStyleIdx="0" presStyleCnt="2"/>
      <dgm:spPr/>
      <dgm:t>
        <a:bodyPr/>
        <a:lstStyle/>
        <a:p>
          <a:endParaRPr lang="en-GB"/>
        </a:p>
      </dgm:t>
    </dgm:pt>
    <dgm:pt modelId="{32DB3412-DB36-4A97-B081-694480E4F63C}" type="pres">
      <dgm:prSet presAssocID="{3D3686F2-495F-4C9A-9C6E-1130B17C06B8}" presName="connTx" presStyleLbl="parChTrans1D3" presStyleIdx="0" presStyleCnt="2"/>
      <dgm:spPr/>
      <dgm:t>
        <a:bodyPr/>
        <a:lstStyle/>
        <a:p>
          <a:endParaRPr lang="en-GB"/>
        </a:p>
      </dgm:t>
    </dgm:pt>
    <dgm:pt modelId="{74342282-253D-4C75-A855-BA71A4128433}" type="pres">
      <dgm:prSet presAssocID="{F282DA47-FB7B-4D04-B3CE-A5AE8967F869}" presName="root2" presStyleCnt="0"/>
      <dgm:spPr/>
    </dgm:pt>
    <dgm:pt modelId="{C3F0E2BF-C28D-4007-A2D9-D773D2CC635D}" type="pres">
      <dgm:prSet presAssocID="{F282DA47-FB7B-4D04-B3CE-A5AE8967F869}" presName="LevelTwoTextNode" presStyleLbl="node3" presStyleIdx="0" presStyleCnt="2">
        <dgm:presLayoutVars>
          <dgm:chPref val="3"/>
        </dgm:presLayoutVars>
      </dgm:prSet>
      <dgm:spPr/>
      <dgm:t>
        <a:bodyPr/>
        <a:lstStyle/>
        <a:p>
          <a:endParaRPr lang="en-GB"/>
        </a:p>
      </dgm:t>
    </dgm:pt>
    <dgm:pt modelId="{C4BF3A91-2793-4B78-A0DF-32734C49C7DA}" type="pres">
      <dgm:prSet presAssocID="{F282DA47-FB7B-4D04-B3CE-A5AE8967F869}" presName="level3hierChild" presStyleCnt="0"/>
      <dgm:spPr/>
    </dgm:pt>
    <dgm:pt modelId="{0BC5BE17-D1B9-4FD6-9738-2BD651229A45}" type="pres">
      <dgm:prSet presAssocID="{43F5747C-48A2-45E9-9859-DACBF0EE6CE0}" presName="conn2-1" presStyleLbl="parChTrans1D4" presStyleIdx="0" presStyleCnt="2"/>
      <dgm:spPr/>
      <dgm:t>
        <a:bodyPr/>
        <a:lstStyle/>
        <a:p>
          <a:endParaRPr lang="en-GB"/>
        </a:p>
      </dgm:t>
    </dgm:pt>
    <dgm:pt modelId="{FD24527E-FDC9-424E-876F-14DDBDEDC5B9}" type="pres">
      <dgm:prSet presAssocID="{43F5747C-48A2-45E9-9859-DACBF0EE6CE0}" presName="connTx" presStyleLbl="parChTrans1D4" presStyleIdx="0" presStyleCnt="2"/>
      <dgm:spPr/>
      <dgm:t>
        <a:bodyPr/>
        <a:lstStyle/>
        <a:p>
          <a:endParaRPr lang="en-GB"/>
        </a:p>
      </dgm:t>
    </dgm:pt>
    <dgm:pt modelId="{6862822A-CD93-4496-9B64-B953D171A42B}" type="pres">
      <dgm:prSet presAssocID="{B1994581-8A4F-4311-99BB-E4AA93E1AB67}" presName="root2" presStyleCnt="0"/>
      <dgm:spPr/>
    </dgm:pt>
    <dgm:pt modelId="{26645150-0DE9-4038-A4A7-3A732A96B305}" type="pres">
      <dgm:prSet presAssocID="{B1994581-8A4F-4311-99BB-E4AA93E1AB67}" presName="LevelTwoTextNode" presStyleLbl="node4" presStyleIdx="0" presStyleCnt="2">
        <dgm:presLayoutVars>
          <dgm:chPref val="3"/>
        </dgm:presLayoutVars>
      </dgm:prSet>
      <dgm:spPr/>
      <dgm:t>
        <a:bodyPr/>
        <a:lstStyle/>
        <a:p>
          <a:endParaRPr lang="en-GB"/>
        </a:p>
      </dgm:t>
    </dgm:pt>
    <dgm:pt modelId="{F0FE9886-17B6-4377-99C0-FC681E071BB4}" type="pres">
      <dgm:prSet presAssocID="{B1994581-8A4F-4311-99BB-E4AA93E1AB67}" presName="level3hierChild" presStyleCnt="0"/>
      <dgm:spPr/>
    </dgm:pt>
    <dgm:pt modelId="{E98F64CE-2527-4E67-9AF1-F4F28744C2D5}" type="pres">
      <dgm:prSet presAssocID="{AC0698E7-68CA-4B5D-8F68-A03350859160}" presName="conn2-1" presStyleLbl="parChTrans1D4" presStyleIdx="1" presStyleCnt="2"/>
      <dgm:spPr/>
      <dgm:t>
        <a:bodyPr/>
        <a:lstStyle/>
        <a:p>
          <a:endParaRPr lang="en-GB"/>
        </a:p>
      </dgm:t>
    </dgm:pt>
    <dgm:pt modelId="{E17D8A06-11CF-455F-B406-2A86BBD1BE9A}" type="pres">
      <dgm:prSet presAssocID="{AC0698E7-68CA-4B5D-8F68-A03350859160}" presName="connTx" presStyleLbl="parChTrans1D4" presStyleIdx="1" presStyleCnt="2"/>
      <dgm:spPr/>
      <dgm:t>
        <a:bodyPr/>
        <a:lstStyle/>
        <a:p>
          <a:endParaRPr lang="en-GB"/>
        </a:p>
      </dgm:t>
    </dgm:pt>
    <dgm:pt modelId="{9996D300-E252-4784-855B-67BBEF478954}" type="pres">
      <dgm:prSet presAssocID="{6D98C3F3-3095-4C2B-A331-674BB649FDED}" presName="root2" presStyleCnt="0"/>
      <dgm:spPr/>
    </dgm:pt>
    <dgm:pt modelId="{3889D26A-D288-4EA9-94DA-FB6B3EBB2B5D}" type="pres">
      <dgm:prSet presAssocID="{6D98C3F3-3095-4C2B-A331-674BB649FDED}" presName="LevelTwoTextNode" presStyleLbl="node4" presStyleIdx="1" presStyleCnt="2">
        <dgm:presLayoutVars>
          <dgm:chPref val="3"/>
        </dgm:presLayoutVars>
      </dgm:prSet>
      <dgm:spPr/>
      <dgm:t>
        <a:bodyPr/>
        <a:lstStyle/>
        <a:p>
          <a:endParaRPr lang="en-GB"/>
        </a:p>
      </dgm:t>
    </dgm:pt>
    <dgm:pt modelId="{A6AEC862-A16E-4AED-80F1-FDA7D525A93C}" type="pres">
      <dgm:prSet presAssocID="{6D98C3F3-3095-4C2B-A331-674BB649FDED}" presName="level3hierChild" presStyleCnt="0"/>
      <dgm:spPr/>
    </dgm:pt>
    <dgm:pt modelId="{09279E08-9CB9-40AA-B0B6-0D00542C394E}" type="pres">
      <dgm:prSet presAssocID="{D7F37792-32DE-46B6-99EE-5EBE2490C3F2}" presName="conn2-1" presStyleLbl="parChTrans1D3" presStyleIdx="1" presStyleCnt="2"/>
      <dgm:spPr/>
      <dgm:t>
        <a:bodyPr/>
        <a:lstStyle/>
        <a:p>
          <a:endParaRPr lang="en-GB"/>
        </a:p>
      </dgm:t>
    </dgm:pt>
    <dgm:pt modelId="{5D2BD4FB-0F17-4190-8710-140865165059}" type="pres">
      <dgm:prSet presAssocID="{D7F37792-32DE-46B6-99EE-5EBE2490C3F2}" presName="connTx" presStyleLbl="parChTrans1D3" presStyleIdx="1" presStyleCnt="2"/>
      <dgm:spPr/>
      <dgm:t>
        <a:bodyPr/>
        <a:lstStyle/>
        <a:p>
          <a:endParaRPr lang="en-GB"/>
        </a:p>
      </dgm:t>
    </dgm:pt>
    <dgm:pt modelId="{F02C703C-8201-49CB-AEF7-D2F9FB7E5F7B}" type="pres">
      <dgm:prSet presAssocID="{25C580DC-8072-4A4A-9D5E-1BC9C803D4D8}" presName="root2" presStyleCnt="0"/>
      <dgm:spPr/>
    </dgm:pt>
    <dgm:pt modelId="{DDB8C41D-D675-4AB3-84EE-14277F6D0648}" type="pres">
      <dgm:prSet presAssocID="{25C580DC-8072-4A4A-9D5E-1BC9C803D4D8}" presName="LevelTwoTextNode" presStyleLbl="node3" presStyleIdx="1" presStyleCnt="2">
        <dgm:presLayoutVars>
          <dgm:chPref val="3"/>
        </dgm:presLayoutVars>
      </dgm:prSet>
      <dgm:spPr/>
      <dgm:t>
        <a:bodyPr/>
        <a:lstStyle/>
        <a:p>
          <a:endParaRPr lang="en-GB"/>
        </a:p>
      </dgm:t>
    </dgm:pt>
    <dgm:pt modelId="{4F22FCEC-2EC7-448D-BA18-28EB7342495B}" type="pres">
      <dgm:prSet presAssocID="{25C580DC-8072-4A4A-9D5E-1BC9C803D4D8}" presName="level3hierChild" presStyleCnt="0"/>
      <dgm:spPr/>
    </dgm:pt>
  </dgm:ptLst>
  <dgm:cxnLst>
    <dgm:cxn modelId="{5164B6F0-DAFA-499A-A587-19E35AEDC513}" srcId="{2B0C79E5-BD19-4D48-8353-763584277C05}" destId="{F282DA47-FB7B-4D04-B3CE-A5AE8967F869}" srcOrd="0" destOrd="0" parTransId="{3D3686F2-495F-4C9A-9C6E-1130B17C06B8}" sibTransId="{486AB5F5-4052-4CC4-BEE4-1BDC77F5FE7B}"/>
    <dgm:cxn modelId="{41F02BD0-1BC9-4E3C-B9CC-3BA9182B1125}" srcId="{F282DA47-FB7B-4D04-B3CE-A5AE8967F869}" destId="{B1994581-8A4F-4311-99BB-E4AA93E1AB67}" srcOrd="0" destOrd="0" parTransId="{43F5747C-48A2-45E9-9859-DACBF0EE6CE0}" sibTransId="{A9B61736-16CD-4BF1-B2D9-27B9E7E319FE}"/>
    <dgm:cxn modelId="{E2E29C71-1A73-4C78-BEEA-7D6BA26A8843}" type="presOf" srcId="{58F11FCB-EAFE-4196-BF90-8F0C39337139}" destId="{DA662F79-8BE1-4AE8-9CE6-3B0997E30FE2}" srcOrd="0" destOrd="0" presId="urn:microsoft.com/office/officeart/2005/8/layout/hierarchy2"/>
    <dgm:cxn modelId="{E241D4F9-C180-4F62-AA96-93346E9E687F}" type="presOf" srcId="{D7F37792-32DE-46B6-99EE-5EBE2490C3F2}" destId="{5D2BD4FB-0F17-4190-8710-140865165059}" srcOrd="1" destOrd="0" presId="urn:microsoft.com/office/officeart/2005/8/layout/hierarchy2"/>
    <dgm:cxn modelId="{7396EFE7-50E4-4A32-92D4-937D68926D86}" type="presOf" srcId="{879182BE-9A94-4176-8E7B-45BDFA7CA9E4}" destId="{124A1039-9422-44F3-938C-A339183481C7}" srcOrd="0" destOrd="0" presId="urn:microsoft.com/office/officeart/2005/8/layout/hierarchy2"/>
    <dgm:cxn modelId="{223984E1-2CA2-4D9F-ABB9-20DA3C4B1355}" type="presOf" srcId="{F282DA47-FB7B-4D04-B3CE-A5AE8967F869}" destId="{C3F0E2BF-C28D-4007-A2D9-D773D2CC635D}" srcOrd="0" destOrd="0" presId="urn:microsoft.com/office/officeart/2005/8/layout/hierarchy2"/>
    <dgm:cxn modelId="{10F3CD81-0D10-4C6B-A852-A6A3BCCB8856}" type="presOf" srcId="{B1994581-8A4F-4311-99BB-E4AA93E1AB67}" destId="{26645150-0DE9-4038-A4A7-3A732A96B305}" srcOrd="0" destOrd="0" presId="urn:microsoft.com/office/officeart/2005/8/layout/hierarchy2"/>
    <dgm:cxn modelId="{CD59170C-24BA-4D93-89A1-560BF7080762}" type="presOf" srcId="{2B0C79E5-BD19-4D48-8353-763584277C05}" destId="{AD2A6E42-8357-40EE-B894-8F29B2319AAC}" srcOrd="0" destOrd="0" presId="urn:microsoft.com/office/officeart/2005/8/layout/hierarchy2"/>
    <dgm:cxn modelId="{AAAED479-0B31-48E5-85BF-BC06CA6B9B22}" srcId="{9A9D2BC2-F58F-41D2-AA32-6BEA73E4AFA2}" destId="{6B6C76DC-4384-4185-A31B-927A3DFF12FA}" srcOrd="0" destOrd="0" parTransId="{58F11FCB-EAFE-4196-BF90-8F0C39337139}" sibTransId="{2DC942C8-5993-4607-A1F3-AD3CD23DAD78}"/>
    <dgm:cxn modelId="{D690EB0C-D6A6-411F-ABA0-3AB820D3443A}" type="presOf" srcId="{AC0698E7-68CA-4B5D-8F68-A03350859160}" destId="{E98F64CE-2527-4E67-9AF1-F4F28744C2D5}" srcOrd="0" destOrd="0" presId="urn:microsoft.com/office/officeart/2005/8/layout/hierarchy2"/>
    <dgm:cxn modelId="{7F18EB60-D72B-4954-ADED-8C0795A38BBF}" type="presOf" srcId="{25C580DC-8072-4A4A-9D5E-1BC9C803D4D8}" destId="{DDB8C41D-D675-4AB3-84EE-14277F6D0648}" srcOrd="0" destOrd="0" presId="urn:microsoft.com/office/officeart/2005/8/layout/hierarchy2"/>
    <dgm:cxn modelId="{63DE5E14-AB54-4AD7-8B89-F5A78BBE1089}" type="presOf" srcId="{6B6C76DC-4384-4185-A31B-927A3DFF12FA}" destId="{D4B59972-679B-42F5-9956-2C0EAD6A85EA}" srcOrd="0" destOrd="0" presId="urn:microsoft.com/office/officeart/2005/8/layout/hierarchy2"/>
    <dgm:cxn modelId="{2B3703E5-658B-4243-9BFF-216B5314E210}" type="presOf" srcId="{3D3686F2-495F-4C9A-9C6E-1130B17C06B8}" destId="{5E302375-0915-4068-8BFD-7D4BE1F84F1D}" srcOrd="0" destOrd="0" presId="urn:microsoft.com/office/officeart/2005/8/layout/hierarchy2"/>
    <dgm:cxn modelId="{B6BC48EA-F147-459C-AFBD-7687305353EE}" type="presOf" srcId="{43F5747C-48A2-45E9-9859-DACBF0EE6CE0}" destId="{FD24527E-FDC9-424E-876F-14DDBDEDC5B9}" srcOrd="1" destOrd="0" presId="urn:microsoft.com/office/officeart/2005/8/layout/hierarchy2"/>
    <dgm:cxn modelId="{63B762FD-0816-4A78-B360-4D31549071DD}" type="presOf" srcId="{43F5747C-48A2-45E9-9859-DACBF0EE6CE0}" destId="{0BC5BE17-D1B9-4FD6-9738-2BD651229A45}" srcOrd="0" destOrd="0" presId="urn:microsoft.com/office/officeart/2005/8/layout/hierarchy2"/>
    <dgm:cxn modelId="{AC20F487-4E6D-4BA0-AB56-7DD1E77EEDCD}" type="presOf" srcId="{A96B2639-61EC-45CD-8F26-8AAF06501BD3}" destId="{82B6EFA7-AD7D-4156-86A3-DE462B6220AD}" srcOrd="1" destOrd="0" presId="urn:microsoft.com/office/officeart/2005/8/layout/hierarchy2"/>
    <dgm:cxn modelId="{156D8B2B-53D2-41BE-BBB7-DBBB0EEF3C74}" type="presOf" srcId="{A96B2639-61EC-45CD-8F26-8AAF06501BD3}" destId="{7DD57F05-A336-48E1-9B43-6DB525DC8D95}" srcOrd="0" destOrd="0" presId="urn:microsoft.com/office/officeart/2005/8/layout/hierarchy2"/>
    <dgm:cxn modelId="{15231A9D-EFEA-4516-99C5-25A67CF28F2E}" type="presOf" srcId="{58F11FCB-EAFE-4196-BF90-8F0C39337139}" destId="{50DBBEF2-D48B-470B-B983-ACD24AA7B3D8}" srcOrd="1" destOrd="0" presId="urn:microsoft.com/office/officeart/2005/8/layout/hierarchy2"/>
    <dgm:cxn modelId="{03914DAA-3556-47A1-A0BD-1F1713695FDF}" srcId="{9A9D2BC2-F58F-41D2-AA32-6BEA73E4AFA2}" destId="{2B0C79E5-BD19-4D48-8353-763584277C05}" srcOrd="1" destOrd="0" parTransId="{A96B2639-61EC-45CD-8F26-8AAF06501BD3}" sibTransId="{6CFE56F5-2B61-4C64-8299-BBA7927D4C20}"/>
    <dgm:cxn modelId="{3F41A1CE-B607-490E-8731-11959FC61F39}" type="presOf" srcId="{D7F37792-32DE-46B6-99EE-5EBE2490C3F2}" destId="{09279E08-9CB9-40AA-B0B6-0D00542C394E}" srcOrd="0" destOrd="0" presId="urn:microsoft.com/office/officeart/2005/8/layout/hierarchy2"/>
    <dgm:cxn modelId="{1389A0F8-F31C-4679-9357-8622F9BD5475}" type="presOf" srcId="{AC0698E7-68CA-4B5D-8F68-A03350859160}" destId="{E17D8A06-11CF-455F-B406-2A86BBD1BE9A}" srcOrd="1" destOrd="0" presId="urn:microsoft.com/office/officeart/2005/8/layout/hierarchy2"/>
    <dgm:cxn modelId="{02CCA144-D789-449E-93ED-B2057C7F20A7}" srcId="{F282DA47-FB7B-4D04-B3CE-A5AE8967F869}" destId="{6D98C3F3-3095-4C2B-A331-674BB649FDED}" srcOrd="1" destOrd="0" parTransId="{AC0698E7-68CA-4B5D-8F68-A03350859160}" sibTransId="{8DD633A5-49D2-49E2-B1C7-04CFCC47FE72}"/>
    <dgm:cxn modelId="{B06C2C36-9459-4483-AC62-F6A0F976370D}" type="presOf" srcId="{3D3686F2-495F-4C9A-9C6E-1130B17C06B8}" destId="{32DB3412-DB36-4A97-B081-694480E4F63C}" srcOrd="1" destOrd="0" presId="urn:microsoft.com/office/officeart/2005/8/layout/hierarchy2"/>
    <dgm:cxn modelId="{BF7B5E76-A262-4C82-BBF2-0BAF990B8FC7}" srcId="{2B0C79E5-BD19-4D48-8353-763584277C05}" destId="{25C580DC-8072-4A4A-9D5E-1BC9C803D4D8}" srcOrd="1" destOrd="0" parTransId="{D7F37792-32DE-46B6-99EE-5EBE2490C3F2}" sibTransId="{2C29FD12-34E7-419B-8306-CD8841212CE8}"/>
    <dgm:cxn modelId="{3CD386C5-8774-41E2-9141-95CB09F9203F}" type="presOf" srcId="{6D98C3F3-3095-4C2B-A331-674BB649FDED}" destId="{3889D26A-D288-4EA9-94DA-FB6B3EBB2B5D}" srcOrd="0" destOrd="0" presId="urn:microsoft.com/office/officeart/2005/8/layout/hierarchy2"/>
    <dgm:cxn modelId="{39BDA376-656C-4480-90B1-DC184B87F610}" srcId="{879182BE-9A94-4176-8E7B-45BDFA7CA9E4}" destId="{9A9D2BC2-F58F-41D2-AA32-6BEA73E4AFA2}" srcOrd="0" destOrd="0" parTransId="{4672B494-DCFD-4492-BEDD-F4B490C9E470}" sibTransId="{A1EA19C0-F76A-4787-9878-BC023E128211}"/>
    <dgm:cxn modelId="{B45C1440-AFDE-4003-8A50-C9A93DD11541}" type="presOf" srcId="{9A9D2BC2-F58F-41D2-AA32-6BEA73E4AFA2}" destId="{A3014A96-4305-414A-9133-ADFC22560E45}" srcOrd="0" destOrd="0" presId="urn:microsoft.com/office/officeart/2005/8/layout/hierarchy2"/>
    <dgm:cxn modelId="{AC93537A-457D-4CF3-9388-D6916ED108BC}" type="presParOf" srcId="{124A1039-9422-44F3-938C-A339183481C7}" destId="{C4B6D55B-AE01-480F-846A-A2CF50E331F2}" srcOrd="0" destOrd="0" presId="urn:microsoft.com/office/officeart/2005/8/layout/hierarchy2"/>
    <dgm:cxn modelId="{7552EBB2-9B14-42CA-889C-F74ECC1AF53C}" type="presParOf" srcId="{C4B6D55B-AE01-480F-846A-A2CF50E331F2}" destId="{A3014A96-4305-414A-9133-ADFC22560E45}" srcOrd="0" destOrd="0" presId="urn:microsoft.com/office/officeart/2005/8/layout/hierarchy2"/>
    <dgm:cxn modelId="{64636B7D-3922-4C2D-8C4F-89F0D6CEBC73}" type="presParOf" srcId="{C4B6D55B-AE01-480F-846A-A2CF50E331F2}" destId="{DEE0C556-3873-4633-9E2C-314C2CF1D242}" srcOrd="1" destOrd="0" presId="urn:microsoft.com/office/officeart/2005/8/layout/hierarchy2"/>
    <dgm:cxn modelId="{99AC1513-B0F7-4D60-AB69-C665D38EAE68}" type="presParOf" srcId="{DEE0C556-3873-4633-9E2C-314C2CF1D242}" destId="{DA662F79-8BE1-4AE8-9CE6-3B0997E30FE2}" srcOrd="0" destOrd="0" presId="urn:microsoft.com/office/officeart/2005/8/layout/hierarchy2"/>
    <dgm:cxn modelId="{B661A222-AC81-4EA2-85DF-81DF7E7F8CA7}" type="presParOf" srcId="{DA662F79-8BE1-4AE8-9CE6-3B0997E30FE2}" destId="{50DBBEF2-D48B-470B-B983-ACD24AA7B3D8}" srcOrd="0" destOrd="0" presId="urn:microsoft.com/office/officeart/2005/8/layout/hierarchy2"/>
    <dgm:cxn modelId="{D12F24C2-0D59-4CA0-AD85-D3A063A57CE7}" type="presParOf" srcId="{DEE0C556-3873-4633-9E2C-314C2CF1D242}" destId="{8D1F0E26-1817-4C24-8CD7-40D1F1DBADCD}" srcOrd="1" destOrd="0" presId="urn:microsoft.com/office/officeart/2005/8/layout/hierarchy2"/>
    <dgm:cxn modelId="{2FCB415B-57CF-48DF-AD62-7A0C5F1CF2EB}" type="presParOf" srcId="{8D1F0E26-1817-4C24-8CD7-40D1F1DBADCD}" destId="{D4B59972-679B-42F5-9956-2C0EAD6A85EA}" srcOrd="0" destOrd="0" presId="urn:microsoft.com/office/officeart/2005/8/layout/hierarchy2"/>
    <dgm:cxn modelId="{5B6A8005-4E22-4AEA-B992-235E9732C500}" type="presParOf" srcId="{8D1F0E26-1817-4C24-8CD7-40D1F1DBADCD}" destId="{8C635DA0-C6CF-4706-B34C-ED2D02715051}" srcOrd="1" destOrd="0" presId="urn:microsoft.com/office/officeart/2005/8/layout/hierarchy2"/>
    <dgm:cxn modelId="{EEE828F5-A47B-414F-8D45-1210581E1693}" type="presParOf" srcId="{DEE0C556-3873-4633-9E2C-314C2CF1D242}" destId="{7DD57F05-A336-48E1-9B43-6DB525DC8D95}" srcOrd="2" destOrd="0" presId="urn:microsoft.com/office/officeart/2005/8/layout/hierarchy2"/>
    <dgm:cxn modelId="{4E110124-E834-4822-92F9-CB7AEC499F18}" type="presParOf" srcId="{7DD57F05-A336-48E1-9B43-6DB525DC8D95}" destId="{82B6EFA7-AD7D-4156-86A3-DE462B6220AD}" srcOrd="0" destOrd="0" presId="urn:microsoft.com/office/officeart/2005/8/layout/hierarchy2"/>
    <dgm:cxn modelId="{0F8C18EF-4761-40A0-A634-F0F3CDC4895B}" type="presParOf" srcId="{DEE0C556-3873-4633-9E2C-314C2CF1D242}" destId="{CFA5CBD1-F2F3-44C4-AFED-2C1460B186BB}" srcOrd="3" destOrd="0" presId="urn:microsoft.com/office/officeart/2005/8/layout/hierarchy2"/>
    <dgm:cxn modelId="{BF7DB721-933B-4256-B72B-72BB82EBF19D}" type="presParOf" srcId="{CFA5CBD1-F2F3-44C4-AFED-2C1460B186BB}" destId="{AD2A6E42-8357-40EE-B894-8F29B2319AAC}" srcOrd="0" destOrd="0" presId="urn:microsoft.com/office/officeart/2005/8/layout/hierarchy2"/>
    <dgm:cxn modelId="{700B81FC-0CCE-4789-B4C5-534880E5F347}" type="presParOf" srcId="{CFA5CBD1-F2F3-44C4-AFED-2C1460B186BB}" destId="{9A1057AF-32D8-4C15-8B4D-A834BCCBABD2}" srcOrd="1" destOrd="0" presId="urn:microsoft.com/office/officeart/2005/8/layout/hierarchy2"/>
    <dgm:cxn modelId="{91A301FE-3745-43E0-8992-433C8004E5A9}" type="presParOf" srcId="{9A1057AF-32D8-4C15-8B4D-A834BCCBABD2}" destId="{5E302375-0915-4068-8BFD-7D4BE1F84F1D}" srcOrd="0" destOrd="0" presId="urn:microsoft.com/office/officeart/2005/8/layout/hierarchy2"/>
    <dgm:cxn modelId="{7184A757-0C8D-4EEC-B8F4-530185B6040C}" type="presParOf" srcId="{5E302375-0915-4068-8BFD-7D4BE1F84F1D}" destId="{32DB3412-DB36-4A97-B081-694480E4F63C}" srcOrd="0" destOrd="0" presId="urn:microsoft.com/office/officeart/2005/8/layout/hierarchy2"/>
    <dgm:cxn modelId="{FFD0BEFD-E885-464F-B49B-A8C3CE295D7A}" type="presParOf" srcId="{9A1057AF-32D8-4C15-8B4D-A834BCCBABD2}" destId="{74342282-253D-4C75-A855-BA71A4128433}" srcOrd="1" destOrd="0" presId="urn:microsoft.com/office/officeart/2005/8/layout/hierarchy2"/>
    <dgm:cxn modelId="{147D21AE-D59C-48CD-8533-1EC1A8F0E363}" type="presParOf" srcId="{74342282-253D-4C75-A855-BA71A4128433}" destId="{C3F0E2BF-C28D-4007-A2D9-D773D2CC635D}" srcOrd="0" destOrd="0" presId="urn:microsoft.com/office/officeart/2005/8/layout/hierarchy2"/>
    <dgm:cxn modelId="{FF2739F5-78E8-4A5A-8466-1A2BE4721C84}" type="presParOf" srcId="{74342282-253D-4C75-A855-BA71A4128433}" destId="{C4BF3A91-2793-4B78-A0DF-32734C49C7DA}" srcOrd="1" destOrd="0" presId="urn:microsoft.com/office/officeart/2005/8/layout/hierarchy2"/>
    <dgm:cxn modelId="{DEBA4BDE-6ED9-4D38-813C-A2F3A007C20B}" type="presParOf" srcId="{C4BF3A91-2793-4B78-A0DF-32734C49C7DA}" destId="{0BC5BE17-D1B9-4FD6-9738-2BD651229A45}" srcOrd="0" destOrd="0" presId="urn:microsoft.com/office/officeart/2005/8/layout/hierarchy2"/>
    <dgm:cxn modelId="{82EA9305-423E-4D5F-9471-581AA65DA02B}" type="presParOf" srcId="{0BC5BE17-D1B9-4FD6-9738-2BD651229A45}" destId="{FD24527E-FDC9-424E-876F-14DDBDEDC5B9}" srcOrd="0" destOrd="0" presId="urn:microsoft.com/office/officeart/2005/8/layout/hierarchy2"/>
    <dgm:cxn modelId="{6A921575-6841-4416-AA69-C37C615C21C3}" type="presParOf" srcId="{C4BF3A91-2793-4B78-A0DF-32734C49C7DA}" destId="{6862822A-CD93-4496-9B64-B953D171A42B}" srcOrd="1" destOrd="0" presId="urn:microsoft.com/office/officeart/2005/8/layout/hierarchy2"/>
    <dgm:cxn modelId="{402A2DF9-9959-4AF1-A193-8F4021F36BA1}" type="presParOf" srcId="{6862822A-CD93-4496-9B64-B953D171A42B}" destId="{26645150-0DE9-4038-A4A7-3A732A96B305}" srcOrd="0" destOrd="0" presId="urn:microsoft.com/office/officeart/2005/8/layout/hierarchy2"/>
    <dgm:cxn modelId="{13E38DE4-DE73-4E84-ACEF-816EEDB8D266}" type="presParOf" srcId="{6862822A-CD93-4496-9B64-B953D171A42B}" destId="{F0FE9886-17B6-4377-99C0-FC681E071BB4}" srcOrd="1" destOrd="0" presId="urn:microsoft.com/office/officeart/2005/8/layout/hierarchy2"/>
    <dgm:cxn modelId="{98AB7B49-91FF-402D-9433-AFCB8ABADBF0}" type="presParOf" srcId="{C4BF3A91-2793-4B78-A0DF-32734C49C7DA}" destId="{E98F64CE-2527-4E67-9AF1-F4F28744C2D5}" srcOrd="2" destOrd="0" presId="urn:microsoft.com/office/officeart/2005/8/layout/hierarchy2"/>
    <dgm:cxn modelId="{A37C36B3-0952-406F-BB3C-B48203956F26}" type="presParOf" srcId="{E98F64CE-2527-4E67-9AF1-F4F28744C2D5}" destId="{E17D8A06-11CF-455F-B406-2A86BBD1BE9A}" srcOrd="0" destOrd="0" presId="urn:microsoft.com/office/officeart/2005/8/layout/hierarchy2"/>
    <dgm:cxn modelId="{EF010CB9-EDA8-4929-9377-96E1D09DD1B9}" type="presParOf" srcId="{C4BF3A91-2793-4B78-A0DF-32734C49C7DA}" destId="{9996D300-E252-4784-855B-67BBEF478954}" srcOrd="3" destOrd="0" presId="urn:microsoft.com/office/officeart/2005/8/layout/hierarchy2"/>
    <dgm:cxn modelId="{9B3B6365-B039-4051-8CD2-3DB49FDD8A1F}" type="presParOf" srcId="{9996D300-E252-4784-855B-67BBEF478954}" destId="{3889D26A-D288-4EA9-94DA-FB6B3EBB2B5D}" srcOrd="0" destOrd="0" presId="urn:microsoft.com/office/officeart/2005/8/layout/hierarchy2"/>
    <dgm:cxn modelId="{C3B2F592-7242-4B32-BF43-3CD45D13DAE8}" type="presParOf" srcId="{9996D300-E252-4784-855B-67BBEF478954}" destId="{A6AEC862-A16E-4AED-80F1-FDA7D525A93C}" srcOrd="1" destOrd="0" presId="urn:microsoft.com/office/officeart/2005/8/layout/hierarchy2"/>
    <dgm:cxn modelId="{58A345E3-95DF-40D7-8A95-2F4B6A0E6A00}" type="presParOf" srcId="{9A1057AF-32D8-4C15-8B4D-A834BCCBABD2}" destId="{09279E08-9CB9-40AA-B0B6-0D00542C394E}" srcOrd="2" destOrd="0" presId="urn:microsoft.com/office/officeart/2005/8/layout/hierarchy2"/>
    <dgm:cxn modelId="{088B58FA-52A3-4CC3-9E2D-0934E484DFF3}" type="presParOf" srcId="{09279E08-9CB9-40AA-B0B6-0D00542C394E}" destId="{5D2BD4FB-0F17-4190-8710-140865165059}" srcOrd="0" destOrd="0" presId="urn:microsoft.com/office/officeart/2005/8/layout/hierarchy2"/>
    <dgm:cxn modelId="{F5199A51-D3D6-4107-9E81-B91B34AB66C2}" type="presParOf" srcId="{9A1057AF-32D8-4C15-8B4D-A834BCCBABD2}" destId="{F02C703C-8201-49CB-AEF7-D2F9FB7E5F7B}" srcOrd="3" destOrd="0" presId="urn:microsoft.com/office/officeart/2005/8/layout/hierarchy2"/>
    <dgm:cxn modelId="{CB0D9399-64D3-4C0E-A05D-A3C70AD89F4E}" type="presParOf" srcId="{F02C703C-8201-49CB-AEF7-D2F9FB7E5F7B}" destId="{DDB8C41D-D675-4AB3-84EE-14277F6D0648}" srcOrd="0" destOrd="0" presId="urn:microsoft.com/office/officeart/2005/8/layout/hierarchy2"/>
    <dgm:cxn modelId="{18E26B35-B9FA-45D0-994E-61E3DE7FC7F6}" type="presParOf" srcId="{F02C703C-8201-49CB-AEF7-D2F9FB7E5F7B}" destId="{4F22FCEC-2EC7-448D-BA18-28EB7342495B}"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14A96-4305-414A-9133-ADFC22560E45}">
      <dsp:nvSpPr>
        <dsp:cNvPr id="0" name=""/>
        <dsp:cNvSpPr/>
      </dsp:nvSpPr>
      <dsp:spPr>
        <a:xfrm>
          <a:off x="7040" y="1623801"/>
          <a:ext cx="828980" cy="41449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First UG degree?</a:t>
          </a:r>
        </a:p>
      </dsp:txBody>
      <dsp:txXfrm>
        <a:off x="19180" y="1635941"/>
        <a:ext cx="804700" cy="390210"/>
      </dsp:txXfrm>
    </dsp:sp>
    <dsp:sp modelId="{DA662F79-8BE1-4AE8-9CE6-3B0997E30FE2}">
      <dsp:nvSpPr>
        <dsp:cNvPr id="0" name=""/>
        <dsp:cNvSpPr/>
      </dsp:nvSpPr>
      <dsp:spPr>
        <a:xfrm rot="17966658">
          <a:off x="664273" y="1525218"/>
          <a:ext cx="675610" cy="23312"/>
        </a:xfrm>
        <a:custGeom>
          <a:avLst/>
          <a:gdLst/>
          <a:ahLst/>
          <a:cxnLst/>
          <a:rect l="0" t="0" r="0" b="0"/>
          <a:pathLst>
            <a:path>
              <a:moveTo>
                <a:pt x="0" y="11656"/>
              </a:moveTo>
              <a:lnTo>
                <a:pt x="675610" y="116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985188" y="1519983"/>
        <a:ext cx="33780" cy="33780"/>
      </dsp:txXfrm>
    </dsp:sp>
    <dsp:sp modelId="{D4B59972-679B-42F5-9956-2C0EAD6A85EA}">
      <dsp:nvSpPr>
        <dsp:cNvPr id="0" name=""/>
        <dsp:cNvSpPr/>
      </dsp:nvSpPr>
      <dsp:spPr>
        <a:xfrm>
          <a:off x="1168136" y="1035456"/>
          <a:ext cx="828980" cy="41449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Studying over 25% intensity?</a:t>
          </a:r>
        </a:p>
      </dsp:txBody>
      <dsp:txXfrm>
        <a:off x="1180276" y="1047596"/>
        <a:ext cx="804700" cy="390210"/>
      </dsp:txXfrm>
    </dsp:sp>
    <dsp:sp modelId="{256DC3CA-E674-47FE-A905-3490876A402B}">
      <dsp:nvSpPr>
        <dsp:cNvPr id="0" name=""/>
        <dsp:cNvSpPr/>
      </dsp:nvSpPr>
      <dsp:spPr>
        <a:xfrm rot="19457599">
          <a:off x="1958734" y="1111879"/>
          <a:ext cx="408357" cy="23312"/>
        </a:xfrm>
        <a:custGeom>
          <a:avLst/>
          <a:gdLst/>
          <a:ahLst/>
          <a:cxnLst/>
          <a:rect l="0" t="0" r="0" b="0"/>
          <a:pathLst>
            <a:path>
              <a:moveTo>
                <a:pt x="0" y="11656"/>
              </a:moveTo>
              <a:lnTo>
                <a:pt x="408357"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152704" y="1113327"/>
        <a:ext cx="20417" cy="20417"/>
      </dsp:txXfrm>
    </dsp:sp>
    <dsp:sp modelId="{4D2DB224-B1A0-4AB0-8155-73E11838A853}">
      <dsp:nvSpPr>
        <dsp:cNvPr id="0" name=""/>
        <dsp:cNvSpPr/>
      </dsp:nvSpPr>
      <dsp:spPr>
        <a:xfrm>
          <a:off x="2328709" y="797124"/>
          <a:ext cx="828980" cy="41449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Studying at a private provider?</a:t>
          </a:r>
        </a:p>
      </dsp:txBody>
      <dsp:txXfrm>
        <a:off x="2340849" y="809264"/>
        <a:ext cx="804700" cy="390210"/>
      </dsp:txXfrm>
    </dsp:sp>
    <dsp:sp modelId="{BCABC5EE-F232-4053-BA8A-507DEC78A717}">
      <dsp:nvSpPr>
        <dsp:cNvPr id="0" name=""/>
        <dsp:cNvSpPr/>
      </dsp:nvSpPr>
      <dsp:spPr>
        <a:xfrm rot="2108563">
          <a:off x="3123283" y="1101366"/>
          <a:ext cx="377517" cy="23312"/>
        </a:xfrm>
        <a:custGeom>
          <a:avLst/>
          <a:gdLst/>
          <a:ahLst/>
          <a:cxnLst/>
          <a:rect l="0" t="0" r="0" b="0"/>
          <a:pathLst>
            <a:path>
              <a:moveTo>
                <a:pt x="0" y="11656"/>
              </a:moveTo>
              <a:lnTo>
                <a:pt x="377517"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02604" y="1103584"/>
        <a:ext cx="18875" cy="18875"/>
      </dsp:txXfrm>
    </dsp:sp>
    <dsp:sp modelId="{64568F69-92A9-41B1-B298-BC9D97334070}">
      <dsp:nvSpPr>
        <dsp:cNvPr id="0" name=""/>
        <dsp:cNvSpPr/>
      </dsp:nvSpPr>
      <dsp:spPr>
        <a:xfrm>
          <a:off x="3466394" y="1014429"/>
          <a:ext cx="828980" cy="41449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GB" sz="800" kern="1200">
            <a:solidFill>
              <a:sysClr val="windowText" lastClr="000000"/>
            </a:solidFill>
          </a:endParaRPr>
        </a:p>
        <a:p>
          <a:pPr lvl="0" algn="ctr" defTabSz="355600">
            <a:lnSpc>
              <a:spcPct val="90000"/>
            </a:lnSpc>
            <a:spcBef>
              <a:spcPct val="0"/>
            </a:spcBef>
            <a:spcAft>
              <a:spcPct val="35000"/>
            </a:spcAft>
          </a:pPr>
          <a:r>
            <a:rPr lang="en-GB" sz="800" kern="1200">
              <a:solidFill>
                <a:sysClr val="windowText" lastClr="000000"/>
              </a:solidFill>
            </a:rPr>
            <a:t>Studying a high cost subject?</a:t>
          </a:r>
        </a:p>
        <a:p>
          <a:pPr lvl="0" algn="ctr" defTabSz="355600">
            <a:lnSpc>
              <a:spcPct val="90000"/>
            </a:lnSpc>
            <a:spcBef>
              <a:spcPct val="0"/>
            </a:spcBef>
            <a:spcAft>
              <a:spcPct val="35000"/>
            </a:spcAft>
          </a:pPr>
          <a:endParaRPr lang="en-GB" sz="700" kern="1200"/>
        </a:p>
      </dsp:txBody>
      <dsp:txXfrm>
        <a:off x="3478534" y="1026569"/>
        <a:ext cx="804700" cy="390210"/>
      </dsp:txXfrm>
    </dsp:sp>
    <dsp:sp modelId="{27B4A551-98B4-47AA-9B0D-07CDCD37334E}">
      <dsp:nvSpPr>
        <dsp:cNvPr id="0" name=""/>
        <dsp:cNvSpPr/>
      </dsp:nvSpPr>
      <dsp:spPr>
        <a:xfrm rot="19292218">
          <a:off x="4245581" y="1067282"/>
          <a:ext cx="458951" cy="23312"/>
        </a:xfrm>
        <a:custGeom>
          <a:avLst/>
          <a:gdLst/>
          <a:ahLst/>
          <a:cxnLst/>
          <a:rect l="0" t="0" r="0" b="0"/>
          <a:pathLst>
            <a:path>
              <a:moveTo>
                <a:pt x="0" y="11656"/>
              </a:moveTo>
              <a:lnTo>
                <a:pt x="458951"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463583" y="1067465"/>
        <a:ext cx="22947" cy="22947"/>
      </dsp:txXfrm>
    </dsp:sp>
    <dsp:sp modelId="{5E454903-4A0E-4EBE-8BCC-52DC0B62F1EE}">
      <dsp:nvSpPr>
        <dsp:cNvPr id="0" name=""/>
        <dsp:cNvSpPr/>
      </dsp:nvSpPr>
      <dsp:spPr>
        <a:xfrm>
          <a:off x="4654738" y="728957"/>
          <a:ext cx="828980" cy="414490"/>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Fee loan </a:t>
          </a:r>
        </a:p>
        <a:p>
          <a:pPr lvl="0" algn="ctr" defTabSz="311150">
            <a:lnSpc>
              <a:spcPct val="90000"/>
            </a:lnSpc>
            <a:spcBef>
              <a:spcPct val="0"/>
            </a:spcBef>
            <a:spcAft>
              <a:spcPct val="35000"/>
            </a:spcAft>
          </a:pPr>
          <a:r>
            <a:rPr lang="en-GB" sz="700" kern="1200"/>
            <a:t>(max fee £9K)</a:t>
          </a:r>
        </a:p>
        <a:p>
          <a:pPr lvl="0" algn="ctr" defTabSz="311150">
            <a:lnSpc>
              <a:spcPct val="90000"/>
            </a:lnSpc>
            <a:spcBef>
              <a:spcPct val="0"/>
            </a:spcBef>
            <a:spcAft>
              <a:spcPct val="35000"/>
            </a:spcAft>
          </a:pPr>
          <a:r>
            <a:rPr lang="en-GB" sz="700" kern="1200"/>
            <a:t>T funding</a:t>
          </a:r>
        </a:p>
      </dsp:txBody>
      <dsp:txXfrm>
        <a:off x="4666878" y="741097"/>
        <a:ext cx="804700" cy="390210"/>
      </dsp:txXfrm>
    </dsp:sp>
    <dsp:sp modelId="{5BD33D61-6E23-4190-B197-151CDB742252}">
      <dsp:nvSpPr>
        <dsp:cNvPr id="0" name=""/>
        <dsp:cNvSpPr/>
      </dsp:nvSpPr>
      <dsp:spPr>
        <a:xfrm rot="2010235">
          <a:off x="4259572" y="1328965"/>
          <a:ext cx="430969" cy="23312"/>
        </a:xfrm>
        <a:custGeom>
          <a:avLst/>
          <a:gdLst/>
          <a:ahLst/>
          <a:cxnLst/>
          <a:rect l="0" t="0" r="0" b="0"/>
          <a:pathLst>
            <a:path>
              <a:moveTo>
                <a:pt x="0" y="11656"/>
              </a:moveTo>
              <a:lnTo>
                <a:pt x="430969"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464282" y="1329846"/>
        <a:ext cx="21548" cy="21548"/>
      </dsp:txXfrm>
    </dsp:sp>
    <dsp:sp modelId="{794215F7-5961-4B94-B54C-1DCA1C30F327}">
      <dsp:nvSpPr>
        <dsp:cNvPr id="0" name=""/>
        <dsp:cNvSpPr/>
      </dsp:nvSpPr>
      <dsp:spPr>
        <a:xfrm>
          <a:off x="4654738" y="1252322"/>
          <a:ext cx="828980" cy="414490"/>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Fee loan</a:t>
          </a:r>
        </a:p>
        <a:p>
          <a:pPr lvl="0" algn="ctr" defTabSz="311150">
            <a:lnSpc>
              <a:spcPct val="90000"/>
            </a:lnSpc>
            <a:spcBef>
              <a:spcPct val="0"/>
            </a:spcBef>
            <a:spcAft>
              <a:spcPct val="35000"/>
            </a:spcAft>
          </a:pPr>
          <a:r>
            <a:rPr lang="en-GB" sz="700" kern="1200"/>
            <a:t>(max fee £9K)</a:t>
          </a:r>
        </a:p>
      </dsp:txBody>
      <dsp:txXfrm>
        <a:off x="4666878" y="1264462"/>
        <a:ext cx="804700" cy="390210"/>
      </dsp:txXfrm>
    </dsp:sp>
    <dsp:sp modelId="{A8AD05E1-9B40-4BEB-A74D-0B693EC26750}">
      <dsp:nvSpPr>
        <dsp:cNvPr id="0" name=""/>
        <dsp:cNvSpPr/>
      </dsp:nvSpPr>
      <dsp:spPr>
        <a:xfrm rot="18914788">
          <a:off x="3094688" y="839684"/>
          <a:ext cx="434707" cy="23312"/>
        </a:xfrm>
        <a:custGeom>
          <a:avLst/>
          <a:gdLst/>
          <a:ahLst/>
          <a:cxnLst/>
          <a:rect l="0" t="0" r="0" b="0"/>
          <a:pathLst>
            <a:path>
              <a:moveTo>
                <a:pt x="0" y="11656"/>
              </a:moveTo>
              <a:lnTo>
                <a:pt x="434707"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01174" y="840472"/>
        <a:ext cx="21735" cy="21735"/>
      </dsp:txXfrm>
    </dsp:sp>
    <dsp:sp modelId="{30A31764-4A92-44DE-9ACE-0856F8236CDE}">
      <dsp:nvSpPr>
        <dsp:cNvPr id="0" name=""/>
        <dsp:cNvSpPr/>
      </dsp:nvSpPr>
      <dsp:spPr>
        <a:xfrm>
          <a:off x="3466394" y="491065"/>
          <a:ext cx="828980" cy="414490"/>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Fee loan </a:t>
          </a:r>
        </a:p>
        <a:p>
          <a:pPr lvl="0" algn="ctr" defTabSz="311150">
            <a:lnSpc>
              <a:spcPct val="90000"/>
            </a:lnSpc>
            <a:spcBef>
              <a:spcPct val="0"/>
            </a:spcBef>
            <a:spcAft>
              <a:spcPct val="35000"/>
            </a:spcAft>
          </a:pPr>
          <a:r>
            <a:rPr lang="en-GB" sz="700" kern="1200"/>
            <a:t>(max fee £6K)</a:t>
          </a:r>
        </a:p>
      </dsp:txBody>
      <dsp:txXfrm>
        <a:off x="3478534" y="503205"/>
        <a:ext cx="804700" cy="390210"/>
      </dsp:txXfrm>
    </dsp:sp>
    <dsp:sp modelId="{FEE50127-7D0E-4841-B5B6-C15B44F307E1}">
      <dsp:nvSpPr>
        <dsp:cNvPr id="0" name=""/>
        <dsp:cNvSpPr/>
      </dsp:nvSpPr>
      <dsp:spPr>
        <a:xfrm rot="2142401">
          <a:off x="1958734" y="1350211"/>
          <a:ext cx="408357" cy="23312"/>
        </a:xfrm>
        <a:custGeom>
          <a:avLst/>
          <a:gdLst/>
          <a:ahLst/>
          <a:cxnLst/>
          <a:rect l="0" t="0" r="0" b="0"/>
          <a:pathLst>
            <a:path>
              <a:moveTo>
                <a:pt x="0" y="11656"/>
              </a:moveTo>
              <a:lnTo>
                <a:pt x="408357"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152704" y="1351659"/>
        <a:ext cx="20417" cy="20417"/>
      </dsp:txXfrm>
    </dsp:sp>
    <dsp:sp modelId="{B99AA2F1-1A9B-4D68-8AB2-E1F89D560F18}">
      <dsp:nvSpPr>
        <dsp:cNvPr id="0" name=""/>
        <dsp:cNvSpPr/>
      </dsp:nvSpPr>
      <dsp:spPr>
        <a:xfrm>
          <a:off x="2328709" y="1273788"/>
          <a:ext cx="828980" cy="414490"/>
        </a:xfrm>
        <a:prstGeom prst="roundRect">
          <a:avLst>
            <a:gd name="adj" fmla="val 1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100% fee upfront </a:t>
          </a:r>
        </a:p>
        <a:p>
          <a:pPr lvl="0" algn="ctr" defTabSz="311150">
            <a:lnSpc>
              <a:spcPct val="90000"/>
            </a:lnSpc>
            <a:spcBef>
              <a:spcPct val="0"/>
            </a:spcBef>
            <a:spcAft>
              <a:spcPct val="35000"/>
            </a:spcAft>
          </a:pPr>
          <a:r>
            <a:rPr lang="en-GB" sz="700" kern="1200"/>
            <a:t>(no fee max)</a:t>
          </a:r>
        </a:p>
      </dsp:txBody>
      <dsp:txXfrm>
        <a:off x="2340849" y="1285928"/>
        <a:ext cx="804700" cy="390210"/>
      </dsp:txXfrm>
    </dsp:sp>
    <dsp:sp modelId="{5E302375-0915-4068-8BFD-7D4BE1F84F1D}">
      <dsp:nvSpPr>
        <dsp:cNvPr id="0" name=""/>
        <dsp:cNvSpPr/>
      </dsp:nvSpPr>
      <dsp:spPr>
        <a:xfrm rot="3670080">
          <a:off x="657735" y="2121048"/>
          <a:ext cx="688687" cy="23312"/>
        </a:xfrm>
        <a:custGeom>
          <a:avLst/>
          <a:gdLst/>
          <a:ahLst/>
          <a:cxnLst/>
          <a:rect l="0" t="0" r="0" b="0"/>
          <a:pathLst>
            <a:path>
              <a:moveTo>
                <a:pt x="0" y="11656"/>
              </a:moveTo>
              <a:lnTo>
                <a:pt x="688687" y="116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984861" y="2115486"/>
        <a:ext cx="34434" cy="34434"/>
      </dsp:txXfrm>
    </dsp:sp>
    <dsp:sp modelId="{C3F0E2BF-C28D-4007-A2D9-D773D2CC635D}">
      <dsp:nvSpPr>
        <dsp:cNvPr id="0" name=""/>
        <dsp:cNvSpPr/>
      </dsp:nvSpPr>
      <dsp:spPr>
        <a:xfrm>
          <a:off x="1168136" y="2227116"/>
          <a:ext cx="828980" cy="41449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Postgraduate?</a:t>
          </a:r>
        </a:p>
      </dsp:txBody>
      <dsp:txXfrm>
        <a:off x="1180276" y="2239256"/>
        <a:ext cx="804700" cy="390210"/>
      </dsp:txXfrm>
    </dsp:sp>
    <dsp:sp modelId="{BA71AA1A-9FFD-4ACA-9C8F-355042E17229}">
      <dsp:nvSpPr>
        <dsp:cNvPr id="0" name=""/>
        <dsp:cNvSpPr/>
      </dsp:nvSpPr>
      <dsp:spPr>
        <a:xfrm rot="19457599">
          <a:off x="1958734" y="2303539"/>
          <a:ext cx="408357" cy="23312"/>
        </a:xfrm>
        <a:custGeom>
          <a:avLst/>
          <a:gdLst/>
          <a:ahLst/>
          <a:cxnLst/>
          <a:rect l="0" t="0" r="0" b="0"/>
          <a:pathLst>
            <a:path>
              <a:moveTo>
                <a:pt x="0" y="11656"/>
              </a:moveTo>
              <a:lnTo>
                <a:pt x="408357"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152704" y="2304987"/>
        <a:ext cx="20417" cy="20417"/>
      </dsp:txXfrm>
    </dsp:sp>
    <dsp:sp modelId="{CAC4FC00-CB4B-43B1-B5FF-57863C186B9E}">
      <dsp:nvSpPr>
        <dsp:cNvPr id="0" name=""/>
        <dsp:cNvSpPr/>
      </dsp:nvSpPr>
      <dsp:spPr>
        <a:xfrm>
          <a:off x="2328709" y="1988784"/>
          <a:ext cx="828980" cy="414490"/>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rPr>
            <a:t>On a subsidised postgraduate course?</a:t>
          </a:r>
        </a:p>
      </dsp:txBody>
      <dsp:txXfrm>
        <a:off x="2340849" y="2000924"/>
        <a:ext cx="804700" cy="390210"/>
      </dsp:txXfrm>
    </dsp:sp>
    <dsp:sp modelId="{FE390B04-8F69-48B0-94AF-6B128B4DAB16}">
      <dsp:nvSpPr>
        <dsp:cNvPr id="0" name=""/>
        <dsp:cNvSpPr/>
      </dsp:nvSpPr>
      <dsp:spPr>
        <a:xfrm rot="19457599">
          <a:off x="3119307" y="2065207"/>
          <a:ext cx="408357" cy="23312"/>
        </a:xfrm>
        <a:custGeom>
          <a:avLst/>
          <a:gdLst/>
          <a:ahLst/>
          <a:cxnLst/>
          <a:rect l="0" t="0" r="0" b="0"/>
          <a:pathLst>
            <a:path>
              <a:moveTo>
                <a:pt x="0" y="11656"/>
              </a:moveTo>
              <a:lnTo>
                <a:pt x="408357"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13277" y="2066655"/>
        <a:ext cx="20417" cy="20417"/>
      </dsp:txXfrm>
    </dsp:sp>
    <dsp:sp modelId="{F363DA05-CDE2-4085-8BEF-3BF256187452}">
      <dsp:nvSpPr>
        <dsp:cNvPr id="0" name=""/>
        <dsp:cNvSpPr/>
      </dsp:nvSpPr>
      <dsp:spPr>
        <a:xfrm>
          <a:off x="3489282" y="1750452"/>
          <a:ext cx="828980" cy="414490"/>
        </a:xfrm>
        <a:prstGeom prst="roundRect">
          <a:avLst>
            <a:gd name="adj" fmla="val 10000"/>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Fee upfront</a:t>
          </a:r>
        </a:p>
        <a:p>
          <a:pPr lvl="0" algn="ctr" defTabSz="311150">
            <a:lnSpc>
              <a:spcPct val="90000"/>
            </a:lnSpc>
            <a:spcBef>
              <a:spcPct val="0"/>
            </a:spcBef>
            <a:spcAft>
              <a:spcPct val="35000"/>
            </a:spcAft>
          </a:pPr>
          <a:r>
            <a:rPr lang="en-GB" sz="700" kern="1200"/>
            <a:t>(no fee max)</a:t>
          </a:r>
        </a:p>
        <a:p>
          <a:pPr lvl="0" algn="ctr" defTabSz="311150">
            <a:lnSpc>
              <a:spcPct val="90000"/>
            </a:lnSpc>
            <a:spcBef>
              <a:spcPct val="0"/>
            </a:spcBef>
            <a:spcAft>
              <a:spcPct val="35000"/>
            </a:spcAft>
          </a:pPr>
          <a:r>
            <a:rPr lang="en-GB" sz="700" kern="1200"/>
            <a:t>Some T funding</a:t>
          </a:r>
        </a:p>
      </dsp:txBody>
      <dsp:txXfrm>
        <a:off x="3501422" y="1762592"/>
        <a:ext cx="804700" cy="390210"/>
      </dsp:txXfrm>
    </dsp:sp>
    <dsp:sp modelId="{B61B4799-A2EF-48D3-9443-154690E955E8}">
      <dsp:nvSpPr>
        <dsp:cNvPr id="0" name=""/>
        <dsp:cNvSpPr/>
      </dsp:nvSpPr>
      <dsp:spPr>
        <a:xfrm rot="2142401">
          <a:off x="3119307" y="2303539"/>
          <a:ext cx="408357" cy="23312"/>
        </a:xfrm>
        <a:custGeom>
          <a:avLst/>
          <a:gdLst/>
          <a:ahLst/>
          <a:cxnLst/>
          <a:rect l="0" t="0" r="0" b="0"/>
          <a:pathLst>
            <a:path>
              <a:moveTo>
                <a:pt x="0" y="11656"/>
              </a:moveTo>
              <a:lnTo>
                <a:pt x="408357"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313277" y="2304987"/>
        <a:ext cx="20417" cy="20417"/>
      </dsp:txXfrm>
    </dsp:sp>
    <dsp:sp modelId="{11B73183-D512-4B96-BE1F-0CEB762B5F6D}">
      <dsp:nvSpPr>
        <dsp:cNvPr id="0" name=""/>
        <dsp:cNvSpPr/>
      </dsp:nvSpPr>
      <dsp:spPr>
        <a:xfrm>
          <a:off x="3489282" y="2227116"/>
          <a:ext cx="828980" cy="414490"/>
        </a:xfrm>
        <a:prstGeom prst="roundRect">
          <a:avLst>
            <a:gd name="adj" fmla="val 1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100% fee upfront</a:t>
          </a:r>
        </a:p>
        <a:p>
          <a:pPr lvl="0" algn="ctr" defTabSz="311150">
            <a:lnSpc>
              <a:spcPct val="90000"/>
            </a:lnSpc>
            <a:spcBef>
              <a:spcPct val="0"/>
            </a:spcBef>
            <a:spcAft>
              <a:spcPct val="35000"/>
            </a:spcAft>
          </a:pPr>
          <a:r>
            <a:rPr lang="en-GB" sz="700" kern="1200"/>
            <a:t>(no fee max)</a:t>
          </a:r>
        </a:p>
      </dsp:txBody>
      <dsp:txXfrm>
        <a:off x="3501422" y="2239256"/>
        <a:ext cx="804700" cy="390210"/>
      </dsp:txXfrm>
    </dsp:sp>
    <dsp:sp modelId="{D0DF8ED0-545B-47A3-9D6E-D89A42B68030}">
      <dsp:nvSpPr>
        <dsp:cNvPr id="0" name=""/>
        <dsp:cNvSpPr/>
      </dsp:nvSpPr>
      <dsp:spPr>
        <a:xfrm rot="2142401">
          <a:off x="1958734" y="2541871"/>
          <a:ext cx="408357" cy="23312"/>
        </a:xfrm>
        <a:custGeom>
          <a:avLst/>
          <a:gdLst/>
          <a:ahLst/>
          <a:cxnLst/>
          <a:rect l="0" t="0" r="0" b="0"/>
          <a:pathLst>
            <a:path>
              <a:moveTo>
                <a:pt x="0" y="11656"/>
              </a:moveTo>
              <a:lnTo>
                <a:pt x="408357" y="1165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152704" y="2543319"/>
        <a:ext cx="20417" cy="20417"/>
      </dsp:txXfrm>
    </dsp:sp>
    <dsp:sp modelId="{C5F73B4C-0AC7-4038-9292-EE4E4D925B5C}">
      <dsp:nvSpPr>
        <dsp:cNvPr id="0" name=""/>
        <dsp:cNvSpPr/>
      </dsp:nvSpPr>
      <dsp:spPr>
        <a:xfrm>
          <a:off x="2328709" y="2465448"/>
          <a:ext cx="828980" cy="414490"/>
        </a:xfrm>
        <a:prstGeom prst="roundRect">
          <a:avLst>
            <a:gd name="adj" fmla="val 1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t>100% fee upfront </a:t>
          </a:r>
        </a:p>
        <a:p>
          <a:pPr lvl="0" algn="ctr" defTabSz="311150">
            <a:lnSpc>
              <a:spcPct val="90000"/>
            </a:lnSpc>
            <a:spcBef>
              <a:spcPct val="0"/>
            </a:spcBef>
            <a:spcAft>
              <a:spcPct val="35000"/>
            </a:spcAft>
          </a:pPr>
          <a:r>
            <a:rPr lang="en-GB" sz="700" kern="1200"/>
            <a:t>(no fee max)</a:t>
          </a:r>
        </a:p>
      </dsp:txBody>
      <dsp:txXfrm>
        <a:off x="2340849" y="2477588"/>
        <a:ext cx="804700" cy="3902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14A96-4305-414A-9133-ADFC22560E45}">
      <dsp:nvSpPr>
        <dsp:cNvPr id="0" name=""/>
        <dsp:cNvSpPr/>
      </dsp:nvSpPr>
      <dsp:spPr>
        <a:xfrm>
          <a:off x="0" y="276051"/>
          <a:ext cx="1157569" cy="1444988"/>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rPr>
            <a:t>On a publicly-subsised place at a publicly-subsidised university? </a:t>
          </a:r>
        </a:p>
        <a:p>
          <a:pPr lvl="0" algn="ctr" defTabSz="400050">
            <a:lnSpc>
              <a:spcPct val="90000"/>
            </a:lnSpc>
            <a:spcBef>
              <a:spcPct val="0"/>
            </a:spcBef>
            <a:spcAft>
              <a:spcPct val="35000"/>
            </a:spcAft>
          </a:pPr>
          <a:r>
            <a:rPr lang="en-GB" sz="900" kern="1200">
              <a:solidFill>
                <a:sysClr val="windowText" lastClr="000000"/>
              </a:solidFill>
            </a:rPr>
            <a:t>(most UG and  40% PG</a:t>
          </a:r>
          <a:r>
            <a:rPr lang="en-GB" sz="700" kern="1200">
              <a:solidFill>
                <a:sysClr val="windowText" lastClr="000000"/>
              </a:solidFill>
            </a:rPr>
            <a:t>)</a:t>
          </a:r>
        </a:p>
      </dsp:txBody>
      <dsp:txXfrm>
        <a:off x="33904" y="309955"/>
        <a:ext cx="1089761" cy="1377180"/>
      </dsp:txXfrm>
    </dsp:sp>
    <dsp:sp modelId="{DA662F79-8BE1-4AE8-9CE6-3B0997E30FE2}">
      <dsp:nvSpPr>
        <dsp:cNvPr id="0" name=""/>
        <dsp:cNvSpPr/>
      </dsp:nvSpPr>
      <dsp:spPr>
        <a:xfrm rot="18205379">
          <a:off x="966741" y="629108"/>
          <a:ext cx="849665" cy="29721"/>
        </a:xfrm>
        <a:custGeom>
          <a:avLst/>
          <a:gdLst/>
          <a:ahLst/>
          <a:cxnLst/>
          <a:rect l="0" t="0" r="0" b="0"/>
          <a:pathLst>
            <a:path>
              <a:moveTo>
                <a:pt x="0" y="14860"/>
              </a:moveTo>
              <a:lnTo>
                <a:pt x="849665" y="14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370332" y="622727"/>
        <a:ext cx="42483" cy="42483"/>
      </dsp:txXfrm>
    </dsp:sp>
    <dsp:sp modelId="{D4B59972-679B-42F5-9956-2C0EAD6A85EA}">
      <dsp:nvSpPr>
        <dsp:cNvPr id="0" name=""/>
        <dsp:cNvSpPr/>
      </dsp:nvSpPr>
      <dsp:spPr>
        <a:xfrm>
          <a:off x="1625578" y="0"/>
          <a:ext cx="1157569" cy="57878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HECS-HELP </a:t>
          </a:r>
        </a:p>
        <a:p>
          <a:pPr lvl="0" algn="ctr" defTabSz="355600">
            <a:lnSpc>
              <a:spcPct val="90000"/>
            </a:lnSpc>
            <a:spcBef>
              <a:spcPct val="0"/>
            </a:spcBef>
            <a:spcAft>
              <a:spcPct val="35000"/>
            </a:spcAft>
          </a:pPr>
          <a:r>
            <a:rPr lang="en-GB" sz="800" kern="1200"/>
            <a:t>(max fee £5,670)</a:t>
          </a:r>
        </a:p>
        <a:p>
          <a:pPr lvl="0" algn="ctr" defTabSz="355600">
            <a:lnSpc>
              <a:spcPct val="90000"/>
            </a:lnSpc>
            <a:spcBef>
              <a:spcPct val="0"/>
            </a:spcBef>
            <a:spcAft>
              <a:spcPct val="35000"/>
            </a:spcAft>
          </a:pPr>
          <a:r>
            <a:rPr lang="en-GB" sz="800" kern="1200"/>
            <a:t>Base funding</a:t>
          </a:r>
        </a:p>
      </dsp:txBody>
      <dsp:txXfrm>
        <a:off x="1642530" y="16952"/>
        <a:ext cx="1123665" cy="544880"/>
      </dsp:txXfrm>
    </dsp:sp>
    <dsp:sp modelId="{7DD57F05-A336-48E1-9B43-6DB525DC8D95}">
      <dsp:nvSpPr>
        <dsp:cNvPr id="0" name=""/>
        <dsp:cNvSpPr/>
      </dsp:nvSpPr>
      <dsp:spPr>
        <a:xfrm rot="3855446">
          <a:off x="852801" y="1468987"/>
          <a:ext cx="1077546" cy="29721"/>
        </a:xfrm>
        <a:custGeom>
          <a:avLst/>
          <a:gdLst/>
          <a:ahLst/>
          <a:cxnLst/>
          <a:rect l="0" t="0" r="0" b="0"/>
          <a:pathLst>
            <a:path>
              <a:moveTo>
                <a:pt x="0" y="14860"/>
              </a:moveTo>
              <a:lnTo>
                <a:pt x="1077546" y="14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364635" y="1456909"/>
        <a:ext cx="53877" cy="53877"/>
      </dsp:txXfrm>
    </dsp:sp>
    <dsp:sp modelId="{AD2A6E42-8357-40EE-B894-8F29B2319AAC}">
      <dsp:nvSpPr>
        <dsp:cNvPr id="0" name=""/>
        <dsp:cNvSpPr/>
      </dsp:nvSpPr>
      <dsp:spPr>
        <a:xfrm>
          <a:off x="1625578" y="1679758"/>
          <a:ext cx="1157569" cy="578784"/>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solidFill>
                <a:sysClr val="windowText" lastClr="000000"/>
              </a:solidFill>
            </a:rPr>
            <a:t>Under the FEE-HELP lifetime maximum?</a:t>
          </a:r>
        </a:p>
      </dsp:txBody>
      <dsp:txXfrm>
        <a:off x="1642530" y="1696710"/>
        <a:ext cx="1123665" cy="544880"/>
      </dsp:txXfrm>
    </dsp:sp>
    <dsp:sp modelId="{5E302375-0915-4068-8BFD-7D4BE1F84F1D}">
      <dsp:nvSpPr>
        <dsp:cNvPr id="0" name=""/>
        <dsp:cNvSpPr/>
      </dsp:nvSpPr>
      <dsp:spPr>
        <a:xfrm rot="19457599">
          <a:off x="2729552" y="1787889"/>
          <a:ext cx="570220" cy="29721"/>
        </a:xfrm>
        <a:custGeom>
          <a:avLst/>
          <a:gdLst/>
          <a:ahLst/>
          <a:cxnLst/>
          <a:rect l="0" t="0" r="0" b="0"/>
          <a:pathLst>
            <a:path>
              <a:moveTo>
                <a:pt x="0" y="14860"/>
              </a:moveTo>
              <a:lnTo>
                <a:pt x="570220" y="14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000406" y="1788494"/>
        <a:ext cx="28511" cy="28511"/>
      </dsp:txXfrm>
    </dsp:sp>
    <dsp:sp modelId="{C3F0E2BF-C28D-4007-A2D9-D773D2CC635D}">
      <dsp:nvSpPr>
        <dsp:cNvPr id="0" name=""/>
        <dsp:cNvSpPr/>
      </dsp:nvSpPr>
      <dsp:spPr>
        <a:xfrm>
          <a:off x="3246176" y="1346957"/>
          <a:ext cx="1157569" cy="578784"/>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a:solidFill>
                <a:sysClr val="windowText" lastClr="000000"/>
              </a:solidFill>
            </a:rPr>
            <a:t>Postgraduate? </a:t>
          </a:r>
        </a:p>
      </dsp:txBody>
      <dsp:txXfrm>
        <a:off x="3263128" y="1363909"/>
        <a:ext cx="1123665" cy="544880"/>
      </dsp:txXfrm>
    </dsp:sp>
    <dsp:sp modelId="{0BC5BE17-D1B9-4FD6-9738-2BD651229A45}">
      <dsp:nvSpPr>
        <dsp:cNvPr id="0" name=""/>
        <dsp:cNvSpPr/>
      </dsp:nvSpPr>
      <dsp:spPr>
        <a:xfrm rot="19457599">
          <a:off x="4350149" y="1455087"/>
          <a:ext cx="570220" cy="29721"/>
        </a:xfrm>
        <a:custGeom>
          <a:avLst/>
          <a:gdLst/>
          <a:ahLst/>
          <a:cxnLst/>
          <a:rect l="0" t="0" r="0" b="0"/>
          <a:pathLst>
            <a:path>
              <a:moveTo>
                <a:pt x="0" y="14860"/>
              </a:moveTo>
              <a:lnTo>
                <a:pt x="570220" y="14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621004" y="1455693"/>
        <a:ext cx="28511" cy="28511"/>
      </dsp:txXfrm>
    </dsp:sp>
    <dsp:sp modelId="{26645150-0DE9-4038-A4A7-3A732A96B305}">
      <dsp:nvSpPr>
        <dsp:cNvPr id="0" name=""/>
        <dsp:cNvSpPr/>
      </dsp:nvSpPr>
      <dsp:spPr>
        <a:xfrm>
          <a:off x="4866774" y="1014155"/>
          <a:ext cx="1157569" cy="578784"/>
        </a:xfrm>
        <a:prstGeom prst="roundRect">
          <a:avLst>
            <a:gd name="adj" fmla="val 10000"/>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PG FEE-HELP</a:t>
          </a:r>
        </a:p>
        <a:p>
          <a:pPr lvl="0" algn="ctr" defTabSz="444500">
            <a:lnSpc>
              <a:spcPct val="90000"/>
            </a:lnSpc>
            <a:spcBef>
              <a:spcPct val="0"/>
            </a:spcBef>
            <a:spcAft>
              <a:spcPct val="35000"/>
            </a:spcAft>
          </a:pPr>
          <a:r>
            <a:rPr lang="en-GB" sz="1000" kern="1200"/>
            <a:t>(no fee max)</a:t>
          </a:r>
        </a:p>
      </dsp:txBody>
      <dsp:txXfrm>
        <a:off x="4883726" y="1031107"/>
        <a:ext cx="1123665" cy="544880"/>
      </dsp:txXfrm>
    </dsp:sp>
    <dsp:sp modelId="{E98F64CE-2527-4E67-9AF1-F4F28744C2D5}">
      <dsp:nvSpPr>
        <dsp:cNvPr id="0" name=""/>
        <dsp:cNvSpPr/>
      </dsp:nvSpPr>
      <dsp:spPr>
        <a:xfrm rot="2142401">
          <a:off x="4350149" y="1787889"/>
          <a:ext cx="570220" cy="29721"/>
        </a:xfrm>
        <a:custGeom>
          <a:avLst/>
          <a:gdLst/>
          <a:ahLst/>
          <a:cxnLst/>
          <a:rect l="0" t="0" r="0" b="0"/>
          <a:pathLst>
            <a:path>
              <a:moveTo>
                <a:pt x="0" y="14860"/>
              </a:moveTo>
              <a:lnTo>
                <a:pt x="570220" y="14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621004" y="1788494"/>
        <a:ext cx="28511" cy="28511"/>
      </dsp:txXfrm>
    </dsp:sp>
    <dsp:sp modelId="{3889D26A-D288-4EA9-94DA-FB6B3EBB2B5D}">
      <dsp:nvSpPr>
        <dsp:cNvPr id="0" name=""/>
        <dsp:cNvSpPr/>
      </dsp:nvSpPr>
      <dsp:spPr>
        <a:xfrm>
          <a:off x="4866774" y="1679758"/>
          <a:ext cx="1157569" cy="578784"/>
        </a:xfrm>
        <a:prstGeom prst="roundRect">
          <a:avLst>
            <a:gd name="adj" fmla="val 10000"/>
          </a:avLst>
        </a:prstGeom>
        <a:solidFill>
          <a:srgbClr val="A5002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UG FEE-HELP</a:t>
          </a:r>
        </a:p>
        <a:p>
          <a:pPr lvl="0" algn="ctr" defTabSz="444500">
            <a:lnSpc>
              <a:spcPct val="90000"/>
            </a:lnSpc>
            <a:spcBef>
              <a:spcPct val="0"/>
            </a:spcBef>
            <a:spcAft>
              <a:spcPct val="35000"/>
            </a:spcAft>
          </a:pPr>
          <a:r>
            <a:rPr lang="en-GB" sz="1000" kern="1200"/>
            <a:t>(no  fee max)</a:t>
          </a:r>
        </a:p>
      </dsp:txBody>
      <dsp:txXfrm>
        <a:off x="4883726" y="1696710"/>
        <a:ext cx="1123665" cy="544880"/>
      </dsp:txXfrm>
    </dsp:sp>
    <dsp:sp modelId="{09279E08-9CB9-40AA-B0B6-0D00542C394E}">
      <dsp:nvSpPr>
        <dsp:cNvPr id="0" name=""/>
        <dsp:cNvSpPr/>
      </dsp:nvSpPr>
      <dsp:spPr>
        <a:xfrm rot="2142401">
          <a:off x="2729552" y="2120690"/>
          <a:ext cx="570220" cy="29721"/>
        </a:xfrm>
        <a:custGeom>
          <a:avLst/>
          <a:gdLst/>
          <a:ahLst/>
          <a:cxnLst/>
          <a:rect l="0" t="0" r="0" b="0"/>
          <a:pathLst>
            <a:path>
              <a:moveTo>
                <a:pt x="0" y="14860"/>
              </a:moveTo>
              <a:lnTo>
                <a:pt x="570220" y="14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000406" y="2121296"/>
        <a:ext cx="28511" cy="28511"/>
      </dsp:txXfrm>
    </dsp:sp>
    <dsp:sp modelId="{DDB8C41D-D675-4AB3-84EE-14277F6D0648}">
      <dsp:nvSpPr>
        <dsp:cNvPr id="0" name=""/>
        <dsp:cNvSpPr/>
      </dsp:nvSpPr>
      <dsp:spPr>
        <a:xfrm>
          <a:off x="3246176" y="2012559"/>
          <a:ext cx="1157569" cy="578784"/>
        </a:xfrm>
        <a:prstGeom prst="roundRect">
          <a:avLst>
            <a:gd name="adj" fmla="val 1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100% fee upfront</a:t>
          </a:r>
        </a:p>
        <a:p>
          <a:pPr lvl="0" algn="ctr" defTabSz="444500">
            <a:lnSpc>
              <a:spcPct val="90000"/>
            </a:lnSpc>
            <a:spcBef>
              <a:spcPct val="0"/>
            </a:spcBef>
            <a:spcAft>
              <a:spcPct val="35000"/>
            </a:spcAft>
          </a:pPr>
          <a:r>
            <a:rPr lang="en-GB" sz="1000" kern="1200"/>
            <a:t>(no fee max)</a:t>
          </a:r>
        </a:p>
      </dsp:txBody>
      <dsp:txXfrm>
        <a:off x="3263128" y="2029511"/>
        <a:ext cx="1123665" cy="5448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Tro90</b:Tag>
    <b:SourceType>JournalArticle</b:SourceType>
    <b:Guid>{6D142FCF-4CF1-467F-8DF8-7FC841035C8F}</b:Guid>
    <b:Title>From mass HE to universal access?</b:Title>
    <b:Year>1990?</b:Year>
    <b:Author>
      <b:Author>
        <b:NameList>
          <b:Person>
            <b:Last>Trow</b:Last>
          </b:Person>
        </b:NameList>
      </b:Author>
    </b:Author>
    <b:JournalName>?</b:JournalName>
    <b:Pages>?</b:Pages>
    <b:RefOrder>25</b:RefOrder>
  </b:Source>
  <b:Source>
    <b:Tag>Bar98</b:Tag>
    <b:SourceType>JournalArticle</b:SourceType>
    <b:Guid>{38B8A113-4A9E-482A-92A3-9A1622DAC631}</b:Guid>
    <b:Author>
      <b:Author>
        <b:NameList>
          <b:Person>
            <b:Last>Barr</b:Last>
            <b:First>Nicholas</b:First>
          </b:Person>
        </b:NameList>
      </b:Author>
    </b:Author>
    <b:Title>Higher Education in Australia and Britain: What Lessons?</b:Title>
    <b:JournalName>The Australian Economic Review</b:JournalName>
    <b:Year>1998</b:Year>
    <b:Pages>179-88</b:Pages>
    <b:RefOrder>3</b:RefOrder>
  </b:Source>
  <b:Source>
    <b:Tag>Bar101</b:Tag>
    <b:SourceType>Report</b:SourceType>
    <b:Guid>{DF92469D-0CB4-4CBC-956A-5975A0415E2F}</b:Guid>
    <b:Author>
      <b:Author>
        <b:NameList>
          <b:Person>
            <b:Last>Barr</b:Last>
            <b:First>Nicholas</b:First>
          </b:Person>
        </b:NameList>
      </b:Author>
    </b:Author>
    <b:Title>Paying for higher education: what policies, in what order?</b:Title>
    <b:Year>2010</b:Year>
    <b:Publisher>Independent Review of Higher Education Funding and Student Finance</b:Publisher>
    <b:City>London</b:City>
    <b:RefOrder>17</b:RefOrder>
  </b:Source>
  <b:Source>
    <b:Tag>OEC12</b:Tag>
    <b:SourceType>Report</b:SourceType>
    <b:Guid>{9A7D7AE6-8D8F-4B60-A06C-3E22D975AD68}</b:Guid>
    <b:Title>Education at a Glance</b:Title>
    <b:Year>2012</b:Year>
    <b:City>Paris</b:City>
    <b:Publisher>OECD</b:Publisher>
    <b:Author>
      <b:Author>
        <b:Corporate>OECD</b:Corporate>
      </b:Author>
    </b:Author>
    <b:RefOrder>4</b:RefOrder>
  </b:Source>
  <b:Source>
    <b:Tag>Ali13</b:Tag>
    <b:SourceType>JournalArticle</b:SourceType>
    <b:Guid>{A2FC8E1C-4C2D-4256-A4A7-997C6A8C3578}</b:Guid>
    <b:Title>Student loan reform, interest subsidies and costly technicalities: lessons from the UK experience</b:Title>
    <b:Year>2013</b:Year>
    <b:Author>
      <b:Author>
        <b:NameList>
          <b:Person>
            <b:Last>Johnston</b:Last>
            <b:First>Alison</b:First>
          </b:Person>
          <b:Person>
            <b:Last>Barr</b:Last>
            <b:First>Nicholas</b:First>
          </b:Person>
        </b:NameList>
      </b:Author>
    </b:Author>
    <b:JournalName>Journal of Higher Education Policy and Management</b:JournalName>
    <b:Pages>167-178</b:Pages>
    <b:RefOrder>5</b:RefOrder>
  </b:Source>
  <b:Source>
    <b:Tag>Wol01</b:Tag>
    <b:SourceType>Book</b:SourceType>
    <b:Guid>{B8F45883-A14E-4807-BEA2-86DF068C6DDA}</b:Guid>
    <b:Title>Does Education Matter?: myths about education and economic growth</b:Title>
    <b:Year>2001</b:Year>
    <b:Publisher>Penguin Books Ltd</b:Publisher>
    <b:City>London</b:City>
    <b:Author>
      <b:Author>
        <b:NameList>
          <b:Person>
            <b:Last>Wolf</b:Last>
            <b:First>Alison</b:First>
          </b:Person>
        </b:NameList>
      </b:Author>
    </b:Author>
    <b:RefOrder>6</b:RefOrder>
  </b:Source>
  <b:Source>
    <b:Tag>Arm111</b:Tag>
    <b:SourceType>BookSection</b:SourceType>
    <b:Guid>{7DD81760-52D2-42BC-8E98-A2FC9C1EA441}</b:Guid>
    <b:Title>Issues and Overview: the economics of higher education and its financing arrangements</b:Title>
    <b:Year>2011</b:Year>
    <b:Publisher>Australian National University</b:Publisher>
    <b:City>Canberra</b:City>
    <b:Author>
      <b:Author>
        <b:NameList>
          <b:Person>
            <b:Last>Armstrong</b:Last>
            <b:First>Shiro</b:First>
          </b:Person>
          <b:Person>
            <b:Last>Batten</b:Last>
            <b:First>Aaron</b:First>
          </b:Person>
        </b:NameList>
      </b:Author>
      <b:BookAuthor>
        <b:NameList>
          <b:Person>
            <b:Last>Armstrong</b:Last>
            <b:First>Shiro</b:First>
          </b:Person>
          <b:Person>
            <b:Last>Chapman</b:Last>
            <b:First>Bruce</b:First>
          </b:Person>
        </b:NameList>
      </b:BookAuthor>
    </b:Author>
    <b:BookTitle>Financing higher education and economic development in East Asia</b:BookTitle>
    <b:Pages>1-4</b:Pages>
    <b:RefOrder>7</b:RefOrder>
  </b:Source>
  <b:Source>
    <b:Tag>Off13</b:Tag>
    <b:SourceType>Report</b:SourceType>
    <b:Guid>{5510D261-6219-4791-A964-EEA588CD8C3C}</b:Guid>
    <b:Author>
      <b:Author>
        <b:Corporate>Office For Fair Access</b:Corporate>
      </b:Author>
    </b:Author>
    <b:Title>Check</b:Title>
    <b:Year>2013</b:Year>
    <b:Publisher>OFFA</b:Publisher>
    <b:City>Bristol</b:City>
    <b:RefOrder>26</b:RefOrder>
  </b:Source>
  <b:Source>
    <b:Tag>HEF13</b:Tag>
    <b:SourceType>Report</b:SourceType>
    <b:Guid>{ACDCDC74-4F39-4C0C-AF3A-D857ABDFDF7B}</b:Guid>
    <b:Title>Recurrent grants and student number controls for 2013-14 </b:Title>
    <b:Year>2013</b:Year>
    <b:City>Bristol</b:City>
    <b:Publisher>Higher Education Funding Council for England</b:Publisher>
    <b:Author>
      <b:Author>
        <b:Corporate>HEFCE</b:Corporate>
      </b:Author>
    </b:Author>
    <b:RefOrder>14</b:RefOrder>
  </b:Source>
  <b:Source>
    <b:Tag>Bar89</b:Tag>
    <b:SourceType>JournalArticle</b:SourceType>
    <b:Guid>{0255B2AC-CCA5-4328-904B-FAEB85EEAE61}</b:Guid>
    <b:Author>
      <b:Author>
        <b:NameList>
          <b:Person>
            <b:Last>Barr</b:Last>
            <b:First>Nicholas</b:First>
          </b:Person>
        </b:NameList>
      </b:Author>
    </b:Author>
    <b:Title>The White Paper on Student Loans</b:Title>
    <b:JournalName>Journal of Social Policy</b:JournalName>
    <b:Year>1989</b:Year>
    <b:Pages>409-417</b:Pages>
    <b:RefOrder>27</b:RefOrder>
  </b:Source>
  <b:Source>
    <b:Tag>Bar10</b:Tag>
    <b:SourceType>Report</b:SourceType>
    <b:Guid>{323549A8-5285-49B6-A886-CDE6F46D6738}</b:Guid>
    <b:Title>Interest subsidies on student loans: a better class of drain</b:Title>
    <b:Year>2010</b:Year>
    <b:Author>
      <b:Author>
        <b:NameList>
          <b:Person>
            <b:Last>Barr</b:Last>
            <b:First>Nicholas</b:First>
          </b:Person>
          <b:Person>
            <b:Last>Johnston</b:Last>
            <b:First>Alison</b:First>
          </b:Person>
        </b:NameList>
      </b:Author>
    </b:Author>
    <b:Publisher>LSE (online)</b:Publisher>
    <b:City>London</b:City>
    <b:RefOrder>28</b:RefOrder>
  </b:Source>
  <b:Source>
    <b:Tag>Hig13</b:Tag>
    <b:SourceType>Report</b:SourceType>
    <b:Guid>{A1DE1AB1-D088-41C6-AEF2-A18F26347CA0}</b:Guid>
    <b:Author>
      <b:Author>
        <b:Corporate>Higher Education Funding Council for England</b:Corporate>
      </b:Author>
    </b:Author>
    <b:Title>Teaching funding allocation - check real name</b:Title>
    <b:Year>2013</b:Year>
    <b:Publisher>HEFCE</b:Publisher>
    <b:City>Bristol</b:City>
    <b:RefOrder>29</b:RefOrder>
  </b:Source>
  <b:Source>
    <b:Tag>Fri55</b:Tag>
    <b:SourceType>Book</b:SourceType>
    <b:Guid>{C1E8C25E-D3CF-4516-B612-8A85C54B0455}</b:Guid>
    <b:Title>Capitalism and Freedom</b:Title>
    <b:Year>1955</b:Year>
    <b:Publisher>University of Chicago Press</b:Publisher>
    <b:City>Chicago</b:City>
    <b:Author>
      <b:Author>
        <b:NameList>
          <b:Person>
            <b:Last>Friedman</b:Last>
            <b:First>Milton</b:First>
          </b:Person>
        </b:NameList>
      </b:Author>
    </b:Author>
    <b:RefOrder>30</b:RefOrder>
  </b:Source>
  <b:Source>
    <b:Tag>Dyngo</b:Tag>
    <b:SourceType>JournalArticle</b:SourceType>
    <b:Guid>{14FF5ED2-DCCE-4280-B93E-A707A5C1EBCF}</b:Guid>
    <b:Title>Who defaults on student loans: findings from the national post-secondary student aid study</b:Title>
    <b:Year>1994</b:Year>
    <b:Author>
      <b:Author>
        <b:NameList>
          <b:Person>
            <b:Last>Dynarski</b:Last>
            <b:First>Susan</b:First>
          </b:Person>
        </b:NameList>
      </b:Author>
    </b:Author>
    <b:JournalName>Economics of Education Review</b:JournalName>
    <b:Pages>55-68</b:Pages>
    <b:RefOrder>20</b:RefOrder>
  </b:Source>
  <b:Source>
    <b:Tag>Bar102</b:Tag>
    <b:SourceType>Report</b:SourceType>
    <b:Guid>{7CA3A5AE-0521-419B-8A90-EDE01C020EB0}</b:Guid>
    <b:Title>Towards setting student numbers free</b:Title>
    <b:Year>2010</b:Year>
    <b:Author>
      <b:Author>
        <b:NameList>
          <b:Person>
            <b:Last>Barr</b:Last>
            <b:First>Nicholas</b:First>
          </b:Person>
          <b:Person>
            <b:Last>Shephard</b:Last>
            <b:First>Neil</b:First>
          </b:Person>
        </b:NameList>
      </b:Author>
    </b:Author>
    <b:Publisher>LSE</b:Publisher>
    <b:City>London</b:City>
    <b:RefOrder>31</b:RefOrder>
  </b:Source>
  <b:Source>
    <b:Tag>Bar05</b:Tag>
    <b:SourceType>Report</b:SourceType>
    <b:Guid>{49B7673D-4E54-43D0-8750-1D3C793562A1}</b:Guid>
    <b:Title>Financing Higher Education</b:Title>
    <b:Year>2005</b:Year>
    <b:City>Washington D.C.</b:City>
    <b:Publisher>Finance and Development, an IMF publication</b:Publisher>
    <b:Author>
      <b:Author>
        <b:NameList>
          <b:Person>
            <b:Last>Barr</b:Last>
            <b:First>Nicholas</b:First>
          </b:Person>
        </b:NameList>
      </b:Author>
    </b:Author>
    <b:RefOrder>32</b:RefOrder>
  </b:Source>
  <b:Source>
    <b:Tag>Cha11</b:Tag>
    <b:SourceType>Report</b:SourceType>
    <b:Guid>{EFB0E5AB-88E8-4B37-97E6-6903EE6F797E}</b:Guid>
    <b:Author>
      <b:Author>
        <b:NameList>
          <b:Person>
            <b:Last>Chapman</b:Last>
            <b:First>Bruce</b:First>
          </b:Person>
          <b:Person>
            <b:Last>Sinning</b:Last>
            <b:First>Mathias</b:First>
          </b:Person>
        </b:NameList>
      </b:Author>
    </b:Author>
    <b:Title>Student loan reforms for German higher education: financing tuition fees</b:Title>
    <b:Year>2011</b:Year>
    <b:Publisher>Ruhr-Universitat Bochum (RUB), </b:Publisher>
    <b:City>Bochum, Germany</b:City>
    <b:RefOrder>33</b:RefOrder>
  </b:Source>
  <b:Source>
    <b:Tag>Ins11</b:Tag>
    <b:SourceType>Report</b:SourceType>
    <b:Guid>{3C710E25-FA5D-42A3-83B8-2EB7DC154701}</b:Guid>
    <b:Author>
      <b:Author>
        <b:Corporate>Institute for Fiscal Studies</b:Corporate>
      </b:Author>
    </b:Author>
    <b:Title>The public expenditure and distributional implications of reforming student loans and grants</b:Title>
    <b:Year>2011?</b:Year>
    <b:Publisher>IFS</b:Publisher>
    <b:City>London</b:City>
    <b:RefOrder>34</b:RefOrder>
  </b:Source>
  <b:Source>
    <b:Tag>Cho12</b:Tag>
    <b:SourceType>JournalArticle</b:SourceType>
    <b:Guid>{C4AE71D7-BB2D-4A2F-881A-E8B963EAAD3E}</b:Guid>
    <b:Author>
      <b:Author>
        <b:NameList>
          <b:Person>
            <b:Last>Chowdry</b:Last>
            <b:First>Haroon</b:First>
          </b:Person>
          <b:Person>
            <b:Last>Dearden</b:Last>
            <b:First>Lorraine</b:First>
          </b:Person>
          <b:Person>
            <b:Last>Goodman</b:Last>
            <b:First>Alissa</b:First>
          </b:Person>
          <b:Person>
            <b:Last>Wenchao</b:Last>
            <b:First>Jin</b:First>
          </b:Person>
        </b:NameList>
      </b:Author>
    </b:Author>
    <b:Title>The Distributional Impact of the 2012-13 Higher Education Funding Reforms</b:Title>
    <b:Year>2012</b:Year>
    <b:JournalName>Fiscal Studies</b:JournalName>
    <b:Pages>211-236</b:Pages>
    <b:RefOrder>35</b:RefOrder>
  </b:Source>
  <b:Source>
    <b:Tag>Placeholder1</b:Tag>
    <b:SourceType>JournalArticle</b:SourceType>
    <b:Guid>{9B720271-DCA7-4377-A7C8-CF14B36D0DBC}</b:Guid>
    <b:Title>Student loan reform, interest subsidies and costly technicalities: lessons from the UK experience</b:Title>
    <b:Year>2013</b:Year>
    <b:Author>
      <b:Author>
        <b:NameList>
          <b:Person>
            <b:Last>Johnston</b:Last>
            <b:First>Alison</b:First>
          </b:Person>
          <b:Person>
            <b:Last>Barr</b:Last>
            <b:First>Nicholas</b:First>
          </b:Person>
        </b:NameList>
      </b:Author>
    </b:Author>
    <b:JournalName>Journal of Higher Education Policy and Management</b:JournalName>
    <b:Pages>168</b:Pages>
    <b:RefOrder>36</b:RefOrder>
  </b:Source>
  <b:Source>
    <b:Tag>Bar04</b:Tag>
    <b:SourceType>JournalArticle</b:SourceType>
    <b:Guid>{D95C8514-2791-4C6C-A05B-3583405135F2}</b:Guid>
    <b:Author>
      <b:Author>
        <b:NameList>
          <b:Person>
            <b:Last>Barr</b:Last>
            <b:First>Nicholas</b:First>
          </b:Person>
        </b:NameList>
      </b:Author>
    </b:Author>
    <b:Title>Higher Education Funding</b:Title>
    <b:JournalName>Oxford Review of Economic Policy</b:JournalName>
    <b:Year>2004</b:Year>
    <b:Pages>264-282</b:Pages>
    <b:RefOrder>37</b:RefOrder>
  </b:Source>
  <b:Source>
    <b:Tag>Cha091</b:Tag>
    <b:SourceType>JournalArticle</b:SourceType>
    <b:Guid>{F332AFC4-C116-4C40-883D-C17B1127745E}</b:Guid>
    <b:Author>
      <b:Author>
        <b:NameList>
          <b:Person>
            <b:Last>Chapman</b:Last>
            <b:First>Bruce</b:First>
          </b:Person>
          <b:Person>
            <b:Last>Higgins</b:Last>
            <b:First>Tim</b:First>
          </b:Person>
          <b:Person>
            <b:Last>Withers</b:Last>
            <b:First>Glenn</b:First>
          </b:Person>
        </b:NameList>
      </b:Author>
    </b:Author>
    <b:Title>Income contingent loans for mature aged training</b:Title>
    <b:JournalName>Australian Journal of Labour Economics</b:JournalName>
    <b:Year>2009</b:Year>
    <b:Pages>167-181</b:Pages>
    <b:RefOrder>38</b:RefOrder>
  </b:Source>
  <b:Source>
    <b:Tag>Cha09</b:Tag>
    <b:SourceType>JournalArticle</b:SourceType>
    <b:Guid>{7D5B6DB8-0FFD-42E0-8C4C-6829A9CB44FF}</b:Guid>
    <b:Author>
      <b:Author>
        <b:NameList>
          <b:Person>
            <b:Last>Chapman</b:Last>
            <b:First>Bruce</b:First>
          </b:Person>
          <b:Person>
            <b:Last>Hunter</b:Last>
            <b:First>Boyd</b:First>
            <b:Middle>H</b:Middle>
          </b:Person>
        </b:NameList>
      </b:Author>
    </b:Author>
    <b:Title>Exploring creative appliances of income contingent loans</b:Title>
    <b:JournalName>Australian Journal of Labour Economics</b:JournalName>
    <b:Year>2009</b:Year>
    <b:Pages>133-145</b:Pages>
    <b:RefOrder>39</b:RefOrder>
  </b:Source>
  <b:Source>
    <b:Tag>Cha</b:Tag>
    <b:SourceType>JournalArticle</b:SourceType>
    <b:Guid>{DA06D109-26E9-465C-92AA-3E6C6B784436}</b:Guid>
    <b:Author>
      <b:Author>
        <b:NameList>
          <b:Person>
            <b:Last>Chapman</b:Last>
            <b:First>Bruce</b:First>
          </b:Person>
          <b:Person>
            <b:Last>Higgins</b:Last>
            <b:First>Tim</b:First>
          </b:Person>
        </b:NameList>
      </b:Author>
    </b:Author>
    <b:Title>An income contingent loan for extending paid parental leave</b:Title>
    <b:JournalName>Australian Journal of Labour Economics</b:JournalName>
    <b:Year>2009</b:Year>
    <b:Pages>197-217</b:Pages>
    <b:RefOrder>40</b:RefOrder>
  </b:Source>
  <b:Source>
    <b:Tag>Arm11</b:Tag>
    <b:SourceType>Book</b:SourceType>
    <b:Guid>{D067763F-3B92-4FE7-9809-96D84BC94FFB}</b:Guid>
    <b:Title>Financing higher education and economic development in East Asia</b:Title>
    <b:Year>2011</b:Year>
    <b:Author>
      <b:Author>
        <b:NameList>
          <b:Person>
            <b:Last>Armstrong</b:Last>
            <b:First>Shiro</b:First>
          </b:Person>
          <b:Person>
            <b:Last>Chapman</b:Last>
            <b:First>Bruce</b:First>
          </b:Person>
        </b:NameList>
      </b:Author>
    </b:Author>
    <b:City>Canberra</b:City>
    <b:Publisher>Australia National University</b:Publisher>
    <b:RefOrder>41</b:RefOrder>
  </b:Source>
  <b:Source>
    <b:Tag>Bar09</b:Tag>
    <b:SourceType>Report</b:SourceType>
    <b:Guid>{BEFA3E7F-E19A-4A96-802C-DDC9E82FBC77}</b:Guid>
    <b:Author>
      <b:Author>
        <b:NameList>
          <b:Person>
            <b:Last>Barr</b:Last>
            <b:First>Nicholas</b:First>
          </b:Person>
          <b:Person>
            <b:Last>Berlinger</b:Last>
            <b:First>Edina</b:First>
          </b:Person>
          <b:Person>
            <b:Last>Dumcius</b:Last>
            <b:First>Rimantas</b:First>
          </b:Person>
          <b:Person>
            <b:Last>Gausas</b:Last>
            <b:First>Simonas</b:First>
          </b:Person>
          <b:Person>
            <b:Last>Gilly</b:Last>
            <b:First>Gyula</b:First>
          </b:Person>
          <b:Person>
            <b:Last>Macadie</b:Last>
            <b:First>Hugh</b:First>
          </b:Person>
          <b:Person>
            <b:Last>Nemeslaki</b:Last>
            <b:First>Andras</b:First>
          </b:Person>
          <b:Person>
            <b:Last>Papp</b:Last>
            <b:First>Erika</b:First>
          </b:Person>
          <b:Person>
            <b:Last>Repeckaite</b:Last>
            <b:First>Daiva</b:First>
          </b:Person>
        </b:NameList>
      </b:Author>
    </b:Author>
    <b:Title>Feasability study on student lending, for the European Commission</b:Title>
    <b:Year>2009</b:Year>
    <b:Publisher>LSE</b:Publisher>
    <b:City>London</b:City>
    <b:RefOrder>19</b:RefOrder>
  </b:Source>
  <b:Source>
    <b:Tag>Cha03</b:Tag>
    <b:SourceType>Report</b:SourceType>
    <b:Guid>{134E79B6-1CFF-45DA-8012-60370AD49EFD}</b:Guid>
    <b:Author>
      <b:Author>
        <b:NameList>
          <b:Person>
            <b:Last>Chapman</b:Last>
            <b:First>Bruce</b:First>
          </b:Person>
          <b:Person>
            <b:Last>Ryan</b:Last>
            <b:First>Chris</b:First>
          </b:Person>
        </b:NameList>
      </b:Author>
    </b:Author>
    <b:Title>Income-contingent financing of student charges for higher education: assessing the Australian innovation</b:Title>
    <b:Year>2002</b:Year>
    <b:Publisher>Centre for Economic Policy Research, Australian National University</b:Publisher>
    <b:City>Canberra</b:City>
    <b:RefOrder>42</b:RefOrder>
  </b:Source>
  <b:Source>
    <b:Tag>Cha111</b:Tag>
    <b:SourceType>BookSection</b:SourceType>
    <b:Guid>{0664D43D-1204-40E4-A04C-0BF2972360A1}</b:Guid>
    <b:Title>The Australian university stduent financing system: the rationale for, and experience with, income-contingent loans</b:Title>
    <b:Year>2011</b:Year>
    <b:Publisher>Australian National University</b:Publisher>
    <b:City>Canberra</b:City>
    <b:Author>
      <b:Author>
        <b:NameList>
          <b:Person>
            <b:Last>Chapman</b:Last>
            <b:First>Bruce</b:First>
          </b:Person>
        </b:NameList>
      </b:Author>
      <b:BookAuthor>
        <b:NameList>
          <b:Person>
            <b:Last>Armstrong</b:Last>
            <b:First>Shiro</b:First>
          </b:Person>
          <b:Person>
            <b:Last>Chapman</b:Last>
            <b:First>Bruce</b:First>
          </b:Person>
        </b:NameList>
      </b:BookAuthor>
    </b:Author>
    <b:BookTitle>Financing higher education and economic development in East Asia</b:BookTitle>
    <b:Pages>Chapter 5</b:Pages>
    <b:RefOrder>43</b:RefOrder>
  </b:Source>
  <b:Source>
    <b:Tag>Bar07</b:Tag>
    <b:SourceType>Book</b:SourceType>
    <b:Guid>{0B01D6C8-46EC-41F8-BA3F-D84A163B48F6}</b:Guid>
    <b:Title>Financing higher education: answers from the UK</b:Title>
    <b:Year>2007</b:Year>
    <b:City>London</b:City>
    <b:Publisher>Routledge </b:Publisher>
    <b:Author>
      <b:Author>
        <b:NameList>
          <b:Person>
            <b:Last>Barr</b:Last>
            <b:First>Nicholas</b:First>
          </b:Person>
          <b:Person>
            <b:Last>Crawford</b:Last>
            <b:First>Ian</b:First>
          </b:Person>
        </b:NameList>
      </b:Author>
    </b:Author>
    <b:RefOrder>44</b:RefOrder>
  </b:Source>
  <b:Source>
    <b:Tag>Cha06</b:Tag>
    <b:SourceType>Report</b:SourceType>
    <b:Guid>{C214028E-BD01-443A-B975-424CC67E7626}</b:Guid>
    <b:Title>Accrual accounting in New Zealand and Australia</b:Title>
    <b:Year>2006</b:Year>
    <b:City>Boston, MA</b:City>
    <b:Publisher>Harvard Law School, Federal Budget Policy Seminar</b:Publisher>
    <b:Author>
      <b:Author>
        <b:NameList>
          <b:Person>
            <b:Last>Champoux</b:Last>
            <b:First>Mark</b:First>
          </b:Person>
        </b:NameList>
      </b:Author>
    </b:Author>
    <b:RefOrder>12</b:RefOrder>
  </b:Source>
  <b:Source>
    <b:Tag>Cha04</b:Tag>
    <b:SourceType>Book</b:SourceType>
    <b:Guid>{67E60C15-6C8C-40B9-80EB-149D05D6FE56}</b:Guid>
    <b:Author>
      <b:Author>
        <b:NameList>
          <b:Person>
            <b:Last>Chapman</b:Last>
            <b:First>Bruce</b:First>
          </b:Person>
        </b:NameList>
      </b:Author>
    </b:Author>
    <b:Title>Government Managing Risk: Income Contingent Loans for Social and Economic Progress</b:Title>
    <b:Year>2004</b:Year>
    <b:City>Melbourne</b:City>
    <b:Publisher>Taylor and Francis</b:Publisher>
    <b:RefOrder>45</b:RefOrder>
  </b:Source>
  <b:Source>
    <b:Tag>San08</b:Tag>
    <b:SourceType>Report</b:SourceType>
    <b:Guid>{E96E1A74-2E2E-49BB-A795-BE883F7D1950}</b:Guid>
    <b:Author>
      <b:Author>
        <b:NameList>
          <b:Person>
            <b:Last>Santiago</b:Last>
            <b:First>Paulo</b:First>
            <b:Middle>et al</b:Middle>
          </b:Person>
        </b:NameList>
      </b:Author>
    </b:Author>
    <b:Title>Tertiary Education for the Knowledge Society, Volume 1, Special Features: funding, governance, quality</b:Title>
    <b:Year>2008</b:Year>
    <b:Publisher>OECD</b:Publisher>
    <b:City>Paris</b:City>
    <b:RefOrder>21</b:RefOrder>
  </b:Source>
  <b:Source>
    <b:Tag>UUK131</b:Tag>
    <b:SourceType>Report</b:SourceType>
    <b:Guid>{260000CE-F0BF-46EF-B4CD-CCA4CFDACA1E}</b:Guid>
    <b:Author>
      <b:Author>
        <b:NameList>
          <b:Person>
            <b:Last>UUK</b:Last>
          </b:Person>
        </b:NameList>
      </b:Author>
    </b:Author>
    <b:Title>The power of part-time; Review of part-time and mature higher education</b:Title>
    <b:Year>2013</b:Year>
    <b:Publisher>Universities UK</b:Publisher>
    <b:City>London</b:City>
    <b:RefOrder>46</b:RefOrder>
  </b:Source>
  <b:Source>
    <b:Tag>HEC13</b:Tag>
    <b:SourceType>Report</b:SourceType>
    <b:Guid>{EA6DDB73-F82F-4CE8-96C7-00E69AFE7A3B}</b:Guid>
    <b:Author>
      <b:Author>
        <b:NameList>
          <b:Person>
            <b:Last>Commission</b:Last>
            <b:First>HE</b:First>
          </b:Person>
        </b:NameList>
      </b:Author>
    </b:Author>
    <b:Title>Regulating Higher Education: Protecting Students, Encouraging Innovation, Enhancing Excellence</b:Title>
    <b:Year>2013</b:Year>
    <b:Publisher>Higher Education Comission</b:Publisher>
    <b:City>London</b:City>
    <b:RefOrder>24</b:RefOrder>
  </b:Source>
  <b:Source>
    <b:Tag>Ast10</b:Tag>
    <b:SourceType>Report</b:SourceType>
    <b:Guid>{AD045BFD-BBB3-4556-AD17-2ACC93EBDF8F}</b:Guid>
    <b:Author>
      <b:Author>
        <b:NameList>
          <b:Person>
            <b:Last>Aston</b:Last>
            <b:First>L</b:First>
          </b:Person>
          <b:Person>
            <b:Last>Shutt</b:Last>
            <b:First>L</b:First>
          </b:Person>
        </b:NameList>
      </b:Author>
    </b:Author>
    <b:Title>The impact of fees, a review of the evidence</b:Title>
    <b:Year>2010</b:Year>
    <b:Publisher>University Alliance</b:Publisher>
    <b:City>London</b:City>
    <b:RefOrder>22</b:RefOrder>
  </b:Source>
  <b:Source>
    <b:Tag>Nor13</b:Tag>
    <b:SourceType>Report</b:SourceType>
    <b:Guid>{EC7FCB85-9D43-4629-AD00-889438C5D967}</b:Guid>
    <b:Author>
      <b:Author>
        <b:NameList>
          <b:Person>
            <b:Last>Norton</b:Last>
            <b:First>Andrew</b:First>
          </b:Person>
        </b:NameList>
      </b:Author>
    </b:Author>
    <b:Title>Mapping Australian higher education</b:Title>
    <b:Year>2013</b:Year>
    <b:Publisher>The Grattan Institute</b:Publisher>
    <b:City>Melbourne</b:City>
    <b:RefOrder>15</b:RefOrder>
  </b:Source>
  <b:Source>
    <b:Tag>Tro74</b:Tag>
    <b:SourceType>JournalArticle</b:SourceType>
    <b:Guid>{FD230034-8609-477E-9CA1-8E56C49DB6C5}</b:Guid>
    <b:Title>Problems in the Transition from Elite to Mass Higher Education</b:Title>
    <b:Year>1974</b:Year>
    <b:Author>
      <b:Author>
        <b:NameList>
          <b:Person>
            <b:Last>Trow</b:Last>
            <b:First>Martin</b:First>
          </b:Person>
        </b:NameList>
      </b:Author>
    </b:Author>
    <b:JournalName>Policies for Higher Education, OECD (Paris)</b:JournalName>
    <b:Pages>51-101</b:Pages>
    <b:RefOrder>1</b:RefOrder>
  </b:Source>
  <b:Source>
    <b:Tag>Bar01</b:Tag>
    <b:SourceType>Book</b:SourceType>
    <b:Guid>{6D47CAEF-7655-41F7-8121-BE799E8AFC07}</b:Guid>
    <b:Title>The Welfare State as Piggy Bank</b:Title>
    <b:Year>2001</b:Year>
    <b:Author>
      <b:Author>
        <b:NameList>
          <b:Person>
            <b:Last>Barr</b:Last>
            <b:First>Nicholas</b:First>
          </b:Person>
        </b:NameList>
      </b:Author>
    </b:Author>
    <b:City>Oxford</b:City>
    <b:Publisher>OUP</b:Publisher>
    <b:RefOrder>18</b:RefOrder>
  </b:Source>
  <b:Source>
    <b:Tag>Whe10</b:Tag>
    <b:SourceType>Report</b:SourceType>
    <b:Guid>{97045F44-2A15-4F22-93F3-7EB8E16C6CCB}</b:Guid>
    <b:Title>A Bernsteinian analysis of the 3rd wave of higher education expansion</b:Title>
    <b:Year>2010</b:Year>
    <b:Author>
      <b:Author>
        <b:NameList>
          <b:Person>
            <b:Last>Wheelahan</b:Last>
            <b:First>Leesa</b:First>
          </b:Person>
        </b:NameList>
      </b:Author>
    </b:Author>
    <b:Publisher>6th International Basil Bernstein Symposium</b:Publisher>
    <b:City>University of Melbourne, Australia</b:City>
    <b:RefOrder>2</b:RefOrder>
  </b:Source>
  <b:Source>
    <b:Tag>Che021</b:Tag>
    <b:SourceType>Book</b:SourceType>
    <b:Guid>{5106E625-134D-43CA-AF48-38A45AF1F2C3}</b:Guid>
    <b:Author>
      <b:Author>
        <b:NameList>
          <b:Person>
            <b:Last>Chevalier</b:Last>
            <b:First>A</b:First>
          </b:Person>
          <b:Person>
            <b:Last>Conlon</b:Last>
            <b:First>G</b:First>
          </b:Person>
          <b:Person>
            <b:Last>Galindo-Ruedo</b:Last>
            <b:First>F</b:First>
          </b:Person>
          <b:Person>
            <b:Last>McNally</b:Last>
            <b:First>S</b:First>
          </b:Person>
        </b:NameList>
      </b:Author>
    </b:Author>
    <b:Title>The returns to higher education</b:Title>
    <b:Year>2002</b:Year>
    <b:City>London</b:City>
    <b:Publisher>Centre for the Economics of Education</b:Publisher>
    <b:RefOrder>8</b:RefOrder>
  </b:Source>
  <b:Source>
    <b:Tag>Bro10</b:Tag>
    <b:SourceType>Report</b:SourceType>
    <b:Guid>{7A70005A-83EC-4042-A8F7-3F2418C6FD56}</b:Guid>
    <b:Author>
      <b:Author>
        <b:NameList>
          <b:Person>
            <b:Last>Browne</b:Last>
            <b:First>J</b:First>
          </b:Person>
        </b:NameList>
      </b:Author>
    </b:Author>
    <b:Title>Securing a sustainable future for higher education: an independent review of higher education and student finance</b:Title>
    <b:Year>2010</b:Year>
    <b:Publisher>Department for Business, Innovation and Skills</b:Publisher>
    <b:City>London</b:City>
    <b:RefOrder>47</b:RefOrder>
  </b:Source>
  <b:Source>
    <b:Tag>McM09</b:Tag>
    <b:SourceType>Book</b:SourceType>
    <b:Guid>{06908B88-C0DF-4A8C-91FE-62C80FED8E50}</b:Guid>
    <b:Title>Higher learning, greater good: the private and social benefits of higher education</b:Title>
    <b:Year>2009</b:Year>
    <b:Publisher>Johns Hopkins University Press</b:Publisher>
    <b:City>Baltimore</b:City>
    <b:Author>
      <b:Author>
        <b:NameList>
          <b:Person>
            <b:Last>McMahon</b:Last>
            <b:First>W.W.</b:First>
          </b:Person>
        </b:NameList>
      </b:Author>
    </b:Author>
    <b:RefOrder>9</b:RefOrder>
  </b:Source>
  <b:Source>
    <b:Tag>Placeholder2</b:Tag>
    <b:SourceType>Book</b:SourceType>
    <b:Guid>{38CBA547-FCD7-4B2B-BE9E-7681ED24F493}</b:Guid>
    <b:Title>The welfare state as a piggy bank</b:Title>
    <b:Year>2001</b:Year>
    <b:Author>
      <b:Author>
        <b:NameList>
          <b:Person>
            <b:Last>Barr</b:Last>
            <b:First>N</b:First>
          </b:Person>
        </b:NameList>
      </b:Author>
    </b:Author>
    <b:City>Oxford</b:City>
    <b:Publisher>Oxford University Press</b:Publisher>
    <b:RefOrder>48</b:RefOrder>
  </b:Source>
  <b:Source>
    <b:Tag>Placeholder3</b:Tag>
    <b:SourceType>Book</b:SourceType>
    <b:Guid>{21980792-4BDA-4070-8D7C-4D50D56A6142}</b:Guid>
    <b:Author>
      <b:Author>
        <b:NameList>
          <b:Person>
            <b:Last>Barr</b:Last>
            <b:First>N</b:First>
          </b:Person>
        </b:NameList>
      </b:Author>
    </b:Author>
    <b:Title>The economics of the welfare state</b:Title>
    <b:Year>2004</b:Year>
    <b:City>Oxford</b:City>
    <b:Publisher>Oxford University Press</b:Publisher>
    <b:Edition>Fourth Edition</b:Edition>
    <b:RefOrder>49</b:RefOrder>
  </b:Source>
  <b:Source>
    <b:Tag>Placeholder4</b:Tag>
    <b:SourceType>JournalArticle</b:SourceType>
    <b:Guid>{3F516EA0-FF10-4FCC-82BC-7501F1208F64}</b:Guid>
    <b:Title>Financing higher education: lessons from economic theory and reform in England</b:Title>
    <b:Year>2009</b:Year>
    <b:Author>
      <b:Author>
        <b:NameList>
          <b:Person>
            <b:Last>Barr</b:Last>
            <b:First>N</b:First>
          </b:Person>
        </b:NameList>
      </b:Author>
    </b:Author>
    <b:JournalName>Higher Education in Europe</b:JournalName>
    <b:Pages>201-209</b:Pages>
    <b:Volume>34</b:Volume>
    <b:Issue>2</b:Issue>
    <b:RefOrder>50</b:RefOrder>
  </b:Source>
  <b:Source>
    <b:Tag>Placeholder5</b:Tag>
    <b:SourceType>Report</b:SourceType>
    <b:Guid>{FE46714B-3914-4935-B5D8-771CE80AC156}</b:Guid>
    <b:Title>Paying for higher education: what policies in what order?</b:Title>
    <b:Year>2010</b:Year>
    <b:Author>
      <b:Author>
        <b:NameList>
          <b:Person>
            <b:Last>Barr</b:Last>
            <b:First>N</b:First>
          </b:Person>
        </b:NameList>
      </b:Author>
    </b:Author>
    <b:Institution>London School of Economics and Social Science</b:Institution>
    <b:Publisher>LSE</b:Publisher>
    <b:City>London</b:City>
    <b:ThesisType>sumbmission to the Independent Review of Higher Education and Student Finance</b:ThesisType>
    <b:RefOrder>51</b:RefOrder>
  </b:Source>
  <b:Source>
    <b:Tag>Sch10</b:Tag>
    <b:SourceType>ConferenceProceedings</b:SourceType>
    <b:Guid>{28B7F78F-0E89-4678-8C64-92C70F35E9B3}</b:Guid>
    <b:Title>Is the sky the limit to educational improvement?</b:Title>
    <b:Year>2010</b:Year>
    <b:Author>
      <b:Author>
        <b:NameList>
          <b:Person>
            <b:Last>Schleicher</b:Last>
            <b:First>A</b:First>
          </b:Person>
        </b:NameList>
      </b:Author>
    </b:Author>
    <b:ConferenceName>UUK Annual Conference, September 2010</b:ConferenceName>
    <b:City>Cranfield</b:City>
    <b:Publisher>OECD and UUK</b:Publisher>
    <b:RefOrder>10</b:RefOrder>
  </b:Source>
  <b:Source>
    <b:Tag>Sch81</b:Tag>
    <b:SourceType>Book</b:SourceType>
    <b:Guid>{3A8A2945-0695-4EDF-B755-4DC3197A9EEB}</b:Guid>
    <b:Title>Investing in people: the economics of population quality</b:Title>
    <b:Year>1981</b:Year>
    <b:Publisher>University of California Press</b:Publisher>
    <b:City>Berkeley</b:City>
    <b:Author>
      <b:Author>
        <b:NameList>
          <b:Person>
            <b:Last>Schultz</b:Last>
            <b:First>T.W.</b:First>
          </b:Person>
        </b:NameList>
      </b:Author>
    </b:Author>
    <b:RefOrder>52</b:RefOrder>
  </b:Source>
  <b:Source>
    <b:Tag>Shu71</b:Tag>
    <b:SourceType>Book</b:SourceType>
    <b:Guid>{847CA2B9-6F5D-488D-B7EA-564732AD16C9}</b:Guid>
    <b:Author>
      <b:Author>
        <b:NameList>
          <b:Person>
            <b:Last>Schultz</b:Last>
            <b:First>T.W.</b:First>
          </b:Person>
        </b:NameList>
      </b:Author>
    </b:Author>
    <b:Title>Investment in human capital: the role of education and research</b:Title>
    <b:Year>1971</b:Year>
    <b:City>New York</b:City>
    <b:Publisher>Macmillan / The Free Press</b:Publisher>
    <b:RefOrder>53</b:RefOrder>
  </b:Source>
  <b:Source>
    <b:Tag>Bow77</b:Tag>
    <b:SourceType>Book</b:SourceType>
    <b:Guid>{0A1DC466-5997-4B86-B16F-27CD99EDD07C}</b:Guid>
    <b:Author>
      <b:Author>
        <b:NameList>
          <b:Person>
            <b:Last>Bowen</b:Last>
            <b:First>H.</b:First>
            <b:Middle>R.</b:Middle>
          </b:Person>
        </b:NameList>
      </b:Author>
    </b:Author>
    <b:Title>Investing in learning: the individual and social values of higher education</b:Title>
    <b:Year>1977</b:Year>
    <b:City>San Fancisco</b:City>
    <b:Publisher>Jossey-Bass</b:Publisher>
    <b:RefOrder>54</b:RefOrder>
  </b:Source>
  <b:Source>
    <b:Tag>Les88</b:Tag>
    <b:SourceType>Book</b:SourceType>
    <b:Guid>{B5DF18E1-EE03-4D7F-A375-98962A1C9851}</b:Guid>
    <b:Title>The economic value of higher education</b:Title>
    <b:Year>1988</b:Year>
    <b:City>New York and London</b:City>
    <b:Publisher>Collier Macmillan Publishers</b:Publisher>
    <b:Author>
      <b:Author>
        <b:NameList>
          <b:Person>
            <b:Last>Leslie</b:Last>
            <b:First>L</b:First>
          </b:Person>
          <b:Person>
            <b:Last>Brinkman</b:Last>
            <b:First>P</b:First>
          </b:Person>
        </b:NameList>
      </b:Author>
    </b:Author>
    <b:RefOrder>55</b:RefOrder>
  </b:Source>
  <b:Source>
    <b:Tag>Luc88</b:Tag>
    <b:SourceType>JournalArticle</b:SourceType>
    <b:Guid>{8F264105-9A10-44E3-B9A9-7BAD11D60966}</b:Guid>
    <b:Title>On the mechanics of econmic development</b:Title>
    <b:Year>1988</b:Year>
    <b:Author>
      <b:Author>
        <b:NameList>
          <b:Person>
            <b:Last>Lucas</b:Last>
            <b:First>R,E</b:First>
          </b:Person>
        </b:NameList>
      </b:Author>
    </b:Author>
    <b:JournalName>Journal of monetary economics</b:JournalName>
    <b:Pages>3-42</b:Pages>
    <b:Volume>22</b:Volume>
    <b:Issue>I</b:Issue>
    <b:RefOrder>56</b:RefOrder>
  </b:Source>
  <b:Source>
    <b:Tag>Rom90</b:Tag>
    <b:SourceType>JournalArticle</b:SourceType>
    <b:Guid>{A7E2E0ED-1248-4EF2-A42F-C3B44A345BCE}</b:Guid>
    <b:Author>
      <b:Author>
        <b:NameList>
          <b:Person>
            <b:Last>Romer</b:Last>
            <b:First>P</b:First>
          </b:Person>
        </b:NameList>
      </b:Author>
    </b:Author>
    <b:Title>Endogenous technical change</b:Title>
    <b:JournalName>Journal of Political Economy</b:JournalName>
    <b:Year>1990</b:Year>
    <b:Pages>71-98</b:Pages>
    <b:Volume>98</b:Volume>
    <b:Issue>5</b:Issue>
    <b:RefOrder>57</b:RefOrder>
  </b:Source>
  <b:Source>
    <b:Tag>Rom02</b:Tag>
    <b:SourceType>BookSection</b:SourceType>
    <b:Guid>{EA72E2C8-BE54-4B12-B28A-5B3C33A56C20}</b:Guid>
    <b:Title>Redistributional conseuences of educational reform</b:Title>
    <b:Year>2002</b:Year>
    <b:Author>
      <b:Author>
        <b:NameList>
          <b:Person>
            <b:Last>Romer</b:Last>
            <b:First>P</b:First>
          </b:Person>
        </b:NameList>
      </b:Author>
      <b:BookAuthor>
        <b:NameList>
          <b:Person>
            <b:Last>Lazear</b:Last>
            <b:First>E</b:First>
            <b:Middle>(Ed)</b:Middle>
          </b:Person>
        </b:NameList>
      </b:BookAuthor>
    </b:Author>
    <b:BookTitle>Education in the twenty first century</b:BookTitle>
    <b:City>Stanford</b:City>
    <b:Publisher>Hoover Institution Press</b:Publisher>
    <b:RefOrder>58</b:RefOrder>
  </b:Source>
  <b:Source>
    <b:Tag>Bre08</b:Tag>
    <b:SourceType>JournalArticle</b:SourceType>
    <b:Guid>{66181FCB-FC84-4B78-A95F-A3E0E6337822}</b:Guid>
    <b:Title>Schooling and national income: how large are the externalities</b:Title>
    <b:Year>2008</b:Year>
    <b:Pages>1-26</b:Pages>
    <b:Author>
      <b:Author>
        <b:NameList>
          <b:Person>
            <b:Last>Breton</b:Last>
            <b:First>T,</b:First>
            <b:Middle>R</b:Middle>
          </b:Person>
        </b:NameList>
      </b:Author>
    </b:Author>
    <b:JournalName>Education Economics</b:JournalName>
    <b:RefOrder>59</b:RefOrder>
  </b:Source>
  <b:Source>
    <b:Tag>Hav84</b:Tag>
    <b:SourceType>JournalArticle</b:SourceType>
    <b:Guid>{BCB1523A-907F-42E1-B3AA-709103234B6D}</b:Guid>
    <b:Author>
      <b:Author>
        <b:NameList>
          <b:Person>
            <b:Last>Haveman</b:Last>
            <b:First>R</b:First>
          </b:Person>
          <b:Person>
            <b:Last>Wolfe</b:Last>
            <b:First>B</b:First>
          </b:Person>
        </b:NameList>
      </b:Author>
    </b:Author>
    <b:Title>Schooling and economic well being: the role of non-market effects</b:Title>
    <b:JournalName>Journal of Human Resources</b:JournalName>
    <b:Year>1984</b:Year>
    <b:Pages>377-407</b:Pages>
    <b:Volume>19</b:Volume>
    <b:Issue>3</b:Issue>
    <b:RefOrder>60</b:RefOrder>
  </b:Source>
  <b:Source>
    <b:Tag>Hav07</b:Tag>
    <b:SourceType>Book</b:SourceType>
    <b:Guid>{F9CB0259-62CB-46AF-A982-400EBDEB8AA3}</b:Guid>
    <b:Author>
      <b:Author>
        <b:NameList>
          <b:Person>
            <b:Last>Haveman</b:Last>
            <b:First>R</b:First>
          </b:Person>
          <b:Person>
            <b:Last>Wolfe</b:Last>
            <b:First>B</b:First>
          </b:Person>
        </b:NameList>
      </b:Author>
    </b:Author>
    <b:Title>Valuing the non-market and social benefits of higher education</b:Title>
    <b:Year>2007</b:Year>
    <b:City>London</b:City>
    <b:Publisher>Wider Benefits of Learning Centre, Institute of Education, University of London</b:Publisher>
    <b:RefOrder>61</b:RefOrder>
  </b:Source>
  <b:Source>
    <b:Tag>BIS131</b:Tag>
    <b:SourceType>Report</b:SourceType>
    <b:Guid>{C00EE1FA-3D37-47A0-A98F-AB8C2505740B}</b:Guid>
    <b:Author>
      <b:Author>
        <b:NameList>
          <b:Person>
            <b:Last>BIS</b:Last>
          </b:Person>
        </b:NameList>
      </b:Author>
    </b:Author>
    <b:Title>Privately funded providers of higher education in the UK, BIS Research Paper Number 111</b:Title>
    <b:Year>2013</b:Year>
    <b:Publisher>Department for Business Innovation and Skills</b:Publisher>
    <b:City>London</b:City>
    <b:RefOrder>62</b:RefOrder>
  </b:Source>
  <b:Source>
    <b:Tag>Hac13</b:Tag>
    <b:SourceType>Report</b:SourceType>
    <b:Guid>{09F15FD7-ACA0-4DD4-9C54-9F368834A659}</b:Guid>
    <b:Author>
      <b:Author>
        <b:NameList>
          <b:Person>
            <b:Last>Hackett</b:Last>
            <b:First>L</b:First>
          </b:Person>
          <b:Person>
            <b:Last>Shutt</b:Last>
            <b:First>L</b:First>
          </b:Person>
          <b:Person>
            <b:Last>Maclachlan</b:Last>
            <b:First>N</b:First>
          </b:Person>
        </b:NameList>
      </b:Author>
    </b:Author>
    <b:Title>The way we'll work: labour market trends and preparing for the hourglass</b:Title>
    <b:Year>2013</b:Year>
    <b:Publisher>University Alliance</b:Publisher>
    <b:City>London</b:City>
    <b:RefOrder>16</b:RefOrder>
  </b:Source>
  <b:Source>
    <b:Tag>BIS12</b:Tag>
    <b:SourceType>Report</b:SourceType>
    <b:Guid>{2B37EEEA-56AA-4FDF-89E1-F7E323257EB8}</b:Guid>
    <b:Author>
      <b:Author>
        <b:NameList>
          <b:Person>
            <b:Last>BIS</b:Last>
          </b:Person>
        </b:NameList>
      </b:Author>
    </b:Author>
    <b:Title>BIS performance indicators: funding per student in higher education</b:Title>
    <b:Year>2012</b:Year>
    <b:Publisher>Department for Business, Innovation and Skills</b:Publisher>
    <b:City>London</b:City>
    <b:RefOrder>63</b:RefOrder>
  </b:Source>
  <b:Source>
    <b:Tag>OFF13</b:Tag>
    <b:SourceType>Report</b:SourceType>
    <b:Guid>{896E0524-3CA3-441A-8498-B2D4CAEBBA46}</b:Guid>
    <b:Author>
      <b:Author>
        <b:NameList>
          <b:Person>
            <b:Last>OFFA</b:Last>
          </b:Person>
        </b:NameList>
      </b:Author>
    </b:Author>
    <b:Title>2014-15 access agreements: institutional expenditure and fee levels</b:Title>
    <b:Year>2013</b:Year>
    <b:Publisher>Office for Fair Access</b:Publisher>
    <b:City>Bristol</b:City>
    <b:RefOrder>13</b:RefOrder>
  </b:Source>
  <b:Source>
    <b:Tag>UUK132</b:Tag>
    <b:SourceType>Report</b:SourceType>
    <b:Guid>{76D40936-CF0B-45C9-841E-6F1EB07EFD6A}</b:Guid>
    <b:Author>
      <b:Author>
        <b:NameList>
          <b:Person>
            <b:Last>UUK</b:Last>
          </b:Person>
        </b:NameList>
      </b:Author>
    </b:Author>
    <b:Title>The funding challenges for universities</b:Title>
    <b:Year>2013</b:Year>
    <b:Publisher>Universities UK</b:Publisher>
    <b:City>London</b:City>
    <b:Pages>Figure 2.4</b:Pages>
    <b:RefOrder>64</b:RefOrder>
  </b:Source>
  <b:Source>
    <b:Tag>UUK13</b:Tag>
    <b:SourceType>Report</b:SourceType>
    <b:Guid>{A389C9BE-0776-4710-A50F-A77F943AEF2C}</b:Guid>
    <b:Author>
      <b:Author>
        <b:NameList>
          <b:Person>
            <b:Last>UUK</b:Last>
          </b:Person>
        </b:NameList>
      </b:Author>
    </b:Author>
    <b:Title>Patterns and trends in UK higher education</b:Title>
    <b:Year>2013a</b:Year>
    <b:Publisher>Universities UK</b:Publisher>
    <b:City>London</b:City>
    <b:RefOrder>23</b:RefOrder>
  </b:Source>
  <b:Source>
    <b:Tag>BIS13</b:Tag>
    <b:SourceType>Report</b:SourceType>
    <b:Guid>{8FEF2D02-6FBE-45D5-B295-A9E0DDE3679C}</b:Guid>
    <b:Author>
      <b:Author>
        <b:NameList>
          <b:Person>
            <b:Last>BIS</b:Last>
          </b:Person>
        </b:NameList>
      </b:Author>
    </b:Author>
    <b:Title>Participation rates in higher education, Statistical First Release</b:Title>
    <b:Year>2013a</b:Year>
    <b:Publisher>Department for Business, Innovation and Skills</b:Publisher>
    <b:City>London</b:City>
    <b:RefOrder>65</b:RefOrder>
  </b:Source>
  <b:Source>
    <b:Tag>IFS10</b:Tag>
    <b:SourceType>Report</b:SourceType>
    <b:Guid>{19FF9A47-2BAC-457C-BDF7-9D99DF53FA1F}</b:Guid>
    <b:Title>Submission to the Independent Review of HE Funding and Student Finance</b:Title>
    <b:Year>2010</b:Year>
    <b:City>London</b:City>
    <b:Publisher>IFS</b:Publisher>
    <b:Author>
      <b:Author>
        <b:NameList>
          <b:Person>
            <b:Last>IFS</b:Last>
          </b:Person>
        </b:NameList>
      </b:Author>
    </b:Author>
    <b:RefOrder>11</b:RefOrder>
  </b:Source>
  <b:Source>
    <b:Tag>Placeholder6</b:Tag>
    <b:SourceType>Report</b:SourceType>
    <b:Guid>{B5E0FC38-3697-432B-9031-A0EFF7E351C5}</b:Guid>
    <b:Title>Submission to the Independent Review of HE Funding and Student Finance</b:Title>
    <b:Year>January 2010</b:Year>
    <b:City>London</b:City>
    <b:Publisher>IFS</b:Publisher>
    <b:Author>
      <b:Author>
        <b:NameList>
          <b:Person>
            <b:Last>IFS</b:Last>
          </b:Person>
        </b:NameList>
      </b:Author>
    </b:Author>
    <b:RefOrder>66</b:RefOrder>
  </b:Source>
</b:Sources>
</file>

<file path=customXml/itemProps1.xml><?xml version="1.0" encoding="utf-8"?>
<ds:datastoreItem xmlns:ds="http://schemas.openxmlformats.org/officeDocument/2006/customXml" ds:itemID="{B1EAAA91-B306-A342-9528-1BA958D4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20458</Words>
  <Characters>102703</Characters>
  <Application>Microsoft Macintosh Word</Application>
  <DocSecurity>4</DocSecurity>
  <Lines>2095</Lines>
  <Paragraphs>524</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122637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p0075722</dc:creator>
  <cp:lastModifiedBy>Nick Hillman</cp:lastModifiedBy>
  <cp:revision>2</cp:revision>
  <dcterms:created xsi:type="dcterms:W3CDTF">2014-04-23T20:06:00Z</dcterms:created>
  <dcterms:modified xsi:type="dcterms:W3CDTF">2014-04-23T20:06:00Z</dcterms:modified>
</cp:coreProperties>
</file>