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3424D" w14:textId="77777777" w:rsidR="00F73045" w:rsidRDefault="00F73045" w:rsidP="00F818C5">
      <w:pPr>
        <w:jc w:val="center"/>
        <w:rPr>
          <w:rFonts w:ascii="Verdana" w:hAnsi="Verdana"/>
          <w:b/>
          <w:u w:val="single"/>
        </w:rPr>
      </w:pPr>
    </w:p>
    <w:p w14:paraId="3DDBD5E7" w14:textId="53E1AC13" w:rsidR="004A2607" w:rsidRPr="00CF5C43" w:rsidRDefault="00B95179" w:rsidP="00F818C5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Instructions</w:t>
      </w:r>
      <w:r w:rsidR="004A2607" w:rsidRPr="00CF5C43">
        <w:rPr>
          <w:rFonts w:ascii="Verdana" w:hAnsi="Verdana"/>
          <w:b/>
          <w:u w:val="single"/>
        </w:rPr>
        <w:t xml:space="preserve"> </w:t>
      </w:r>
      <w:r w:rsidR="002A2F1A">
        <w:rPr>
          <w:rFonts w:ascii="Verdana" w:hAnsi="Verdana"/>
          <w:b/>
          <w:u w:val="single"/>
        </w:rPr>
        <w:t>f</w:t>
      </w:r>
      <w:r w:rsidR="004A2607" w:rsidRPr="00CF5C43">
        <w:rPr>
          <w:rFonts w:ascii="Verdana" w:hAnsi="Verdana"/>
          <w:b/>
          <w:u w:val="single"/>
        </w:rPr>
        <w:t>o</w:t>
      </w:r>
      <w:r w:rsidR="002A2F1A">
        <w:rPr>
          <w:rFonts w:ascii="Verdana" w:hAnsi="Verdana"/>
          <w:b/>
          <w:u w:val="single"/>
        </w:rPr>
        <w:t>r HEPI</w:t>
      </w:r>
      <w:r w:rsidR="004A2607" w:rsidRPr="00CF5C43">
        <w:rPr>
          <w:rFonts w:ascii="Verdana" w:hAnsi="Verdana"/>
          <w:b/>
          <w:u w:val="single"/>
        </w:rPr>
        <w:t xml:space="preserve"> </w:t>
      </w:r>
      <w:r w:rsidR="002A2F1A">
        <w:rPr>
          <w:rFonts w:ascii="Verdana" w:hAnsi="Verdana"/>
          <w:b/>
          <w:u w:val="single"/>
        </w:rPr>
        <w:t>A</w:t>
      </w:r>
      <w:r w:rsidR="004A2607" w:rsidRPr="00CF5C43">
        <w:rPr>
          <w:rFonts w:ascii="Verdana" w:hAnsi="Verdana"/>
          <w:b/>
          <w:u w:val="single"/>
        </w:rPr>
        <w:t>uthors</w:t>
      </w:r>
    </w:p>
    <w:p w14:paraId="40A64CBC" w14:textId="78F1B72E" w:rsidR="00ED08CC" w:rsidRPr="00CF5C43" w:rsidRDefault="004C045C" w:rsidP="00A0304D">
      <w:pPr>
        <w:jc w:val="center"/>
        <w:rPr>
          <w:rFonts w:ascii="Verdana" w:hAnsi="Verdana"/>
        </w:rPr>
      </w:pPr>
      <w:r>
        <w:rPr>
          <w:rFonts w:ascii="Verdana" w:hAnsi="Verdana"/>
        </w:rPr>
        <w:t>U</w:t>
      </w:r>
      <w:r w:rsidR="00ED08CC" w:rsidRPr="00CF5C43">
        <w:rPr>
          <w:rFonts w:ascii="Verdana" w:hAnsi="Verdana"/>
        </w:rPr>
        <w:t xml:space="preserve">pdated </w:t>
      </w:r>
      <w:r w:rsidR="00142966">
        <w:rPr>
          <w:rFonts w:ascii="Verdana" w:hAnsi="Verdana"/>
        </w:rPr>
        <w:t>February</w:t>
      </w:r>
      <w:r w:rsidR="00CF5C43" w:rsidRPr="00CF5C43">
        <w:rPr>
          <w:rFonts w:ascii="Verdana" w:hAnsi="Verdana"/>
        </w:rPr>
        <w:t xml:space="preserve"> </w:t>
      </w:r>
      <w:r w:rsidR="00220ECC" w:rsidRPr="00CF5C43">
        <w:rPr>
          <w:rFonts w:ascii="Verdana" w:hAnsi="Verdana"/>
        </w:rPr>
        <w:t>20</w:t>
      </w:r>
      <w:r w:rsidR="00D6113B" w:rsidRPr="00CF5C43">
        <w:rPr>
          <w:rFonts w:ascii="Verdana" w:hAnsi="Verdana"/>
        </w:rPr>
        <w:t>2</w:t>
      </w:r>
      <w:r w:rsidR="00142966">
        <w:rPr>
          <w:rFonts w:ascii="Verdana" w:hAnsi="Verdana"/>
        </w:rPr>
        <w:t>4</w:t>
      </w:r>
    </w:p>
    <w:p w14:paraId="35A9DC5B" w14:textId="77777777" w:rsidR="004A2607" w:rsidRPr="00CF5C43" w:rsidRDefault="004A2607" w:rsidP="004A2607">
      <w:pPr>
        <w:jc w:val="both"/>
        <w:rPr>
          <w:rFonts w:ascii="Verdana" w:hAnsi="Verdana"/>
        </w:rPr>
      </w:pPr>
    </w:p>
    <w:p w14:paraId="54083E1E" w14:textId="3506E1BD" w:rsidR="00213E82" w:rsidRPr="00CF5C43" w:rsidRDefault="004A2607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If you are interested in writing for HEPI, </w:t>
      </w:r>
      <w:r w:rsidR="00213E82" w:rsidRPr="00CF5C43">
        <w:rPr>
          <w:rFonts w:ascii="Verdana" w:hAnsi="Verdana"/>
          <w:b/>
        </w:rPr>
        <w:t xml:space="preserve">you </w:t>
      </w:r>
      <w:r w:rsidR="00213E82" w:rsidRPr="00B95179">
        <w:rPr>
          <w:rFonts w:ascii="Verdana" w:hAnsi="Verdana"/>
          <w:b/>
          <w:u w:val="single"/>
        </w:rPr>
        <w:t>must</w:t>
      </w:r>
      <w:r w:rsidRPr="00CF5C43">
        <w:rPr>
          <w:rFonts w:ascii="Verdana" w:hAnsi="Verdana"/>
          <w:b/>
        </w:rPr>
        <w:t xml:space="preserve"> stick to the following style guidelines</w:t>
      </w:r>
      <w:r w:rsidRPr="00CF5C43">
        <w:rPr>
          <w:rFonts w:ascii="Verdana" w:hAnsi="Verdana"/>
        </w:rPr>
        <w:t>, which are designed to ensure consistency and clarity.</w:t>
      </w:r>
      <w:r w:rsidR="00F449B2" w:rsidRPr="00CF5C43">
        <w:rPr>
          <w:rFonts w:ascii="Verdana" w:hAnsi="Verdana"/>
        </w:rPr>
        <w:t xml:space="preserve"> Areas where our authors commonly </w:t>
      </w:r>
      <w:proofErr w:type="gramStart"/>
      <w:r w:rsidR="00F449B2" w:rsidRPr="00CF5C43">
        <w:rPr>
          <w:rFonts w:ascii="Verdana" w:hAnsi="Verdana"/>
        </w:rPr>
        <w:t>fall down</w:t>
      </w:r>
      <w:proofErr w:type="gramEnd"/>
      <w:r w:rsidR="00F449B2" w:rsidRPr="00CF5C43">
        <w:rPr>
          <w:rFonts w:ascii="Verdana" w:hAnsi="Verdana"/>
        </w:rPr>
        <w:t xml:space="preserve"> are highlighted in yellow, so </w:t>
      </w:r>
      <w:r w:rsidR="00B95179">
        <w:rPr>
          <w:rFonts w:ascii="Verdana" w:hAnsi="Verdana"/>
        </w:rPr>
        <w:t xml:space="preserve">these </w:t>
      </w:r>
      <w:r w:rsidR="00F449B2" w:rsidRPr="00CF5C43">
        <w:rPr>
          <w:rFonts w:ascii="Verdana" w:hAnsi="Verdana"/>
        </w:rPr>
        <w:t>need particularly careful consideration.</w:t>
      </w:r>
    </w:p>
    <w:p w14:paraId="5876AB4B" w14:textId="77777777" w:rsidR="00213E82" w:rsidRPr="00CF5C43" w:rsidRDefault="00213E82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</w:p>
    <w:p w14:paraId="0ABD8F39" w14:textId="23D2D3A8" w:rsidR="001C2C59" w:rsidRPr="00CF5C43" w:rsidRDefault="00213E82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Sticking to these rules makes the design, </w:t>
      </w:r>
      <w:proofErr w:type="gramStart"/>
      <w:r w:rsidRPr="00CF5C43">
        <w:rPr>
          <w:rFonts w:ascii="Verdana" w:hAnsi="Verdana"/>
        </w:rPr>
        <w:t>printing</w:t>
      </w:r>
      <w:proofErr w:type="gramEnd"/>
      <w:r w:rsidRPr="00CF5C43">
        <w:rPr>
          <w:rFonts w:ascii="Verdana" w:hAnsi="Verdana"/>
        </w:rPr>
        <w:t xml:space="preserve"> and production processes simpler and quicker</w:t>
      </w:r>
      <w:r w:rsidR="008A6CBE" w:rsidRPr="00CF5C43">
        <w:rPr>
          <w:rFonts w:ascii="Verdana" w:hAnsi="Verdana"/>
        </w:rPr>
        <w:t xml:space="preserve">, which is to </w:t>
      </w:r>
      <w:r w:rsidRPr="00CF5C43">
        <w:rPr>
          <w:rFonts w:ascii="Verdana" w:hAnsi="Verdana"/>
        </w:rPr>
        <w:t>the benefit of authors.</w:t>
      </w:r>
      <w:r w:rsidR="008349BB">
        <w:rPr>
          <w:rFonts w:ascii="Verdana" w:hAnsi="Verdana"/>
        </w:rPr>
        <w:t xml:space="preserve"> It is much harder to make changes at a later stage than </w:t>
      </w:r>
      <w:r w:rsidR="00B95179">
        <w:rPr>
          <w:rFonts w:ascii="Verdana" w:hAnsi="Verdana"/>
        </w:rPr>
        <w:t>at the start</w:t>
      </w:r>
      <w:r w:rsidR="008349BB">
        <w:rPr>
          <w:rFonts w:ascii="Verdana" w:hAnsi="Verdana"/>
        </w:rPr>
        <w:t>. Moreover, o</w:t>
      </w:r>
      <w:r w:rsidR="00D6113B" w:rsidRPr="00CF5C43">
        <w:rPr>
          <w:rFonts w:ascii="Verdana" w:hAnsi="Verdana"/>
        </w:rPr>
        <w:t>ur formatting rules on issues like font size are designed to make the process of commenting on drafts easier</w:t>
      </w:r>
      <w:r w:rsidR="00B95179">
        <w:rPr>
          <w:rFonts w:ascii="Verdana" w:hAnsi="Verdana"/>
        </w:rPr>
        <w:t xml:space="preserve">, </w:t>
      </w:r>
      <w:r w:rsidR="00B95179">
        <w:rPr>
          <w:rFonts w:ascii="Verdana" w:hAnsi="Verdana"/>
          <w:highlight w:val="yellow"/>
        </w:rPr>
        <w:t>so</w:t>
      </w:r>
      <w:r w:rsidR="00D6113B" w:rsidRPr="00CF5C43">
        <w:rPr>
          <w:rFonts w:ascii="Verdana" w:hAnsi="Verdana"/>
          <w:highlight w:val="yellow"/>
        </w:rPr>
        <w:t xml:space="preserve"> the rules must be applied during the writing process rather than </w:t>
      </w:r>
      <w:r w:rsidR="00B95179">
        <w:rPr>
          <w:rFonts w:ascii="Verdana" w:hAnsi="Verdana"/>
          <w:highlight w:val="yellow"/>
        </w:rPr>
        <w:t xml:space="preserve">only </w:t>
      </w:r>
      <w:r w:rsidR="00D6113B" w:rsidRPr="00CF5C43">
        <w:rPr>
          <w:rFonts w:ascii="Verdana" w:hAnsi="Verdana"/>
          <w:highlight w:val="yellow"/>
        </w:rPr>
        <w:t>at the end</w:t>
      </w:r>
      <w:r w:rsidR="00D6113B" w:rsidRPr="004914C6">
        <w:rPr>
          <w:rFonts w:ascii="Verdana" w:hAnsi="Verdana"/>
        </w:rPr>
        <w:t>.</w:t>
      </w:r>
    </w:p>
    <w:p w14:paraId="2C421FEB" w14:textId="77777777" w:rsidR="001C2C59" w:rsidRPr="00CF5C43" w:rsidRDefault="001C2C59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</w:p>
    <w:p w14:paraId="680F341F" w14:textId="77777777" w:rsidR="00F449B2" w:rsidRPr="00CF5C43" w:rsidRDefault="001C2C59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  <w:r w:rsidRPr="00CF5C43">
        <w:rPr>
          <w:rFonts w:ascii="Verdana" w:hAnsi="Verdana"/>
        </w:rPr>
        <w:t>Consistency across HEPI’s output also helps to increase our impact, which again benefits our authors</w:t>
      </w:r>
      <w:r w:rsidR="00D6113B" w:rsidRPr="00CF5C43">
        <w:rPr>
          <w:rFonts w:ascii="Verdana" w:hAnsi="Verdana"/>
        </w:rPr>
        <w:t xml:space="preserve"> as well as HEPI</w:t>
      </w:r>
      <w:r w:rsidRPr="00CF5C43">
        <w:rPr>
          <w:rFonts w:ascii="Verdana" w:hAnsi="Verdana"/>
        </w:rPr>
        <w:t>.</w:t>
      </w:r>
    </w:p>
    <w:p w14:paraId="44C19549" w14:textId="77777777" w:rsidR="00F449B2" w:rsidRPr="00CF5C43" w:rsidRDefault="00F449B2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</w:p>
    <w:p w14:paraId="507755F1" w14:textId="37ED49EA" w:rsidR="004A2607" w:rsidRPr="00CF5C43" w:rsidRDefault="00F449B2" w:rsidP="0082284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We reserve the right to </w:t>
      </w:r>
      <w:r w:rsidR="001970BF">
        <w:rPr>
          <w:rFonts w:ascii="Verdana" w:hAnsi="Verdana"/>
        </w:rPr>
        <w:t>reject draft papers outright if they do not keep to these rules.</w:t>
      </w:r>
    </w:p>
    <w:p w14:paraId="6FD38580" w14:textId="63FBF0F3" w:rsidR="008A6CBE" w:rsidRPr="00CF5C43" w:rsidRDefault="008A6CBE" w:rsidP="004A2607">
      <w:pPr>
        <w:jc w:val="both"/>
        <w:rPr>
          <w:rFonts w:ascii="Verdana" w:hAnsi="Verdana"/>
        </w:rPr>
      </w:pPr>
    </w:p>
    <w:p w14:paraId="535781E7" w14:textId="7732383E" w:rsidR="00D6113B" w:rsidRPr="00CF5C43" w:rsidRDefault="00D6113B" w:rsidP="004A2607">
      <w:pPr>
        <w:jc w:val="both"/>
        <w:rPr>
          <w:rFonts w:ascii="Verdana" w:hAnsi="Verdana"/>
          <w:i/>
        </w:rPr>
      </w:pPr>
      <w:r w:rsidRPr="00CF5C43">
        <w:rPr>
          <w:rFonts w:ascii="Verdana" w:hAnsi="Verdana"/>
          <w:i/>
        </w:rPr>
        <w:t>Charitable purpose</w:t>
      </w:r>
    </w:p>
    <w:p w14:paraId="5136FA4F" w14:textId="77777777" w:rsidR="00D6113B" w:rsidRPr="00CF5C43" w:rsidRDefault="00D6113B" w:rsidP="004A2607">
      <w:pPr>
        <w:jc w:val="both"/>
        <w:rPr>
          <w:rFonts w:ascii="Verdana" w:hAnsi="Verdana"/>
        </w:rPr>
      </w:pPr>
    </w:p>
    <w:p w14:paraId="1AE31BD9" w14:textId="499BA22D" w:rsidR="002908A9" w:rsidRPr="00CF5C43" w:rsidRDefault="008A6CBE" w:rsidP="005556D0">
      <w:pPr>
        <w:jc w:val="both"/>
        <w:rPr>
          <w:rFonts w:ascii="Verdana" w:hAnsi="Verdana"/>
        </w:rPr>
      </w:pPr>
      <w:r w:rsidRPr="00CF5C43">
        <w:rPr>
          <w:rFonts w:ascii="Verdana" w:hAnsi="Verdana"/>
        </w:rPr>
        <w:t>HEPI is a registered charity</w:t>
      </w:r>
      <w:r w:rsidR="00E81F7D" w:rsidRPr="00CF5C43">
        <w:rPr>
          <w:rFonts w:ascii="Verdana" w:hAnsi="Verdana"/>
        </w:rPr>
        <w:t>. O</w:t>
      </w:r>
      <w:r w:rsidRPr="00CF5C43">
        <w:rPr>
          <w:rFonts w:ascii="Verdana" w:hAnsi="Verdana"/>
        </w:rPr>
        <w:t>ur output must keep to our c</w:t>
      </w:r>
      <w:r w:rsidR="002908A9" w:rsidRPr="00CF5C43">
        <w:rPr>
          <w:rFonts w:ascii="Verdana" w:hAnsi="Verdana"/>
        </w:rPr>
        <w:t>haritable objectives,</w:t>
      </w:r>
      <w:r w:rsidR="00346870" w:rsidRPr="00CF5C43">
        <w:rPr>
          <w:rFonts w:ascii="Verdana" w:hAnsi="Verdana"/>
        </w:rPr>
        <w:t xml:space="preserve"> as outlined in HEPI’s </w:t>
      </w:r>
      <w:r w:rsidR="00346870" w:rsidRPr="00CF5C43">
        <w:rPr>
          <w:rFonts w:ascii="Verdana" w:hAnsi="Verdana"/>
          <w:i/>
        </w:rPr>
        <w:t>Articles of Association</w:t>
      </w:r>
      <w:r w:rsidR="00346870" w:rsidRPr="00CF5C43">
        <w:rPr>
          <w:rFonts w:ascii="Verdana" w:hAnsi="Verdana"/>
        </w:rPr>
        <w:t>,</w:t>
      </w:r>
      <w:r w:rsidR="002908A9" w:rsidRPr="00CF5C43">
        <w:rPr>
          <w:rFonts w:ascii="Verdana" w:hAnsi="Verdana"/>
        </w:rPr>
        <w:t xml:space="preserve"> which are:</w:t>
      </w:r>
    </w:p>
    <w:p w14:paraId="1C8859B6" w14:textId="77777777" w:rsidR="002908A9" w:rsidRPr="00CF5C43" w:rsidRDefault="002908A9" w:rsidP="005556D0">
      <w:pPr>
        <w:jc w:val="both"/>
        <w:rPr>
          <w:rFonts w:ascii="Verdana" w:hAnsi="Verdana"/>
        </w:rPr>
      </w:pPr>
    </w:p>
    <w:p w14:paraId="0AA577CF" w14:textId="54FEB3EF" w:rsidR="008A6CBE" w:rsidRPr="00CF5C43" w:rsidRDefault="005556D0" w:rsidP="002908A9">
      <w:pPr>
        <w:ind w:left="567"/>
        <w:jc w:val="both"/>
        <w:rPr>
          <w:rFonts w:ascii="Verdana" w:hAnsi="Verdana"/>
        </w:rPr>
      </w:pPr>
      <w:r w:rsidRPr="00CF5C43">
        <w:rPr>
          <w:rFonts w:ascii="Verdana" w:hAnsi="Verdana"/>
          <w:i/>
        </w:rPr>
        <w:t xml:space="preserve">to promote research into and understanding of all aspects of higher education and to disseminate the useful results of such research for the education and benefit of policy makers and the </w:t>
      </w:r>
      <w:proofErr w:type="gramStart"/>
      <w:r w:rsidRPr="00CF5C43">
        <w:rPr>
          <w:rFonts w:ascii="Verdana" w:hAnsi="Verdana"/>
          <w:i/>
        </w:rPr>
        <w:t>general public</w:t>
      </w:r>
      <w:proofErr w:type="gramEnd"/>
      <w:r w:rsidRPr="00CF5C43">
        <w:rPr>
          <w:rFonts w:ascii="Verdana" w:hAnsi="Verdana"/>
          <w:i/>
        </w:rPr>
        <w:t xml:space="preserve"> in the United Kingdom</w:t>
      </w:r>
      <w:r w:rsidR="002908A9" w:rsidRPr="00CF5C43">
        <w:rPr>
          <w:rFonts w:ascii="Verdana" w:hAnsi="Verdana"/>
        </w:rPr>
        <w:t>.</w:t>
      </w:r>
    </w:p>
    <w:p w14:paraId="25443AC9" w14:textId="77777777" w:rsidR="00B771A8" w:rsidRPr="00CF5C43" w:rsidRDefault="00B771A8" w:rsidP="004A2607">
      <w:pPr>
        <w:jc w:val="both"/>
        <w:rPr>
          <w:rFonts w:ascii="Verdana" w:hAnsi="Verdana"/>
        </w:rPr>
      </w:pPr>
    </w:p>
    <w:p w14:paraId="720B111F" w14:textId="77777777" w:rsidR="004A2607" w:rsidRPr="00CF5C43" w:rsidRDefault="004A2607" w:rsidP="004A2607">
      <w:pPr>
        <w:jc w:val="both"/>
        <w:rPr>
          <w:rFonts w:ascii="Verdana" w:hAnsi="Verdana"/>
          <w:i/>
        </w:rPr>
      </w:pPr>
      <w:r w:rsidRPr="00CF5C43">
        <w:rPr>
          <w:rFonts w:ascii="Verdana" w:hAnsi="Verdana"/>
          <w:i/>
        </w:rPr>
        <w:t>General rules</w:t>
      </w:r>
    </w:p>
    <w:p w14:paraId="2D9CB4CB" w14:textId="77777777" w:rsidR="004A2607" w:rsidRPr="00CF5C43" w:rsidRDefault="004A2607" w:rsidP="004A2607">
      <w:pPr>
        <w:jc w:val="both"/>
        <w:rPr>
          <w:rFonts w:ascii="Verdana" w:hAnsi="Verdana"/>
        </w:rPr>
      </w:pPr>
    </w:p>
    <w:p w14:paraId="6FD0A430" w14:textId="64E02651" w:rsidR="004A2607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Keep HEPI’s key audiences in mind.</w:t>
      </w:r>
      <w:r w:rsidRPr="00CF5C43">
        <w:rPr>
          <w:rFonts w:ascii="Verdana" w:hAnsi="Verdana"/>
        </w:rPr>
        <w:t xml:space="preserve"> Above all, </w:t>
      </w:r>
      <w:r w:rsidR="00213E82" w:rsidRPr="00CF5C43">
        <w:rPr>
          <w:rFonts w:ascii="Verdana" w:hAnsi="Verdana"/>
        </w:rPr>
        <w:t>these</w:t>
      </w:r>
      <w:r w:rsidRPr="00CF5C43">
        <w:rPr>
          <w:rFonts w:ascii="Verdana" w:hAnsi="Verdana"/>
        </w:rPr>
        <w:t xml:space="preserve"> are:</w:t>
      </w:r>
    </w:p>
    <w:p w14:paraId="6D637670" w14:textId="77777777" w:rsidR="00213E82" w:rsidRPr="00CF5C43" w:rsidRDefault="00213E82" w:rsidP="00213E82">
      <w:pPr>
        <w:jc w:val="both"/>
        <w:rPr>
          <w:rFonts w:ascii="Verdana" w:hAnsi="Verdana"/>
        </w:rPr>
      </w:pPr>
    </w:p>
    <w:p w14:paraId="0AB61BA4" w14:textId="77777777" w:rsidR="009C2532" w:rsidRPr="00CF5C43" w:rsidRDefault="005556D0" w:rsidP="009C2532">
      <w:pPr>
        <w:pStyle w:val="ListParagraph"/>
        <w:numPr>
          <w:ilvl w:val="1"/>
          <w:numId w:val="38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p</w:t>
      </w:r>
      <w:r w:rsidR="00213E82" w:rsidRPr="00CF5C43">
        <w:rPr>
          <w:rFonts w:ascii="Verdana" w:hAnsi="Verdana"/>
          <w:b/>
        </w:rPr>
        <w:t>olicymakers</w:t>
      </w:r>
      <w:r w:rsidR="00213E82" w:rsidRPr="00CF5C43">
        <w:rPr>
          <w:rFonts w:ascii="Verdana" w:hAnsi="Verdana"/>
        </w:rPr>
        <w:t xml:space="preserve">, </w:t>
      </w:r>
      <w:r w:rsidR="004A2607" w:rsidRPr="00CF5C43">
        <w:rPr>
          <w:rFonts w:ascii="Verdana" w:hAnsi="Verdana"/>
        </w:rPr>
        <w:t>such as</w:t>
      </w:r>
      <w:r w:rsidR="00213E82" w:rsidRPr="00CF5C43">
        <w:rPr>
          <w:rFonts w:ascii="Verdana" w:hAnsi="Verdana"/>
        </w:rPr>
        <w:t xml:space="preserve"> civil servants and </w:t>
      </w:r>
      <w:proofErr w:type="gramStart"/>
      <w:r w:rsidR="00213E82" w:rsidRPr="00CF5C43">
        <w:rPr>
          <w:rFonts w:ascii="Verdana" w:hAnsi="Verdana"/>
        </w:rPr>
        <w:t>politicians</w:t>
      </w:r>
      <w:r w:rsidR="004A2607" w:rsidRPr="00CF5C43">
        <w:rPr>
          <w:rFonts w:ascii="Verdana" w:hAnsi="Verdana"/>
        </w:rPr>
        <w:t>;</w:t>
      </w:r>
      <w:proofErr w:type="gramEnd"/>
    </w:p>
    <w:p w14:paraId="1FE6C417" w14:textId="0B5701B8" w:rsidR="009C2532" w:rsidRPr="00CF5C43" w:rsidRDefault="009C2532" w:rsidP="009C2532">
      <w:pPr>
        <w:pStyle w:val="ListParagraph"/>
        <w:numPr>
          <w:ilvl w:val="1"/>
          <w:numId w:val="38"/>
        </w:numPr>
        <w:jc w:val="both"/>
        <w:rPr>
          <w:rFonts w:ascii="Verdana" w:hAnsi="Verdana"/>
        </w:rPr>
      </w:pPr>
      <w:r w:rsidRPr="00CF5C43">
        <w:rPr>
          <w:rStyle w:val="Strong"/>
          <w:rFonts w:ascii="Verdana" w:hAnsi="Verdana"/>
          <w:color w:val="191E23"/>
        </w:rPr>
        <w:t>staff in</w:t>
      </w:r>
      <w:r w:rsidR="001970BF">
        <w:rPr>
          <w:rStyle w:val="Strong"/>
          <w:rFonts w:ascii="Verdana" w:hAnsi="Verdana"/>
          <w:color w:val="191E23"/>
        </w:rPr>
        <w:t xml:space="preserve"> </w:t>
      </w:r>
      <w:r w:rsidRPr="00CF5C43">
        <w:rPr>
          <w:rStyle w:val="Strong"/>
          <w:rFonts w:ascii="Verdana" w:hAnsi="Verdana"/>
          <w:color w:val="191E23"/>
        </w:rPr>
        <w:t>higher</w:t>
      </w:r>
      <w:r w:rsidR="001970BF">
        <w:rPr>
          <w:rStyle w:val="Strong"/>
          <w:rFonts w:ascii="Verdana" w:hAnsi="Verdana"/>
          <w:color w:val="191E23"/>
        </w:rPr>
        <w:t xml:space="preserve"> </w:t>
      </w:r>
      <w:r w:rsidRPr="00CF5C43">
        <w:rPr>
          <w:rStyle w:val="Strong"/>
          <w:rFonts w:ascii="Verdana" w:hAnsi="Verdana"/>
          <w:color w:val="191E23"/>
        </w:rPr>
        <w:t>education</w:t>
      </w:r>
      <w:r w:rsidR="001970BF">
        <w:rPr>
          <w:rStyle w:val="Strong"/>
          <w:rFonts w:ascii="Verdana" w:hAnsi="Verdana"/>
          <w:color w:val="191E23"/>
        </w:rPr>
        <w:t xml:space="preserve"> </w:t>
      </w:r>
      <w:r w:rsidRPr="00CF5C43">
        <w:rPr>
          <w:rStyle w:val="Strong"/>
          <w:rFonts w:ascii="Verdana" w:hAnsi="Verdana"/>
          <w:color w:val="191E23"/>
        </w:rPr>
        <w:t>institutions</w:t>
      </w:r>
      <w:r w:rsidRPr="00CF5C43">
        <w:rPr>
          <w:rFonts w:ascii="Verdana" w:hAnsi="Verdana"/>
          <w:color w:val="000000"/>
        </w:rPr>
        <w:t xml:space="preserve">, including vice-chancellors and </w:t>
      </w:r>
      <w:r w:rsidR="001970BF">
        <w:rPr>
          <w:rFonts w:ascii="Verdana" w:hAnsi="Verdana"/>
          <w:color w:val="000000"/>
        </w:rPr>
        <w:t xml:space="preserve">other senior </w:t>
      </w:r>
      <w:proofErr w:type="gramStart"/>
      <w:r w:rsidR="001970BF">
        <w:rPr>
          <w:rFonts w:ascii="Verdana" w:hAnsi="Verdana"/>
          <w:color w:val="000000"/>
        </w:rPr>
        <w:t>managers</w:t>
      </w:r>
      <w:r w:rsidRPr="00CF5C43">
        <w:rPr>
          <w:rFonts w:ascii="Verdana" w:hAnsi="Verdana"/>
          <w:color w:val="000000"/>
        </w:rPr>
        <w:t>;</w:t>
      </w:r>
      <w:proofErr w:type="gramEnd"/>
    </w:p>
    <w:p w14:paraId="6207B259" w14:textId="77777777" w:rsidR="009C2532" w:rsidRPr="00CF5C43" w:rsidRDefault="009C2532" w:rsidP="009C2532">
      <w:pPr>
        <w:pStyle w:val="ListParagraph"/>
        <w:numPr>
          <w:ilvl w:val="1"/>
          <w:numId w:val="38"/>
        </w:numPr>
        <w:jc w:val="both"/>
        <w:rPr>
          <w:rFonts w:ascii="Verdana" w:hAnsi="Verdana"/>
        </w:rPr>
      </w:pPr>
      <w:r w:rsidRPr="00CF5C43">
        <w:rPr>
          <w:rStyle w:val="Strong"/>
          <w:rFonts w:ascii="Verdana" w:hAnsi="Verdana"/>
          <w:color w:val="000000"/>
        </w:rPr>
        <w:t xml:space="preserve">university </w:t>
      </w:r>
      <w:proofErr w:type="gramStart"/>
      <w:r w:rsidRPr="00CF5C43">
        <w:rPr>
          <w:rStyle w:val="Strong"/>
          <w:rFonts w:ascii="Verdana" w:hAnsi="Verdana"/>
          <w:color w:val="000000"/>
        </w:rPr>
        <w:t>governors</w:t>
      </w:r>
      <w:r w:rsidRPr="00CF5C43">
        <w:rPr>
          <w:rFonts w:ascii="Verdana" w:hAnsi="Verdana"/>
          <w:color w:val="000000"/>
        </w:rPr>
        <w:t>;</w:t>
      </w:r>
      <w:proofErr w:type="gramEnd"/>
    </w:p>
    <w:p w14:paraId="5919A54E" w14:textId="33C2A2A2" w:rsidR="009C2532" w:rsidRPr="00CF5C43" w:rsidRDefault="009C2532" w:rsidP="009C2532">
      <w:pPr>
        <w:pStyle w:val="ListParagraph"/>
        <w:numPr>
          <w:ilvl w:val="1"/>
          <w:numId w:val="38"/>
        </w:numPr>
        <w:jc w:val="both"/>
        <w:rPr>
          <w:rFonts w:ascii="Verdana" w:hAnsi="Verdana"/>
        </w:rPr>
      </w:pPr>
      <w:r w:rsidRPr="00CF5C43">
        <w:rPr>
          <w:rStyle w:val="Strong"/>
          <w:rFonts w:ascii="Verdana" w:hAnsi="Verdana"/>
          <w:color w:val="000000"/>
        </w:rPr>
        <w:t>students</w:t>
      </w:r>
      <w:r w:rsidRPr="00CF5C43">
        <w:rPr>
          <w:rFonts w:ascii="Verdana" w:hAnsi="Verdana"/>
          <w:color w:val="000000"/>
        </w:rPr>
        <w:t>, including students</w:t>
      </w:r>
      <w:r w:rsidR="00B95179">
        <w:rPr>
          <w:rFonts w:ascii="Verdana" w:hAnsi="Verdana"/>
          <w:color w:val="000000"/>
        </w:rPr>
        <w:t>’</w:t>
      </w:r>
      <w:r w:rsidRPr="00CF5C43">
        <w:rPr>
          <w:rFonts w:ascii="Verdana" w:hAnsi="Verdana"/>
          <w:color w:val="000000"/>
        </w:rPr>
        <w:t xml:space="preserve"> union office holders; </w:t>
      </w:r>
      <w:r w:rsidR="00591DCD" w:rsidRPr="00CF5C43">
        <w:rPr>
          <w:rFonts w:ascii="Verdana" w:hAnsi="Verdana"/>
          <w:color w:val="000000"/>
        </w:rPr>
        <w:t>and</w:t>
      </w:r>
    </w:p>
    <w:p w14:paraId="45B94AC8" w14:textId="7D75BAAF" w:rsidR="004A0D1F" w:rsidRPr="00CF5C43" w:rsidRDefault="004A2607" w:rsidP="009C2532">
      <w:pPr>
        <w:pStyle w:val="ListParagraph"/>
        <w:numPr>
          <w:ilvl w:val="1"/>
          <w:numId w:val="38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the media</w:t>
      </w:r>
      <w:r w:rsidR="00213E82" w:rsidRPr="00CF5C43">
        <w:rPr>
          <w:rFonts w:ascii="Verdana" w:hAnsi="Verdana"/>
        </w:rPr>
        <w:t xml:space="preserve"> and other opinion formers</w:t>
      </w:r>
      <w:r w:rsidRPr="00CF5C43">
        <w:rPr>
          <w:rFonts w:ascii="Verdana" w:hAnsi="Verdana"/>
        </w:rPr>
        <w:t>.</w:t>
      </w:r>
    </w:p>
    <w:p w14:paraId="31C75FC1" w14:textId="77777777" w:rsidR="004A0D1F" w:rsidRPr="00CF5C43" w:rsidRDefault="004A0D1F" w:rsidP="004A0D1F">
      <w:pPr>
        <w:ind w:left="862"/>
        <w:jc w:val="both"/>
        <w:rPr>
          <w:rFonts w:ascii="Verdana" w:hAnsi="Verdana"/>
        </w:rPr>
      </w:pPr>
    </w:p>
    <w:p w14:paraId="446A6249" w14:textId="5D2B73BB" w:rsidR="004A0D1F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Do not assume all </w:t>
      </w:r>
      <w:r w:rsidR="005556D0" w:rsidRPr="00CF5C43">
        <w:rPr>
          <w:rFonts w:ascii="Verdana" w:hAnsi="Verdana"/>
        </w:rPr>
        <w:t xml:space="preserve">our </w:t>
      </w:r>
      <w:r w:rsidRPr="00CF5C43">
        <w:rPr>
          <w:rFonts w:ascii="Verdana" w:hAnsi="Verdana"/>
        </w:rPr>
        <w:t xml:space="preserve">readers have much prior knowledge. They may be new to higher education or </w:t>
      </w:r>
      <w:r w:rsidR="00B95179">
        <w:rPr>
          <w:rFonts w:ascii="Verdana" w:hAnsi="Verdana"/>
        </w:rPr>
        <w:t xml:space="preserve">may </w:t>
      </w:r>
      <w:r w:rsidRPr="00CF5C43">
        <w:rPr>
          <w:rFonts w:ascii="Verdana" w:hAnsi="Verdana"/>
        </w:rPr>
        <w:t xml:space="preserve">work mainly in a different sector. </w:t>
      </w:r>
      <w:r w:rsidR="00820D01" w:rsidRPr="00CF5C43">
        <w:rPr>
          <w:rFonts w:ascii="Verdana" w:hAnsi="Verdana"/>
          <w:b/>
        </w:rPr>
        <w:t>W</w:t>
      </w:r>
      <w:r w:rsidRPr="00CF5C43">
        <w:rPr>
          <w:rFonts w:ascii="Verdana" w:hAnsi="Verdana"/>
          <w:b/>
        </w:rPr>
        <w:t xml:space="preserve">rite with ignorant-but-intelligent readers in mind, </w:t>
      </w:r>
      <w:r w:rsidR="00820D01" w:rsidRPr="00CF5C43">
        <w:rPr>
          <w:rFonts w:ascii="Verdana" w:hAnsi="Verdana"/>
          <w:b/>
        </w:rPr>
        <w:t xml:space="preserve">as </w:t>
      </w:r>
      <w:r w:rsidRPr="00CF5C43">
        <w:rPr>
          <w:rFonts w:ascii="Verdana" w:hAnsi="Verdana"/>
          <w:b/>
        </w:rPr>
        <w:t xml:space="preserve">this will increase the number of </w:t>
      </w:r>
      <w:r w:rsidR="00820D01" w:rsidRPr="00CF5C43">
        <w:rPr>
          <w:rFonts w:ascii="Verdana" w:hAnsi="Verdana"/>
          <w:b/>
        </w:rPr>
        <w:t>people who engage with our output</w:t>
      </w:r>
      <w:r w:rsidRPr="00CF5C43">
        <w:rPr>
          <w:rFonts w:ascii="Verdana" w:hAnsi="Verdana"/>
          <w:b/>
        </w:rPr>
        <w:t>.</w:t>
      </w:r>
    </w:p>
    <w:p w14:paraId="461CCB7F" w14:textId="77777777" w:rsidR="00033007" w:rsidRPr="00CF5C43" w:rsidRDefault="00033007" w:rsidP="00033007">
      <w:pPr>
        <w:ind w:left="142"/>
        <w:jc w:val="both"/>
        <w:rPr>
          <w:rFonts w:ascii="Verdana" w:hAnsi="Verdana"/>
        </w:rPr>
      </w:pPr>
    </w:p>
    <w:p w14:paraId="1D191A77" w14:textId="10696666" w:rsidR="00033007" w:rsidRPr="00CF5C43" w:rsidRDefault="000330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Complicated points can </w:t>
      </w:r>
      <w:r w:rsidR="001C2C59" w:rsidRPr="00CF5C43">
        <w:rPr>
          <w:rFonts w:ascii="Verdana" w:hAnsi="Verdana"/>
          <w:b/>
        </w:rPr>
        <w:t xml:space="preserve">almost </w:t>
      </w:r>
      <w:r w:rsidRPr="00CF5C43">
        <w:rPr>
          <w:rFonts w:ascii="Verdana" w:hAnsi="Verdana"/>
          <w:b/>
        </w:rPr>
        <w:t xml:space="preserve">always be expressed in simple ways. </w:t>
      </w:r>
      <w:r w:rsidRPr="00CF5C43">
        <w:rPr>
          <w:rFonts w:ascii="Verdana" w:hAnsi="Verdana"/>
        </w:rPr>
        <w:t xml:space="preserve">Our output is not dumbed down, but it is accessible, </w:t>
      </w:r>
      <w:proofErr w:type="gramStart"/>
      <w:r w:rsidRPr="00CF5C43">
        <w:rPr>
          <w:rFonts w:ascii="Verdana" w:hAnsi="Verdana"/>
        </w:rPr>
        <w:t>readable</w:t>
      </w:r>
      <w:proofErr w:type="gramEnd"/>
      <w:r w:rsidRPr="00CF5C43">
        <w:rPr>
          <w:rFonts w:ascii="Verdana" w:hAnsi="Verdana"/>
        </w:rPr>
        <w:t xml:space="preserve"> and clear.</w:t>
      </w:r>
      <w:r w:rsidR="002A53B5" w:rsidRPr="00CF5C43">
        <w:rPr>
          <w:rFonts w:ascii="Verdana" w:hAnsi="Verdana"/>
        </w:rPr>
        <w:t xml:space="preserve"> Killer facts and short snappy sentences are our trademarks.</w:t>
      </w:r>
    </w:p>
    <w:p w14:paraId="713A9020" w14:textId="77777777" w:rsidR="00213E82" w:rsidRPr="00CF5C43" w:rsidRDefault="00213E82" w:rsidP="00213E82">
      <w:pPr>
        <w:ind w:left="142"/>
        <w:jc w:val="both"/>
        <w:rPr>
          <w:rFonts w:ascii="Verdana" w:hAnsi="Verdana"/>
        </w:rPr>
      </w:pPr>
    </w:p>
    <w:p w14:paraId="7BC6ECDD" w14:textId="512848B1" w:rsidR="00213E82" w:rsidRPr="00CF5C43" w:rsidRDefault="00213E82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HEPI has </w:t>
      </w:r>
      <w:r w:rsidR="008D7FE7" w:rsidRPr="00CF5C43">
        <w:rPr>
          <w:rFonts w:ascii="Verdana" w:hAnsi="Verdana"/>
          <w:b/>
        </w:rPr>
        <w:t>five</w:t>
      </w:r>
      <w:r w:rsidRPr="00CF5C43">
        <w:rPr>
          <w:rFonts w:ascii="Verdana" w:hAnsi="Verdana"/>
          <w:b/>
        </w:rPr>
        <w:t xml:space="preserve"> main outlets for research</w:t>
      </w:r>
      <w:r w:rsidR="00D6113B" w:rsidRPr="00CF5C43">
        <w:rPr>
          <w:rFonts w:ascii="Verdana" w:hAnsi="Verdana"/>
          <w:b/>
        </w:rPr>
        <w:t>, which are listed below.</w:t>
      </w:r>
      <w:r w:rsidR="00D6113B" w:rsidRPr="00CF5C43">
        <w:rPr>
          <w:rFonts w:ascii="Verdana" w:hAnsi="Verdana"/>
        </w:rPr>
        <w:t xml:space="preserve"> Occasionally, we produce reports in other formats too, especially when working jointly with another organisation. </w:t>
      </w:r>
      <w:r w:rsidR="001970BF">
        <w:rPr>
          <w:rFonts w:ascii="Verdana" w:hAnsi="Verdana"/>
        </w:rPr>
        <w:t>All these forms of output are public</w:t>
      </w:r>
      <w:r w:rsidR="00B95179">
        <w:rPr>
          <w:rFonts w:ascii="Verdana" w:hAnsi="Verdana"/>
        </w:rPr>
        <w:t>, with no paywall</w:t>
      </w:r>
      <w:r w:rsidR="001970BF">
        <w:rPr>
          <w:rFonts w:ascii="Verdana" w:hAnsi="Verdana"/>
        </w:rPr>
        <w:t>.</w:t>
      </w:r>
    </w:p>
    <w:p w14:paraId="518D3675" w14:textId="77777777" w:rsidR="00213E82" w:rsidRPr="00CF5C43" w:rsidRDefault="00213E82" w:rsidP="00213E82">
      <w:pPr>
        <w:pStyle w:val="ListParagraph"/>
        <w:rPr>
          <w:rFonts w:ascii="Verdana" w:hAnsi="Verdana"/>
        </w:rPr>
      </w:pPr>
    </w:p>
    <w:p w14:paraId="387DEA2B" w14:textId="47A7A34D" w:rsidR="00213E82" w:rsidRPr="00CF5C43" w:rsidRDefault="00D6113B" w:rsidP="009C2532">
      <w:pPr>
        <w:pStyle w:val="ListParagraph"/>
        <w:numPr>
          <w:ilvl w:val="0"/>
          <w:numId w:val="40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B</w:t>
      </w:r>
      <w:r w:rsidR="00213E82" w:rsidRPr="00CF5C43">
        <w:rPr>
          <w:rFonts w:ascii="Verdana" w:hAnsi="Verdana"/>
          <w:b/>
        </w:rPr>
        <w:t>logs</w:t>
      </w:r>
      <w:r w:rsidR="00B95179" w:rsidRPr="00B95179">
        <w:rPr>
          <w:rFonts w:ascii="Verdana" w:hAnsi="Verdana"/>
          <w:b/>
          <w:bCs/>
        </w:rPr>
        <w:t xml:space="preserve"> –</w:t>
      </w:r>
      <w:r w:rsidR="00B95179">
        <w:rPr>
          <w:rFonts w:ascii="Verdana" w:hAnsi="Verdana"/>
        </w:rPr>
        <w:t xml:space="preserve"> entries on the HEPI daily blog </w:t>
      </w:r>
      <w:r w:rsidR="00213E82" w:rsidRPr="00CF5C43">
        <w:rPr>
          <w:rFonts w:ascii="Verdana" w:hAnsi="Verdana"/>
        </w:rPr>
        <w:t>tend to be around 1,000 words or less in length, and which are circulated electronically to everyone who has signed up for email updates</w:t>
      </w:r>
      <w:r w:rsidR="001970BF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>as well as</w:t>
      </w:r>
      <w:r w:rsidR="001970BF">
        <w:rPr>
          <w:rFonts w:ascii="Verdana" w:hAnsi="Verdana"/>
        </w:rPr>
        <w:t xml:space="preserve"> made available for all to see on our website</w:t>
      </w:r>
      <w:r w:rsidRPr="00CF5C43">
        <w:rPr>
          <w:rFonts w:ascii="Verdana" w:hAnsi="Verdana"/>
        </w:rPr>
        <w:t>.</w:t>
      </w:r>
    </w:p>
    <w:p w14:paraId="6C43C4E6" w14:textId="0C203226" w:rsidR="00213E82" w:rsidRPr="00CF5C43" w:rsidRDefault="00213E82" w:rsidP="009C2532">
      <w:pPr>
        <w:pStyle w:val="ListParagraph"/>
        <w:numPr>
          <w:ilvl w:val="0"/>
          <w:numId w:val="40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Policy Notes</w:t>
      </w:r>
      <w:r w:rsidR="00B95179" w:rsidRPr="00B95179">
        <w:rPr>
          <w:rFonts w:ascii="Verdana" w:hAnsi="Verdana"/>
          <w:b/>
          <w:bCs/>
        </w:rPr>
        <w:t xml:space="preserve"> –</w:t>
      </w:r>
      <w:r w:rsidRPr="00CF5C43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>these</w:t>
      </w:r>
      <w:r w:rsidRPr="00CF5C43">
        <w:rPr>
          <w:rFonts w:ascii="Verdana" w:hAnsi="Verdana"/>
        </w:rPr>
        <w:t xml:space="preserve"> tend to be between 1,000 and 3,000 </w:t>
      </w:r>
      <w:proofErr w:type="gramStart"/>
      <w:r w:rsidRPr="00CF5C43">
        <w:rPr>
          <w:rFonts w:ascii="Verdana" w:hAnsi="Verdana"/>
        </w:rPr>
        <w:t>words</w:t>
      </w:r>
      <w:r w:rsidR="001970BF">
        <w:rPr>
          <w:rFonts w:ascii="Verdana" w:hAnsi="Verdana"/>
        </w:rPr>
        <w:t>, and</w:t>
      </w:r>
      <w:proofErr w:type="gramEnd"/>
      <w:r w:rsidR="001970BF">
        <w:rPr>
          <w:rFonts w:ascii="Verdana" w:hAnsi="Verdana"/>
        </w:rPr>
        <w:t xml:space="preserve"> are generally produced as electronic pdfs</w:t>
      </w:r>
      <w:r w:rsidR="00D6113B" w:rsidRPr="00CF5C43">
        <w:rPr>
          <w:rFonts w:ascii="Verdana" w:hAnsi="Verdana"/>
        </w:rPr>
        <w:t>.</w:t>
      </w:r>
    </w:p>
    <w:p w14:paraId="119EC663" w14:textId="7B66DF3A" w:rsidR="00213E82" w:rsidRPr="00CF5C43" w:rsidRDefault="00D6113B" w:rsidP="009C2532">
      <w:pPr>
        <w:pStyle w:val="ListParagraph"/>
        <w:numPr>
          <w:ilvl w:val="0"/>
          <w:numId w:val="40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B</w:t>
      </w:r>
      <w:r w:rsidR="00213E82" w:rsidRPr="00CF5C43">
        <w:rPr>
          <w:rFonts w:ascii="Verdana" w:hAnsi="Verdana"/>
          <w:b/>
        </w:rPr>
        <w:t>lue books</w:t>
      </w:r>
      <w:r w:rsidRPr="00CF5C43">
        <w:rPr>
          <w:rFonts w:ascii="Verdana" w:hAnsi="Verdana"/>
          <w:b/>
        </w:rPr>
        <w:t xml:space="preserve"> or HEPI Reports</w:t>
      </w:r>
      <w:r w:rsidR="00B95179" w:rsidRPr="00B95179">
        <w:rPr>
          <w:rFonts w:ascii="Verdana" w:hAnsi="Verdana"/>
          <w:b/>
          <w:bCs/>
        </w:rPr>
        <w:t xml:space="preserve"> –</w:t>
      </w:r>
      <w:r w:rsidR="00B95179" w:rsidRPr="00B95179">
        <w:rPr>
          <w:rFonts w:ascii="Verdana" w:hAnsi="Verdana"/>
        </w:rPr>
        <w:t xml:space="preserve"> these are </w:t>
      </w:r>
      <w:r w:rsidR="00213E82" w:rsidRPr="00CF5C43">
        <w:rPr>
          <w:rFonts w:ascii="Verdana" w:hAnsi="Verdana"/>
        </w:rPr>
        <w:t>full-length analytical publications of between 6,000 and 10,000 words</w:t>
      </w:r>
      <w:r w:rsidRPr="00CF5C43">
        <w:rPr>
          <w:rFonts w:ascii="Verdana" w:hAnsi="Verdana"/>
        </w:rPr>
        <w:t>. Occasionally, the</w:t>
      </w:r>
      <w:r w:rsidR="00B95179">
        <w:rPr>
          <w:rFonts w:ascii="Verdana" w:hAnsi="Verdana"/>
        </w:rPr>
        <w:t>se</w:t>
      </w:r>
      <w:r w:rsidRPr="00CF5C43">
        <w:rPr>
          <w:rFonts w:ascii="Verdana" w:hAnsi="Verdana"/>
        </w:rPr>
        <w:t xml:space="preserve"> are collections of essays by different authors, when their length </w:t>
      </w:r>
      <w:r w:rsidR="00B95179">
        <w:rPr>
          <w:rFonts w:ascii="Verdana" w:hAnsi="Verdana"/>
        </w:rPr>
        <w:t xml:space="preserve">may </w:t>
      </w:r>
      <w:proofErr w:type="gramStart"/>
      <w:r w:rsidRPr="00CF5C43">
        <w:rPr>
          <w:rFonts w:ascii="Verdana" w:hAnsi="Verdana"/>
        </w:rPr>
        <w:t>increases</w:t>
      </w:r>
      <w:proofErr w:type="gramEnd"/>
      <w:r w:rsidRPr="00CF5C43">
        <w:rPr>
          <w:rFonts w:ascii="Verdana" w:hAnsi="Verdana"/>
        </w:rPr>
        <w:t xml:space="preserve"> to between 10,000 and 15,000 words.</w:t>
      </w:r>
      <w:r w:rsidR="001970BF">
        <w:rPr>
          <w:rFonts w:ascii="Verdana" w:hAnsi="Verdana"/>
        </w:rPr>
        <w:t xml:space="preserve"> They are produced in hard copy a little smaller than A5 </w:t>
      </w:r>
      <w:proofErr w:type="gramStart"/>
      <w:r w:rsidR="001970BF">
        <w:rPr>
          <w:rFonts w:ascii="Verdana" w:hAnsi="Verdana"/>
        </w:rPr>
        <w:t>and also</w:t>
      </w:r>
      <w:proofErr w:type="gramEnd"/>
      <w:r w:rsidR="001970BF">
        <w:rPr>
          <w:rFonts w:ascii="Verdana" w:hAnsi="Verdana"/>
        </w:rPr>
        <w:t xml:space="preserve"> as pdfs.</w:t>
      </w:r>
    </w:p>
    <w:p w14:paraId="5E1A322F" w14:textId="34A15114" w:rsidR="00213E82" w:rsidRPr="00CF5C43" w:rsidRDefault="00D6113B" w:rsidP="009C2532">
      <w:pPr>
        <w:pStyle w:val="ListParagraph"/>
        <w:numPr>
          <w:ilvl w:val="0"/>
          <w:numId w:val="40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Red books or </w:t>
      </w:r>
      <w:r w:rsidR="00B95179">
        <w:rPr>
          <w:rFonts w:ascii="Verdana" w:hAnsi="Verdana"/>
          <w:b/>
        </w:rPr>
        <w:t>Debate</w:t>
      </w:r>
      <w:r w:rsidR="005556D0" w:rsidRPr="00CF5C43">
        <w:rPr>
          <w:rFonts w:ascii="Verdana" w:hAnsi="Verdana"/>
          <w:b/>
        </w:rPr>
        <w:t xml:space="preserve"> Papers</w:t>
      </w:r>
      <w:r w:rsidR="00B95179" w:rsidRPr="00B95179">
        <w:rPr>
          <w:rFonts w:ascii="Verdana" w:hAnsi="Verdana"/>
          <w:b/>
          <w:bCs/>
        </w:rPr>
        <w:t xml:space="preserve"> –</w:t>
      </w:r>
      <w:r w:rsidR="00B95179">
        <w:rPr>
          <w:rFonts w:ascii="Verdana" w:hAnsi="Verdana"/>
        </w:rPr>
        <w:t xml:space="preserve"> these are </w:t>
      </w:r>
      <w:r w:rsidR="00213E82" w:rsidRPr="00CF5C43">
        <w:rPr>
          <w:rFonts w:ascii="Verdana" w:hAnsi="Verdana"/>
        </w:rPr>
        <w:t>also full-length evidence-based publications</w:t>
      </w:r>
      <w:r w:rsidR="00B95179">
        <w:rPr>
          <w:rFonts w:ascii="Verdana" w:hAnsi="Verdana"/>
        </w:rPr>
        <w:t>,</w:t>
      </w:r>
      <w:r w:rsidR="00213E82" w:rsidRPr="00CF5C43">
        <w:rPr>
          <w:rFonts w:ascii="Verdana" w:hAnsi="Verdana"/>
        </w:rPr>
        <w:t xml:space="preserve"> but </w:t>
      </w:r>
      <w:r w:rsidR="00B95179">
        <w:rPr>
          <w:rFonts w:ascii="Verdana" w:hAnsi="Verdana"/>
        </w:rPr>
        <w:t xml:space="preserve">they tend to be </w:t>
      </w:r>
      <w:r w:rsidR="00213E82" w:rsidRPr="00CF5C43">
        <w:rPr>
          <w:rFonts w:ascii="Verdana" w:hAnsi="Verdana"/>
        </w:rPr>
        <w:t xml:space="preserve">more polemical </w:t>
      </w:r>
      <w:r w:rsidR="00B95179">
        <w:rPr>
          <w:rFonts w:ascii="Verdana" w:hAnsi="Verdana"/>
        </w:rPr>
        <w:t xml:space="preserve">and personal </w:t>
      </w:r>
      <w:r w:rsidR="00213E82" w:rsidRPr="00CF5C43">
        <w:rPr>
          <w:rFonts w:ascii="Verdana" w:hAnsi="Verdana"/>
        </w:rPr>
        <w:t>than blue books.</w:t>
      </w:r>
      <w:r w:rsidR="001970BF">
        <w:rPr>
          <w:rFonts w:ascii="Verdana" w:hAnsi="Verdana"/>
        </w:rPr>
        <w:t xml:space="preserve"> Like blue books, they are produced in hard copy a little smaller than A5 </w:t>
      </w:r>
      <w:proofErr w:type="gramStart"/>
      <w:r w:rsidR="001970BF">
        <w:rPr>
          <w:rFonts w:ascii="Verdana" w:hAnsi="Verdana"/>
        </w:rPr>
        <w:t>and also</w:t>
      </w:r>
      <w:proofErr w:type="gramEnd"/>
      <w:r w:rsidR="001970BF">
        <w:rPr>
          <w:rFonts w:ascii="Verdana" w:hAnsi="Verdana"/>
        </w:rPr>
        <w:t xml:space="preserve"> as pdfs.</w:t>
      </w:r>
    </w:p>
    <w:p w14:paraId="0FC455D5" w14:textId="61C20760" w:rsidR="008D7FE7" w:rsidRPr="00CF5C43" w:rsidRDefault="008D7FE7" w:rsidP="009C2532">
      <w:pPr>
        <w:pStyle w:val="ListParagraph"/>
        <w:numPr>
          <w:ilvl w:val="0"/>
          <w:numId w:val="40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Analytical Reports</w:t>
      </w:r>
      <w:r w:rsidR="00B95179" w:rsidRPr="00B95179">
        <w:rPr>
          <w:rFonts w:ascii="Verdana" w:hAnsi="Verdana"/>
          <w:b/>
          <w:bCs/>
        </w:rPr>
        <w:t xml:space="preserve"> –</w:t>
      </w:r>
      <w:r w:rsidR="00B95179">
        <w:rPr>
          <w:rFonts w:ascii="Verdana" w:hAnsi="Verdana"/>
        </w:rPr>
        <w:t xml:space="preserve"> these </w:t>
      </w:r>
      <w:r w:rsidRPr="00CF5C43">
        <w:rPr>
          <w:rFonts w:ascii="Verdana" w:hAnsi="Verdana"/>
        </w:rPr>
        <w:t>are occasionally produced to provide a detailed review of one part of the higher education landscape</w:t>
      </w:r>
      <w:r w:rsidR="00591DCD" w:rsidRPr="00CF5C43">
        <w:rPr>
          <w:rFonts w:ascii="Verdana" w:hAnsi="Verdana"/>
        </w:rPr>
        <w:t>. T</w:t>
      </w:r>
      <w:r w:rsidRPr="00CF5C43">
        <w:rPr>
          <w:rFonts w:ascii="Verdana" w:hAnsi="Verdana"/>
        </w:rPr>
        <w:t>hey may be a little longer and a little less focused on policy than most of our output</w:t>
      </w:r>
      <w:r w:rsidR="001970BF">
        <w:rPr>
          <w:rFonts w:ascii="Verdana" w:hAnsi="Verdana"/>
        </w:rPr>
        <w:t xml:space="preserve"> and appear in an A4 format</w:t>
      </w:r>
      <w:r w:rsidR="00B95179">
        <w:rPr>
          <w:rFonts w:ascii="Verdana" w:hAnsi="Verdana"/>
        </w:rPr>
        <w:t>,</w:t>
      </w:r>
      <w:r w:rsidR="001970BF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 xml:space="preserve">allowing </w:t>
      </w:r>
      <w:r w:rsidR="001970BF">
        <w:rPr>
          <w:rFonts w:ascii="Verdana" w:hAnsi="Verdana"/>
        </w:rPr>
        <w:t>room for multiple tables and charts.</w:t>
      </w:r>
    </w:p>
    <w:p w14:paraId="05E65BC0" w14:textId="77777777" w:rsidR="00870BE1" w:rsidRPr="00CF5C43" w:rsidRDefault="00870BE1" w:rsidP="00870BE1">
      <w:pPr>
        <w:ind w:left="142"/>
        <w:jc w:val="both"/>
        <w:rPr>
          <w:rFonts w:ascii="Verdana" w:hAnsi="Verdana"/>
        </w:rPr>
      </w:pPr>
    </w:p>
    <w:p w14:paraId="7E1A7197" w14:textId="5F977925" w:rsidR="00870BE1" w:rsidRPr="00CF5C43" w:rsidRDefault="00870BE1" w:rsidP="00F9672D">
      <w:pPr>
        <w:pStyle w:val="ListParagraph"/>
        <w:numPr>
          <w:ilvl w:val="0"/>
          <w:numId w:val="5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HEPI reports </w:t>
      </w:r>
      <w:r w:rsidR="00F9672D" w:rsidRPr="00CF5C43">
        <w:rPr>
          <w:rFonts w:ascii="Verdana" w:hAnsi="Verdana"/>
          <w:b/>
        </w:rPr>
        <w:t xml:space="preserve">serve </w:t>
      </w:r>
      <w:proofErr w:type="gramStart"/>
      <w:r w:rsidR="00F9672D" w:rsidRPr="00CF5C43">
        <w:rPr>
          <w:rFonts w:ascii="Verdana" w:hAnsi="Verdana"/>
          <w:b/>
        </w:rPr>
        <w:t>a number of</w:t>
      </w:r>
      <w:proofErr w:type="gramEnd"/>
      <w:r w:rsidR="00F9672D" w:rsidRPr="00CF5C43">
        <w:rPr>
          <w:rFonts w:ascii="Verdana" w:hAnsi="Verdana"/>
          <w:b/>
        </w:rPr>
        <w:t xml:space="preserve"> purposes.</w:t>
      </w:r>
      <w:r w:rsidR="00F9672D" w:rsidRPr="00CF5C43">
        <w:rPr>
          <w:rFonts w:ascii="Verdana" w:hAnsi="Verdana"/>
        </w:rPr>
        <w:t xml:space="preserve"> For example:</w:t>
      </w:r>
    </w:p>
    <w:p w14:paraId="4D77690D" w14:textId="77777777" w:rsidR="00F9672D" w:rsidRPr="00CF5C43" w:rsidRDefault="00F9672D" w:rsidP="00870BE1">
      <w:pPr>
        <w:ind w:left="142"/>
        <w:jc w:val="both"/>
        <w:rPr>
          <w:rFonts w:ascii="Verdana" w:hAnsi="Verdana"/>
        </w:rPr>
      </w:pPr>
    </w:p>
    <w:p w14:paraId="5784B21A" w14:textId="4A49B9E8" w:rsidR="00870BE1" w:rsidRPr="00CF5C43" w:rsidRDefault="00F9672D" w:rsidP="00BE5D7B">
      <w:pPr>
        <w:pStyle w:val="ListParagraph"/>
        <w:numPr>
          <w:ilvl w:val="0"/>
          <w:numId w:val="45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increasing </w:t>
      </w:r>
      <w:proofErr w:type="gramStart"/>
      <w:r w:rsidRPr="00CF5C43">
        <w:rPr>
          <w:rFonts w:ascii="Verdana" w:hAnsi="Verdana"/>
        </w:rPr>
        <w:t>knowledge;</w:t>
      </w:r>
      <w:proofErr w:type="gramEnd"/>
    </w:p>
    <w:p w14:paraId="7E4AB168" w14:textId="77777777" w:rsidR="00B95179" w:rsidRDefault="00870BE1" w:rsidP="00B95179">
      <w:pPr>
        <w:pStyle w:val="ListParagraph"/>
        <w:numPr>
          <w:ilvl w:val="0"/>
          <w:numId w:val="45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>bring</w:t>
      </w:r>
      <w:r w:rsidR="00F9672D" w:rsidRPr="00CF5C43">
        <w:rPr>
          <w:rFonts w:ascii="Verdana" w:hAnsi="Verdana"/>
        </w:rPr>
        <w:t>ing</w:t>
      </w:r>
      <w:r w:rsidRPr="00CF5C43">
        <w:rPr>
          <w:rFonts w:ascii="Verdana" w:hAnsi="Verdana"/>
        </w:rPr>
        <w:t xml:space="preserve"> together existing knowledge as a way of </w:t>
      </w:r>
      <w:r w:rsidR="005556D0" w:rsidRPr="00CF5C43">
        <w:rPr>
          <w:rFonts w:ascii="Verdana" w:hAnsi="Verdana"/>
        </w:rPr>
        <w:t>exploring</w:t>
      </w:r>
      <w:r w:rsidRPr="00CF5C43">
        <w:rPr>
          <w:rFonts w:ascii="Verdana" w:hAnsi="Verdana"/>
        </w:rPr>
        <w:t xml:space="preserve"> new policy </w:t>
      </w:r>
      <w:proofErr w:type="gramStart"/>
      <w:r w:rsidRPr="00CF5C43">
        <w:rPr>
          <w:rFonts w:ascii="Verdana" w:hAnsi="Verdana"/>
        </w:rPr>
        <w:t>options</w:t>
      </w:r>
      <w:r w:rsidR="00F9672D" w:rsidRPr="00CF5C43">
        <w:rPr>
          <w:rFonts w:ascii="Verdana" w:hAnsi="Verdana"/>
        </w:rPr>
        <w:t>;</w:t>
      </w:r>
      <w:proofErr w:type="gramEnd"/>
    </w:p>
    <w:p w14:paraId="6E6F980B" w14:textId="1FA45C3B" w:rsidR="00F9672D" w:rsidRPr="00B95179" w:rsidRDefault="00B95179" w:rsidP="00B95179">
      <w:pPr>
        <w:pStyle w:val="ListParagraph"/>
        <w:numPr>
          <w:ilvl w:val="0"/>
          <w:numId w:val="45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offering a guide for non-experts on topical </w:t>
      </w:r>
      <w:r>
        <w:rPr>
          <w:rFonts w:ascii="Verdana" w:hAnsi="Verdana"/>
        </w:rPr>
        <w:t>or</w:t>
      </w:r>
      <w:r w:rsidRPr="00CF5C43">
        <w:rPr>
          <w:rFonts w:ascii="Verdana" w:hAnsi="Verdana"/>
        </w:rPr>
        <w:t xml:space="preserve"> tricky </w:t>
      </w:r>
      <w:proofErr w:type="gramStart"/>
      <w:r w:rsidRPr="00CF5C43">
        <w:rPr>
          <w:rFonts w:ascii="Verdana" w:hAnsi="Verdana"/>
        </w:rPr>
        <w:t>issues</w:t>
      </w:r>
      <w:r>
        <w:rPr>
          <w:rFonts w:ascii="Verdana" w:hAnsi="Verdana"/>
        </w:rPr>
        <w:t>;</w:t>
      </w:r>
      <w:proofErr w:type="gramEnd"/>
    </w:p>
    <w:p w14:paraId="6C907F9E" w14:textId="5FEDB9F3" w:rsidR="00870BE1" w:rsidRPr="00CF5C43" w:rsidRDefault="00870BE1" w:rsidP="00BE5D7B">
      <w:pPr>
        <w:pStyle w:val="ListParagraph"/>
        <w:numPr>
          <w:ilvl w:val="0"/>
          <w:numId w:val="45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lastRenderedPageBreak/>
        <w:t>put</w:t>
      </w:r>
      <w:r w:rsidR="00F9672D" w:rsidRPr="00CF5C43">
        <w:rPr>
          <w:rFonts w:ascii="Verdana" w:hAnsi="Verdana"/>
        </w:rPr>
        <w:t>ting</w:t>
      </w:r>
      <w:r w:rsidRPr="00CF5C43">
        <w:rPr>
          <w:rFonts w:ascii="Verdana" w:hAnsi="Verdana"/>
        </w:rPr>
        <w:t xml:space="preserve"> other countries’ higher education systems under the spotlight</w:t>
      </w:r>
      <w:r w:rsidR="00F9672D" w:rsidRPr="00CF5C43">
        <w:rPr>
          <w:rFonts w:ascii="Verdana" w:hAnsi="Verdana"/>
        </w:rPr>
        <w:t xml:space="preserve"> to see what lessons there are for the UK;</w:t>
      </w:r>
      <w:r w:rsidR="00B95179">
        <w:rPr>
          <w:rFonts w:ascii="Verdana" w:hAnsi="Verdana"/>
        </w:rPr>
        <w:t xml:space="preserve"> and</w:t>
      </w:r>
    </w:p>
    <w:p w14:paraId="104CE9BB" w14:textId="264C6676" w:rsidR="00F9672D" w:rsidRDefault="00F9672D" w:rsidP="00B95179">
      <w:pPr>
        <w:pStyle w:val="ListParagraph"/>
        <w:numPr>
          <w:ilvl w:val="0"/>
          <w:numId w:val="45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providing a space for </w:t>
      </w:r>
      <w:r w:rsidR="005556D0" w:rsidRPr="00CF5C43">
        <w:rPr>
          <w:rFonts w:ascii="Verdana" w:hAnsi="Verdana"/>
        </w:rPr>
        <w:t>opinion</w:t>
      </w:r>
      <w:r w:rsidR="00870BE1" w:rsidRPr="00CF5C43">
        <w:rPr>
          <w:rFonts w:ascii="Verdana" w:hAnsi="Verdana"/>
        </w:rPr>
        <w:t xml:space="preserve"> pieces </w:t>
      </w:r>
      <w:r w:rsidRPr="00CF5C43">
        <w:rPr>
          <w:rFonts w:ascii="Verdana" w:hAnsi="Verdana"/>
        </w:rPr>
        <w:t>by people with long experience working in higher education</w:t>
      </w:r>
      <w:r w:rsidR="00B95179">
        <w:rPr>
          <w:rFonts w:ascii="Verdana" w:hAnsi="Verdana"/>
        </w:rPr>
        <w:t>.</w:t>
      </w:r>
    </w:p>
    <w:p w14:paraId="5C037E81" w14:textId="77777777" w:rsidR="00B95179" w:rsidRPr="00B95179" w:rsidRDefault="00B95179" w:rsidP="00B95179">
      <w:pPr>
        <w:jc w:val="both"/>
        <w:rPr>
          <w:rFonts w:ascii="Verdana" w:hAnsi="Verdana"/>
        </w:rPr>
      </w:pPr>
    </w:p>
    <w:p w14:paraId="3A995E5A" w14:textId="59CBA5C2" w:rsidR="00F9672D" w:rsidRPr="00CF5C43" w:rsidRDefault="00F9672D" w:rsidP="00F9672D">
      <w:pPr>
        <w:ind w:left="720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This is a non-exhaustive list. </w:t>
      </w:r>
      <w:r w:rsidR="00033007" w:rsidRPr="00CF5C43">
        <w:rPr>
          <w:rFonts w:ascii="Verdana" w:hAnsi="Verdana"/>
        </w:rPr>
        <w:t>W</w:t>
      </w:r>
      <w:r w:rsidRPr="00CF5C43">
        <w:rPr>
          <w:rFonts w:ascii="Verdana" w:hAnsi="Verdana"/>
        </w:rPr>
        <w:t xml:space="preserve">hile HEPI publications often include wholly new evidence and analysis, they can sometimes seek to </w:t>
      </w:r>
      <w:r w:rsidR="00B95179">
        <w:rPr>
          <w:rFonts w:ascii="Verdana" w:hAnsi="Verdana"/>
        </w:rPr>
        <w:t>bring</w:t>
      </w:r>
      <w:r w:rsidRPr="00CF5C43">
        <w:rPr>
          <w:rFonts w:ascii="Verdana" w:hAnsi="Verdana"/>
        </w:rPr>
        <w:t xml:space="preserve"> knowledge that is already understood </w:t>
      </w:r>
      <w:r w:rsidR="005556D0" w:rsidRPr="00CF5C43">
        <w:rPr>
          <w:rFonts w:ascii="Verdana" w:hAnsi="Verdana"/>
        </w:rPr>
        <w:t xml:space="preserve">by the </w:t>
      </w:r>
      <w:r w:rsidR="005556D0" w:rsidRPr="00CF5C43">
        <w:rPr>
          <w:rFonts w:ascii="Verdana" w:hAnsi="Verdana"/>
          <w:i/>
        </w:rPr>
        <w:t>cognoscenti</w:t>
      </w:r>
      <w:r w:rsidR="005556D0" w:rsidRPr="00CF5C43">
        <w:rPr>
          <w:rFonts w:ascii="Verdana" w:hAnsi="Verdana"/>
        </w:rPr>
        <w:t xml:space="preserve"> </w:t>
      </w:r>
      <w:r w:rsidRPr="00CF5C43">
        <w:rPr>
          <w:rFonts w:ascii="Verdana" w:hAnsi="Verdana"/>
        </w:rPr>
        <w:t>to a wider audience.</w:t>
      </w:r>
    </w:p>
    <w:p w14:paraId="05B4D7DC" w14:textId="77777777" w:rsidR="00870BE1" w:rsidRPr="00CF5C43" w:rsidRDefault="00870BE1" w:rsidP="00870BE1">
      <w:pPr>
        <w:jc w:val="both"/>
        <w:rPr>
          <w:rFonts w:ascii="Verdana" w:hAnsi="Verdana"/>
        </w:rPr>
      </w:pPr>
    </w:p>
    <w:p w14:paraId="3359FB75" w14:textId="13DE0184" w:rsidR="004A2607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HEPI publications are </w:t>
      </w:r>
      <w:r w:rsidR="008D7FE7" w:rsidRPr="00CF5C43">
        <w:rPr>
          <w:rFonts w:ascii="Verdana" w:hAnsi="Verdana"/>
          <w:b/>
        </w:rPr>
        <w:t xml:space="preserve">generally </w:t>
      </w:r>
      <w:r w:rsidR="00213E82" w:rsidRPr="00CF5C43">
        <w:rPr>
          <w:rFonts w:ascii="Verdana" w:hAnsi="Verdana"/>
          <w:b/>
        </w:rPr>
        <w:t xml:space="preserve">designed to be </w:t>
      </w:r>
      <w:r w:rsidRPr="00CF5C43">
        <w:rPr>
          <w:rFonts w:ascii="Verdana" w:hAnsi="Verdana"/>
          <w:b/>
        </w:rPr>
        <w:t>short enough to read on a single train journey.</w:t>
      </w:r>
      <w:r w:rsidRPr="00CF5C43">
        <w:rPr>
          <w:rFonts w:ascii="Verdana" w:hAnsi="Verdana"/>
        </w:rPr>
        <w:t xml:space="preserve"> Th</w:t>
      </w:r>
      <w:r w:rsidR="00820D01" w:rsidRPr="00CF5C43">
        <w:rPr>
          <w:rFonts w:ascii="Verdana" w:hAnsi="Verdana"/>
        </w:rPr>
        <w:t xml:space="preserve">is means </w:t>
      </w:r>
      <w:r w:rsidR="00213E82" w:rsidRPr="00CF5C43">
        <w:rPr>
          <w:rFonts w:ascii="Verdana" w:hAnsi="Verdana"/>
        </w:rPr>
        <w:t xml:space="preserve">we rarely publish papers of more than </w:t>
      </w:r>
      <w:r w:rsidR="00870BE1" w:rsidRPr="00CF5C43">
        <w:rPr>
          <w:rFonts w:ascii="Verdana" w:hAnsi="Verdana"/>
        </w:rPr>
        <w:t>10,000 words</w:t>
      </w:r>
      <w:r w:rsidR="00B95179">
        <w:rPr>
          <w:rFonts w:ascii="Verdana" w:hAnsi="Verdana"/>
        </w:rPr>
        <w:t>, and 6,000 to 8,000 words is generally better</w:t>
      </w:r>
      <w:r w:rsidR="00870BE1" w:rsidRPr="00CF5C43">
        <w:rPr>
          <w:rFonts w:ascii="Verdana" w:hAnsi="Verdana"/>
        </w:rPr>
        <w:t xml:space="preserve">. Remember: </w:t>
      </w:r>
      <w:r w:rsidR="003A5097" w:rsidRPr="00CF5C43">
        <w:rPr>
          <w:rFonts w:ascii="Verdana" w:hAnsi="Verdana"/>
        </w:rPr>
        <w:t>t</w:t>
      </w:r>
      <w:r w:rsidRPr="00CF5C43">
        <w:rPr>
          <w:rFonts w:ascii="Verdana" w:hAnsi="Verdana"/>
        </w:rPr>
        <w:t>here is an inverse correlation between the number of words and the likeliho</w:t>
      </w:r>
      <w:r w:rsidR="00820D01" w:rsidRPr="00CF5C43">
        <w:rPr>
          <w:rFonts w:ascii="Verdana" w:hAnsi="Verdana"/>
        </w:rPr>
        <w:t>od of readers reaching the end.</w:t>
      </w:r>
    </w:p>
    <w:p w14:paraId="24797D51" w14:textId="3050485A" w:rsidR="00870BE1" w:rsidRPr="00CF5C43" w:rsidRDefault="00870BE1" w:rsidP="00870BE1">
      <w:pPr>
        <w:rPr>
          <w:rFonts w:ascii="Verdana" w:hAnsi="Verdana"/>
        </w:rPr>
      </w:pPr>
    </w:p>
    <w:p w14:paraId="116667D4" w14:textId="4E994CA5" w:rsidR="005556D0" w:rsidRPr="00CF5C43" w:rsidRDefault="00870BE1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The art of changing minds is to use your strongest arguments to maximum effect</w:t>
      </w:r>
      <w:r w:rsidR="00B95179">
        <w:rPr>
          <w:rFonts w:ascii="Verdana" w:hAnsi="Verdana"/>
        </w:rPr>
        <w:t xml:space="preserve"> while not bludgeoning those who disagree with you</w:t>
      </w:r>
      <w:r w:rsidRPr="00CF5C43">
        <w:rPr>
          <w:rFonts w:ascii="Verdana" w:hAnsi="Verdana"/>
        </w:rPr>
        <w:t xml:space="preserve">. </w:t>
      </w:r>
      <w:r w:rsidR="00820D01" w:rsidRPr="00CF5C43">
        <w:rPr>
          <w:rFonts w:ascii="Verdana" w:hAnsi="Verdana"/>
          <w:b/>
        </w:rPr>
        <w:t>Convey the argument in memorable ways so that busy people can summarise the document in just a few sentences.</w:t>
      </w:r>
    </w:p>
    <w:p w14:paraId="20A9E451" w14:textId="77777777" w:rsidR="005556D0" w:rsidRPr="00CF5C43" w:rsidRDefault="005556D0" w:rsidP="005556D0">
      <w:pPr>
        <w:pStyle w:val="ListParagraph"/>
        <w:rPr>
          <w:rFonts w:ascii="Verdana" w:hAnsi="Verdana"/>
          <w:b/>
        </w:rPr>
      </w:pPr>
    </w:p>
    <w:p w14:paraId="1FBD6BC4" w14:textId="70503AF0" w:rsidR="00820D01" w:rsidRPr="00CF5C43" w:rsidRDefault="00820D01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To encourage people to read, digest and recall our </w:t>
      </w:r>
      <w:r w:rsidR="003A5097" w:rsidRPr="00CF5C43">
        <w:rPr>
          <w:rFonts w:ascii="Verdana" w:hAnsi="Verdana"/>
          <w:b/>
        </w:rPr>
        <w:t xml:space="preserve">longer </w:t>
      </w:r>
      <w:r w:rsidRPr="00CF5C43">
        <w:rPr>
          <w:rFonts w:ascii="Verdana" w:hAnsi="Verdana"/>
          <w:b/>
        </w:rPr>
        <w:t>reports</w:t>
      </w:r>
      <w:r w:rsidR="00B95179">
        <w:rPr>
          <w:rFonts w:ascii="Verdana" w:hAnsi="Verdana"/>
          <w:b/>
        </w:rPr>
        <w:t xml:space="preserve"> and to help time-poor people</w:t>
      </w:r>
      <w:r w:rsidRPr="00CF5C43">
        <w:rPr>
          <w:rFonts w:ascii="Verdana" w:hAnsi="Verdana"/>
          <w:b/>
        </w:rPr>
        <w:t>, authors should include an Executive Summary.</w:t>
      </w:r>
      <w:r w:rsidRPr="00CF5C43">
        <w:rPr>
          <w:rFonts w:ascii="Verdana" w:hAnsi="Verdana"/>
        </w:rPr>
        <w:t xml:space="preserve"> This counts towards the total word count.</w:t>
      </w:r>
    </w:p>
    <w:p w14:paraId="7182BDF9" w14:textId="77777777" w:rsidR="004A0D1F" w:rsidRPr="00CF5C43" w:rsidRDefault="004A0D1F" w:rsidP="004A0D1F">
      <w:pPr>
        <w:ind w:left="142"/>
        <w:jc w:val="both"/>
        <w:rPr>
          <w:rFonts w:ascii="Verdana" w:hAnsi="Verdana"/>
        </w:rPr>
      </w:pPr>
    </w:p>
    <w:p w14:paraId="4F588E25" w14:textId="2110DE8A" w:rsidR="00033007" w:rsidRPr="00CF5C43" w:rsidRDefault="00870BE1" w:rsidP="000330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The currency of policymaking is killer facts,</w:t>
      </w:r>
      <w:r w:rsidRPr="00CF5C43">
        <w:rPr>
          <w:rFonts w:ascii="Verdana" w:hAnsi="Verdana"/>
        </w:rPr>
        <w:t xml:space="preserve"> so always include some little-known or wholly new facts that are likely to grab the attention of the reader and help promote </w:t>
      </w:r>
      <w:r w:rsidR="005556D0" w:rsidRPr="00CF5C43">
        <w:rPr>
          <w:rFonts w:ascii="Verdana" w:hAnsi="Verdana"/>
        </w:rPr>
        <w:t xml:space="preserve">media coverage and wider </w:t>
      </w:r>
      <w:r w:rsidRPr="00CF5C43">
        <w:rPr>
          <w:rFonts w:ascii="Verdana" w:hAnsi="Verdana"/>
        </w:rPr>
        <w:t>discussion.</w:t>
      </w:r>
    </w:p>
    <w:p w14:paraId="13520CAB" w14:textId="77777777" w:rsidR="00033007" w:rsidRPr="00CF5C43" w:rsidRDefault="00033007" w:rsidP="00033007">
      <w:pPr>
        <w:pStyle w:val="ListParagraph"/>
        <w:rPr>
          <w:rFonts w:ascii="Verdana" w:hAnsi="Verdana"/>
          <w:color w:val="000000" w:themeColor="text1"/>
        </w:rPr>
      </w:pPr>
    </w:p>
    <w:p w14:paraId="06FA04AE" w14:textId="6C86D7D1" w:rsidR="00870BE1" w:rsidRPr="00CF5C43" w:rsidRDefault="008B6793" w:rsidP="000330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color w:val="000000" w:themeColor="text1"/>
        </w:rPr>
        <w:t>Many</w:t>
      </w:r>
      <w:r w:rsidRPr="00CF5C43">
        <w:rPr>
          <w:rFonts w:ascii="Verdana" w:hAnsi="Verdana"/>
        </w:rPr>
        <w:t xml:space="preserve"> HEPI papers are controversial in that they challenge existing assumptions and push an alternative point of view. </w:t>
      </w:r>
      <w:r w:rsidRPr="00CF5C43">
        <w:rPr>
          <w:rFonts w:ascii="Verdana" w:hAnsi="Verdana"/>
          <w:b/>
        </w:rPr>
        <w:t xml:space="preserve">Stimulating controversy can be an effective way to increase engagement, but HEPI papers </w:t>
      </w:r>
      <w:r w:rsidR="00B95179">
        <w:rPr>
          <w:rFonts w:ascii="Verdana" w:hAnsi="Verdana"/>
          <w:b/>
        </w:rPr>
        <w:t>should</w:t>
      </w:r>
      <w:r w:rsidRPr="00CF5C43">
        <w:rPr>
          <w:rFonts w:ascii="Verdana" w:hAnsi="Verdana"/>
          <w:b/>
        </w:rPr>
        <w:t xml:space="preserve"> never </w:t>
      </w:r>
      <w:r w:rsidR="00B95179">
        <w:rPr>
          <w:rFonts w:ascii="Verdana" w:hAnsi="Verdana"/>
          <w:b/>
        </w:rPr>
        <w:t xml:space="preserve">be </w:t>
      </w:r>
      <w:r w:rsidRPr="00CF5C43">
        <w:rPr>
          <w:rFonts w:ascii="Verdana" w:hAnsi="Verdana"/>
          <w:b/>
        </w:rPr>
        <w:t xml:space="preserve">controversial for the sake of it – only when the evidence </w:t>
      </w:r>
      <w:r w:rsidR="005556D0" w:rsidRPr="00CF5C43">
        <w:rPr>
          <w:rFonts w:ascii="Verdana" w:hAnsi="Verdana"/>
          <w:b/>
        </w:rPr>
        <w:t>justifies it</w:t>
      </w:r>
      <w:r w:rsidRPr="00CF5C43">
        <w:rPr>
          <w:rFonts w:ascii="Verdana" w:hAnsi="Verdana"/>
          <w:b/>
        </w:rPr>
        <w:t>.</w:t>
      </w:r>
    </w:p>
    <w:p w14:paraId="40923870" w14:textId="77777777" w:rsidR="00870BE1" w:rsidRPr="00CF5C43" w:rsidRDefault="00870BE1" w:rsidP="00870BE1">
      <w:pPr>
        <w:ind w:left="142"/>
        <w:jc w:val="both"/>
        <w:rPr>
          <w:rFonts w:ascii="Verdana" w:hAnsi="Verdana"/>
        </w:rPr>
      </w:pPr>
    </w:p>
    <w:p w14:paraId="1E108DD3" w14:textId="021FE67D" w:rsidR="004A2607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Avoid </w:t>
      </w:r>
      <w:r w:rsidR="00B95179">
        <w:rPr>
          <w:rFonts w:ascii="Verdana" w:hAnsi="Verdana"/>
          <w:b/>
        </w:rPr>
        <w:t>abbreviations</w:t>
      </w:r>
      <w:r w:rsidRPr="00CF5C43">
        <w:rPr>
          <w:rFonts w:ascii="Verdana" w:hAnsi="Verdana"/>
          <w:b/>
        </w:rPr>
        <w:t xml:space="preserve"> where</w:t>
      </w:r>
      <w:r w:rsidR="00820D01" w:rsidRPr="00CF5C43">
        <w:rPr>
          <w:rFonts w:ascii="Verdana" w:hAnsi="Verdana"/>
          <w:b/>
        </w:rPr>
        <w:t>ver</w:t>
      </w:r>
      <w:r w:rsidRPr="00CF5C43">
        <w:rPr>
          <w:rFonts w:ascii="Verdana" w:hAnsi="Verdana"/>
          <w:b/>
        </w:rPr>
        <w:t xml:space="preserve"> possible.</w:t>
      </w:r>
      <w:r w:rsidRPr="00CF5C43">
        <w:rPr>
          <w:rFonts w:ascii="Verdana" w:hAnsi="Verdana"/>
        </w:rPr>
        <w:t xml:space="preserve"> </w:t>
      </w:r>
      <w:r w:rsidR="00820D01" w:rsidRPr="00CF5C43">
        <w:rPr>
          <w:rFonts w:ascii="Verdana" w:hAnsi="Verdana"/>
        </w:rPr>
        <w:t xml:space="preserve">The only </w:t>
      </w:r>
      <w:r w:rsidR="00B95179">
        <w:rPr>
          <w:rFonts w:ascii="Verdana" w:hAnsi="Verdana"/>
        </w:rPr>
        <w:t xml:space="preserve">abbreviations </w:t>
      </w:r>
      <w:r w:rsidR="00820D01" w:rsidRPr="00CF5C43">
        <w:rPr>
          <w:rFonts w:ascii="Verdana" w:hAnsi="Verdana"/>
        </w:rPr>
        <w:t xml:space="preserve">that are </w:t>
      </w:r>
      <w:r w:rsidR="00B95179">
        <w:rPr>
          <w:rFonts w:ascii="Verdana" w:hAnsi="Verdana"/>
        </w:rPr>
        <w:t xml:space="preserve">generally </w:t>
      </w:r>
      <w:r w:rsidRPr="00CF5C43">
        <w:rPr>
          <w:rFonts w:ascii="Verdana" w:hAnsi="Verdana"/>
        </w:rPr>
        <w:t xml:space="preserve">acceptable are </w:t>
      </w:r>
      <w:r w:rsidR="00B95179">
        <w:rPr>
          <w:rFonts w:ascii="Verdana" w:hAnsi="Verdana"/>
        </w:rPr>
        <w:t xml:space="preserve">those for </w:t>
      </w:r>
      <w:r w:rsidR="005556D0" w:rsidRPr="00CF5C43">
        <w:rPr>
          <w:rFonts w:ascii="Verdana" w:hAnsi="Verdana"/>
        </w:rPr>
        <w:t>organisation</w:t>
      </w:r>
      <w:r w:rsidR="00B95179">
        <w:rPr>
          <w:rFonts w:ascii="Verdana" w:hAnsi="Verdana"/>
        </w:rPr>
        <w:t>s</w:t>
      </w:r>
      <w:r w:rsidR="005556D0" w:rsidRPr="00CF5C43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 xml:space="preserve">that eschew the longer form </w:t>
      </w:r>
      <w:r w:rsidR="005556D0" w:rsidRPr="00CF5C43">
        <w:rPr>
          <w:rFonts w:ascii="Verdana" w:hAnsi="Verdana"/>
        </w:rPr>
        <w:t>(such as UCAS</w:t>
      </w:r>
      <w:r w:rsidR="00B95179">
        <w:rPr>
          <w:rFonts w:ascii="Verdana" w:hAnsi="Verdana"/>
        </w:rPr>
        <w:t xml:space="preserve"> and the OECD</w:t>
      </w:r>
      <w:r w:rsidR="005556D0" w:rsidRPr="00CF5C43">
        <w:rPr>
          <w:rFonts w:ascii="Verdana" w:hAnsi="Verdana"/>
        </w:rPr>
        <w:t>)</w:t>
      </w:r>
      <w:r w:rsidRPr="00CF5C43">
        <w:rPr>
          <w:rFonts w:ascii="Verdana" w:hAnsi="Verdana"/>
        </w:rPr>
        <w:t xml:space="preserve">. </w:t>
      </w:r>
      <w:r w:rsidR="00820D01" w:rsidRPr="00CF5C43">
        <w:rPr>
          <w:rFonts w:ascii="Verdana" w:hAnsi="Verdana"/>
        </w:rPr>
        <w:t>E</w:t>
      </w:r>
      <w:r w:rsidRPr="00CF5C43">
        <w:rPr>
          <w:rFonts w:ascii="Verdana" w:hAnsi="Verdana"/>
        </w:rPr>
        <w:t xml:space="preserve">ven then, the name should be written out </w:t>
      </w:r>
      <w:r w:rsidR="004A0D1F" w:rsidRPr="00CF5C43">
        <w:rPr>
          <w:rFonts w:ascii="Verdana" w:hAnsi="Verdana"/>
        </w:rPr>
        <w:t xml:space="preserve">in full </w:t>
      </w:r>
      <w:r w:rsidR="00820D01" w:rsidRPr="00CF5C43">
        <w:rPr>
          <w:rFonts w:ascii="Verdana" w:hAnsi="Verdana"/>
        </w:rPr>
        <w:t xml:space="preserve">the </w:t>
      </w:r>
      <w:r w:rsidRPr="00CF5C43">
        <w:rPr>
          <w:rFonts w:ascii="Verdana" w:hAnsi="Verdana"/>
        </w:rPr>
        <w:t xml:space="preserve">first </w:t>
      </w:r>
      <w:r w:rsidR="00820D01" w:rsidRPr="00CF5C43">
        <w:rPr>
          <w:rFonts w:ascii="Verdana" w:hAnsi="Verdana"/>
        </w:rPr>
        <w:t>time</w:t>
      </w:r>
      <w:r w:rsidRPr="00CF5C43">
        <w:rPr>
          <w:rFonts w:ascii="Verdana" w:hAnsi="Verdana"/>
        </w:rPr>
        <w:t>, with the short form in brackets afterwards.</w:t>
      </w:r>
      <w:r w:rsidR="00820D01" w:rsidRPr="00CF5C43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>We write out ‘higher education’ in full, so do not use the shorthand ‘HE’. I</w:t>
      </w:r>
      <w:r w:rsidR="00820D01" w:rsidRPr="00CF5C43">
        <w:rPr>
          <w:rFonts w:ascii="Verdana" w:hAnsi="Verdana"/>
        </w:rPr>
        <w:t>f you are uncertain wheth</w:t>
      </w:r>
      <w:r w:rsidR="003A5097" w:rsidRPr="00CF5C43">
        <w:rPr>
          <w:rFonts w:ascii="Verdana" w:hAnsi="Verdana"/>
        </w:rPr>
        <w:t>er to use an acronym</w:t>
      </w:r>
      <w:r w:rsidR="00820D01" w:rsidRPr="00CF5C43">
        <w:rPr>
          <w:rFonts w:ascii="Verdana" w:hAnsi="Verdana"/>
        </w:rPr>
        <w:t>, do</w:t>
      </w:r>
      <w:r w:rsidR="003A5097" w:rsidRPr="00CF5C43">
        <w:rPr>
          <w:rFonts w:ascii="Verdana" w:hAnsi="Verdana"/>
        </w:rPr>
        <w:t xml:space="preserve"> no</w:t>
      </w:r>
      <w:r w:rsidR="00820D01" w:rsidRPr="00CF5C43">
        <w:rPr>
          <w:rFonts w:ascii="Verdana" w:hAnsi="Verdana"/>
        </w:rPr>
        <w:t>t</w:t>
      </w:r>
      <w:r w:rsidR="00346870" w:rsidRPr="00CF5C43">
        <w:rPr>
          <w:rFonts w:ascii="Verdana" w:hAnsi="Verdana"/>
        </w:rPr>
        <w:t xml:space="preserve"> do so</w:t>
      </w:r>
      <w:r w:rsidR="00820D01" w:rsidRPr="00CF5C43">
        <w:rPr>
          <w:rFonts w:ascii="Verdana" w:hAnsi="Verdana"/>
        </w:rPr>
        <w:t>.</w:t>
      </w:r>
    </w:p>
    <w:p w14:paraId="406E07A5" w14:textId="77777777" w:rsidR="004A0D1F" w:rsidRPr="00CF5C43" w:rsidRDefault="004A0D1F" w:rsidP="004A0D1F">
      <w:pPr>
        <w:ind w:left="142"/>
        <w:jc w:val="both"/>
        <w:rPr>
          <w:rFonts w:ascii="Verdana" w:hAnsi="Verdana"/>
        </w:rPr>
      </w:pPr>
    </w:p>
    <w:p w14:paraId="15DF321C" w14:textId="4F579040" w:rsidR="004A2607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We are the Higher Education Policy Institute, not the University Policy Institute.</w:t>
      </w:r>
      <w:r w:rsidRPr="00CF5C43">
        <w:rPr>
          <w:rFonts w:ascii="Verdana" w:hAnsi="Verdana"/>
        </w:rPr>
        <w:t xml:space="preserve">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we are interested in all higher education, </w:t>
      </w:r>
      <w:r w:rsidR="005556D0" w:rsidRPr="00CF5C43">
        <w:rPr>
          <w:rFonts w:ascii="Verdana" w:hAnsi="Verdana"/>
        </w:rPr>
        <w:t>including non-traditional provision and higher education delivered in further education colleges</w:t>
      </w:r>
      <w:r w:rsidR="00B95179">
        <w:rPr>
          <w:rFonts w:ascii="Verdana" w:hAnsi="Verdana"/>
        </w:rPr>
        <w:t xml:space="preserve"> – </w:t>
      </w:r>
      <w:r w:rsidRPr="00CF5C43">
        <w:rPr>
          <w:rFonts w:ascii="Verdana" w:hAnsi="Verdana"/>
        </w:rPr>
        <w:t>not only what goes on in institutions labelled universities.</w:t>
      </w:r>
    </w:p>
    <w:p w14:paraId="031231FE" w14:textId="77777777" w:rsidR="004A0D1F" w:rsidRPr="00CF5C43" w:rsidRDefault="004A0D1F" w:rsidP="004A0D1F">
      <w:pPr>
        <w:ind w:left="142"/>
        <w:jc w:val="both"/>
        <w:rPr>
          <w:rFonts w:ascii="Verdana" w:hAnsi="Verdana"/>
        </w:rPr>
      </w:pPr>
    </w:p>
    <w:p w14:paraId="60F9B227" w14:textId="77777777" w:rsidR="005556D0" w:rsidRPr="00CF5C43" w:rsidRDefault="004A2607" w:rsidP="005556D0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Remember the ‘P’ in HEPI’s name stands for ‘Policy’.</w:t>
      </w:r>
      <w:r w:rsidRPr="00CF5C43">
        <w:rPr>
          <w:rFonts w:ascii="Verdana" w:hAnsi="Verdana"/>
        </w:rPr>
        <w:t xml:space="preserve"> We are a policy organisation, so a publication that criticises without proposing better alternatives is unlikely to be publish</w:t>
      </w:r>
      <w:r w:rsidR="001C2C59" w:rsidRPr="00CF5C43">
        <w:rPr>
          <w:rFonts w:ascii="Verdana" w:hAnsi="Verdana"/>
        </w:rPr>
        <w:t>ed</w:t>
      </w:r>
      <w:r w:rsidR="00033007" w:rsidRPr="00CF5C43">
        <w:rPr>
          <w:rFonts w:ascii="Verdana" w:hAnsi="Verdana"/>
        </w:rPr>
        <w:t xml:space="preserve"> </w:t>
      </w:r>
      <w:r w:rsidR="001C2C59" w:rsidRPr="00CF5C43">
        <w:rPr>
          <w:rFonts w:ascii="Verdana" w:hAnsi="Verdana"/>
        </w:rPr>
        <w:t>by</w:t>
      </w:r>
      <w:r w:rsidR="00033007" w:rsidRPr="00CF5C43">
        <w:rPr>
          <w:rFonts w:ascii="Verdana" w:hAnsi="Verdana"/>
        </w:rPr>
        <w:t xml:space="preserve"> </w:t>
      </w:r>
      <w:r w:rsidR="001C2C59" w:rsidRPr="00CF5C43">
        <w:rPr>
          <w:rFonts w:ascii="Verdana" w:hAnsi="Verdana"/>
        </w:rPr>
        <w:t>HEPI</w:t>
      </w:r>
      <w:r w:rsidR="00820D01" w:rsidRPr="00CF5C43">
        <w:rPr>
          <w:rFonts w:ascii="Verdana" w:hAnsi="Verdana"/>
        </w:rPr>
        <w:t>: falling into this trap is the most common reason why we turn work by academics down</w:t>
      </w:r>
      <w:r w:rsidR="005556D0" w:rsidRPr="00CF5C43">
        <w:rPr>
          <w:rFonts w:ascii="Verdana" w:hAnsi="Verdana"/>
        </w:rPr>
        <w:t>.</w:t>
      </w:r>
    </w:p>
    <w:p w14:paraId="66346F43" w14:textId="77777777" w:rsidR="005556D0" w:rsidRPr="00CF5C43" w:rsidRDefault="005556D0" w:rsidP="005556D0">
      <w:pPr>
        <w:pStyle w:val="ListParagraph"/>
        <w:rPr>
          <w:rFonts w:ascii="Verdana" w:hAnsi="Verdana"/>
          <w:b/>
        </w:rPr>
      </w:pPr>
    </w:p>
    <w:p w14:paraId="2E9218F1" w14:textId="36AE8A3A" w:rsidR="004A2607" w:rsidRPr="00CF5C43" w:rsidRDefault="004A2607" w:rsidP="005556D0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>Constructive criticism is better than destructive criticism.</w:t>
      </w:r>
    </w:p>
    <w:p w14:paraId="01D550C1" w14:textId="77777777" w:rsidR="00F9672D" w:rsidRPr="00CF5C43" w:rsidRDefault="00F9672D" w:rsidP="00F9672D">
      <w:pPr>
        <w:ind w:left="142"/>
        <w:jc w:val="both"/>
        <w:rPr>
          <w:rFonts w:ascii="Verdana" w:hAnsi="Verdana"/>
        </w:rPr>
      </w:pPr>
    </w:p>
    <w:p w14:paraId="220A12FD" w14:textId="49EF010E" w:rsidR="004A2607" w:rsidRPr="00CF5C43" w:rsidRDefault="00552493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We are keen to publish output by academics more often than we have in the past. Our output is different to that of peer-reviewed journals, but we are not interested in publishing academic papers that have already been rejected by such journals </w:t>
      </w:r>
      <w:r w:rsidR="00B95179">
        <w:rPr>
          <w:rFonts w:ascii="Verdana" w:hAnsi="Verdana"/>
        </w:rPr>
        <w:t xml:space="preserve">on grounds of </w:t>
      </w:r>
      <w:r w:rsidRPr="00CF5C43">
        <w:rPr>
          <w:rFonts w:ascii="Verdana" w:hAnsi="Verdana"/>
        </w:rPr>
        <w:t xml:space="preserve">quality. </w:t>
      </w:r>
      <w:r w:rsidR="00820D01" w:rsidRPr="00CF5C43">
        <w:rPr>
          <w:rFonts w:ascii="Verdana" w:hAnsi="Verdana"/>
        </w:rPr>
        <w:t xml:space="preserve">The main differences between </w:t>
      </w:r>
      <w:r w:rsidR="004A2607" w:rsidRPr="00CF5C43">
        <w:rPr>
          <w:rFonts w:ascii="Verdana" w:hAnsi="Verdana"/>
        </w:rPr>
        <w:t xml:space="preserve">HEPI papers </w:t>
      </w:r>
      <w:r w:rsidR="00820D01" w:rsidRPr="00CF5C43">
        <w:rPr>
          <w:rFonts w:ascii="Verdana" w:hAnsi="Verdana"/>
        </w:rPr>
        <w:t xml:space="preserve">and </w:t>
      </w:r>
      <w:r w:rsidR="00591DCD" w:rsidRPr="00CF5C43">
        <w:rPr>
          <w:rFonts w:ascii="Verdana" w:hAnsi="Verdana"/>
        </w:rPr>
        <w:t xml:space="preserve">regular </w:t>
      </w:r>
      <w:r w:rsidR="004A2607" w:rsidRPr="00CF5C43">
        <w:rPr>
          <w:rFonts w:ascii="Verdana" w:hAnsi="Verdana"/>
        </w:rPr>
        <w:t xml:space="preserve">academic journal articles </w:t>
      </w:r>
      <w:r w:rsidR="00820D01" w:rsidRPr="00CF5C43">
        <w:rPr>
          <w:rFonts w:ascii="Verdana" w:hAnsi="Verdana"/>
        </w:rPr>
        <w:t>are</w:t>
      </w:r>
      <w:r w:rsidRPr="00CF5C43">
        <w:rPr>
          <w:rFonts w:ascii="Verdana" w:hAnsi="Verdana"/>
        </w:rPr>
        <w:t xml:space="preserve"> that HEPI papers</w:t>
      </w:r>
      <w:r w:rsidR="004A2607" w:rsidRPr="00CF5C43">
        <w:rPr>
          <w:rFonts w:ascii="Verdana" w:hAnsi="Verdana"/>
        </w:rPr>
        <w:t>:</w:t>
      </w:r>
    </w:p>
    <w:p w14:paraId="13EAE550" w14:textId="6693D814" w:rsidR="00F9672D" w:rsidRPr="00CF5C43" w:rsidRDefault="00F9672D" w:rsidP="00F9672D">
      <w:pPr>
        <w:jc w:val="both"/>
        <w:rPr>
          <w:rFonts w:ascii="Verdana" w:hAnsi="Verdana"/>
        </w:rPr>
      </w:pPr>
    </w:p>
    <w:p w14:paraId="778730F9" w14:textId="1FB6A985" w:rsidR="004A2607" w:rsidRPr="00CF5C43" w:rsidRDefault="004A2607" w:rsidP="009C2532">
      <w:pPr>
        <w:pStyle w:val="ListParagraph"/>
        <w:numPr>
          <w:ilvl w:val="1"/>
          <w:numId w:val="42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are written in a more accessible style for non-specialist readers </w:t>
      </w:r>
      <w:r w:rsidR="00820D01" w:rsidRPr="00CF5C43">
        <w:rPr>
          <w:rFonts w:ascii="Verdana" w:hAnsi="Verdana"/>
        </w:rPr>
        <w:t>(</w:t>
      </w:r>
      <w:r w:rsidRPr="00CF5C43">
        <w:rPr>
          <w:rFonts w:ascii="Verdana" w:hAnsi="Verdana"/>
        </w:rPr>
        <w:t>as well as specialist readers</w:t>
      </w:r>
      <w:proofErr w:type="gramStart"/>
      <w:r w:rsidR="00820D01" w:rsidRPr="00CF5C43">
        <w:rPr>
          <w:rFonts w:ascii="Verdana" w:hAnsi="Verdana"/>
        </w:rPr>
        <w:t>)</w:t>
      </w:r>
      <w:r w:rsidRPr="00CF5C43">
        <w:rPr>
          <w:rFonts w:ascii="Verdana" w:hAnsi="Verdana"/>
        </w:rPr>
        <w:t>;</w:t>
      </w:r>
      <w:proofErr w:type="gramEnd"/>
    </w:p>
    <w:p w14:paraId="2AE8BEC1" w14:textId="3D922750" w:rsidR="009C2532" w:rsidRPr="00CF5C43" w:rsidRDefault="004A2607" w:rsidP="009C2532">
      <w:pPr>
        <w:pStyle w:val="ListParagraph"/>
        <w:numPr>
          <w:ilvl w:val="1"/>
          <w:numId w:val="42"/>
        </w:numPr>
        <w:jc w:val="both"/>
        <w:rPr>
          <w:rFonts w:ascii="Verdana" w:hAnsi="Verdana"/>
        </w:rPr>
      </w:pPr>
      <w:r w:rsidRPr="00CF5C43">
        <w:rPr>
          <w:rFonts w:ascii="Verdana" w:hAnsi="Verdana"/>
        </w:rPr>
        <w:t>avoid academic terms; and</w:t>
      </w:r>
    </w:p>
    <w:p w14:paraId="6C1882C2" w14:textId="2AFAF34B" w:rsidR="004A2607" w:rsidRPr="00CF5C43" w:rsidRDefault="00820D01" w:rsidP="009C2532">
      <w:pPr>
        <w:pStyle w:val="ListParagraph"/>
        <w:numPr>
          <w:ilvl w:val="1"/>
          <w:numId w:val="42"/>
        </w:numPr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have a quicker turnaround time and </w:t>
      </w:r>
      <w:r w:rsidR="004A2607" w:rsidRPr="00CF5C43">
        <w:rPr>
          <w:rFonts w:ascii="Verdana" w:hAnsi="Verdana"/>
          <w:b/>
        </w:rPr>
        <w:t>aim to have a more rapid impact on policy.</w:t>
      </w:r>
    </w:p>
    <w:p w14:paraId="7319A543" w14:textId="77777777" w:rsidR="004A0D1F" w:rsidRPr="00CF5C43" w:rsidRDefault="004A0D1F" w:rsidP="004A0D1F">
      <w:pPr>
        <w:ind w:left="862"/>
        <w:jc w:val="both"/>
        <w:rPr>
          <w:rFonts w:ascii="Verdana" w:hAnsi="Verdana"/>
        </w:rPr>
      </w:pPr>
    </w:p>
    <w:p w14:paraId="035D323C" w14:textId="5F061AE9" w:rsidR="004A2607" w:rsidRPr="00CF5C43" w:rsidRDefault="004A2607" w:rsidP="004A260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Our future publication schedule is </w:t>
      </w:r>
      <w:r w:rsidR="003A5097" w:rsidRPr="00CF5C43">
        <w:rPr>
          <w:rFonts w:ascii="Verdana" w:hAnsi="Verdana"/>
          <w:b/>
        </w:rPr>
        <w:t xml:space="preserve">largely </w:t>
      </w:r>
      <w:r w:rsidRPr="00CF5C43">
        <w:rPr>
          <w:rFonts w:ascii="Verdana" w:hAnsi="Verdana"/>
          <w:b/>
        </w:rPr>
        <w:t xml:space="preserve">determined by </w:t>
      </w:r>
      <w:r w:rsidR="004A0D1F" w:rsidRPr="00CF5C43">
        <w:rPr>
          <w:rFonts w:ascii="Verdana" w:hAnsi="Verdana"/>
          <w:b/>
        </w:rPr>
        <w:t>HEPI’s Advisory Board and Trustees</w:t>
      </w:r>
      <w:r w:rsidR="004A0D1F" w:rsidRPr="00CF5C43">
        <w:rPr>
          <w:rFonts w:ascii="Verdana" w:hAnsi="Verdana"/>
        </w:rPr>
        <w:t xml:space="preserve">, who meet in person </w:t>
      </w:r>
      <w:r w:rsidR="001C2C59" w:rsidRPr="00CF5C43">
        <w:rPr>
          <w:rFonts w:ascii="Verdana" w:hAnsi="Verdana"/>
        </w:rPr>
        <w:t xml:space="preserve">with HEPI’s staff </w:t>
      </w:r>
      <w:r w:rsidR="004A0D1F" w:rsidRPr="00CF5C43">
        <w:rPr>
          <w:rFonts w:ascii="Verdana" w:hAnsi="Verdana"/>
        </w:rPr>
        <w:t>three</w:t>
      </w:r>
      <w:r w:rsidR="00F9672D" w:rsidRPr="00CF5C43">
        <w:rPr>
          <w:rFonts w:ascii="Verdana" w:hAnsi="Verdana"/>
        </w:rPr>
        <w:t xml:space="preserve"> times a year</w:t>
      </w:r>
      <w:r w:rsidRPr="00CF5C43">
        <w:rPr>
          <w:rFonts w:ascii="Verdana" w:hAnsi="Verdana"/>
        </w:rPr>
        <w:t>.</w:t>
      </w:r>
      <w:r w:rsidR="001C2C59" w:rsidRPr="00CF5C43">
        <w:rPr>
          <w:rFonts w:ascii="Verdana" w:hAnsi="Verdana"/>
        </w:rPr>
        <w:t xml:space="preserve"> When an issue is particularly time-sensitive, we may consult the Advisory Board and Trustees outside of their regular meeting schedule, but we aim to keep such instances to a minimum</w:t>
      </w:r>
      <w:r w:rsidR="002908A9" w:rsidRPr="00CF5C43">
        <w:rPr>
          <w:rFonts w:ascii="Verdana" w:hAnsi="Verdana"/>
        </w:rPr>
        <w:t xml:space="preserve"> and authors should not assume this will happen</w:t>
      </w:r>
      <w:r w:rsidR="001C2C59" w:rsidRPr="00CF5C43">
        <w:rPr>
          <w:rFonts w:ascii="Verdana" w:hAnsi="Verdana"/>
        </w:rPr>
        <w:t>.</w:t>
      </w:r>
    </w:p>
    <w:p w14:paraId="70D07291" w14:textId="77777777" w:rsidR="00001E07" w:rsidRPr="00CF5C43" w:rsidRDefault="00001E07" w:rsidP="00001E07">
      <w:pPr>
        <w:pStyle w:val="ListParagraph"/>
        <w:rPr>
          <w:rFonts w:ascii="Verdana" w:hAnsi="Verdana"/>
        </w:rPr>
      </w:pPr>
    </w:p>
    <w:p w14:paraId="29EB9308" w14:textId="0BDBB638" w:rsidR="002908A9" w:rsidRPr="00CF5C43" w:rsidRDefault="00001E07" w:rsidP="002908A9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We welcome reports written by people employed by other organisations. However, </w:t>
      </w:r>
      <w:r w:rsidRPr="00CF5C43">
        <w:rPr>
          <w:rFonts w:ascii="Verdana" w:hAnsi="Verdana"/>
          <w:b/>
        </w:rPr>
        <w:t>the HEPI Advisory Board is unlikely to agree to publish anything that reads like an advert for another organisation</w:t>
      </w:r>
      <w:r w:rsidRPr="00CF5C43">
        <w:rPr>
          <w:rFonts w:ascii="Verdana" w:hAnsi="Verdana"/>
        </w:rPr>
        <w:t xml:space="preserve">. Blogs that are </w:t>
      </w:r>
      <w:r w:rsidR="0097174D" w:rsidRPr="00CF5C43">
        <w:rPr>
          <w:rFonts w:ascii="Verdana" w:hAnsi="Verdana"/>
        </w:rPr>
        <w:t xml:space="preserve">disguised </w:t>
      </w:r>
      <w:r w:rsidRPr="00CF5C43">
        <w:rPr>
          <w:rFonts w:ascii="Verdana" w:hAnsi="Verdana"/>
        </w:rPr>
        <w:t xml:space="preserve">advertorials will </w:t>
      </w:r>
      <w:r w:rsidR="00346870" w:rsidRPr="00CF5C43">
        <w:rPr>
          <w:rFonts w:ascii="Verdana" w:hAnsi="Verdana"/>
        </w:rPr>
        <w:t xml:space="preserve">also </w:t>
      </w:r>
      <w:r w:rsidRPr="00CF5C43">
        <w:rPr>
          <w:rFonts w:ascii="Verdana" w:hAnsi="Verdana"/>
        </w:rPr>
        <w:t>be rejected</w:t>
      </w:r>
      <w:r w:rsidR="0097174D" w:rsidRPr="00CF5C43">
        <w:rPr>
          <w:rFonts w:ascii="Verdana" w:hAnsi="Verdana"/>
        </w:rPr>
        <w:t xml:space="preserve"> – the offer of money will make no difference</w:t>
      </w:r>
      <w:r w:rsidRPr="00CF5C43">
        <w:rPr>
          <w:rFonts w:ascii="Verdana" w:hAnsi="Verdana"/>
        </w:rPr>
        <w:t>.</w:t>
      </w:r>
    </w:p>
    <w:p w14:paraId="4D74545A" w14:textId="77777777" w:rsidR="002908A9" w:rsidRPr="00CF5C43" w:rsidRDefault="002908A9" w:rsidP="002908A9">
      <w:pPr>
        <w:pStyle w:val="ListParagraph"/>
        <w:rPr>
          <w:rFonts w:ascii="Verdana" w:hAnsi="Verdana"/>
          <w:b/>
        </w:rPr>
      </w:pPr>
    </w:p>
    <w:p w14:paraId="7804B5C6" w14:textId="217804BF" w:rsidR="002908A9" w:rsidRPr="00CF5C43" w:rsidRDefault="002908A9" w:rsidP="002908A9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b/>
        </w:rPr>
        <w:t xml:space="preserve">Feedback on our reports suggests our readers particularly value case studies. </w:t>
      </w:r>
      <w:r w:rsidR="00346870" w:rsidRPr="00CF5C43">
        <w:rPr>
          <w:rFonts w:ascii="Verdana" w:hAnsi="Verdana"/>
        </w:rPr>
        <w:t>These</w:t>
      </w:r>
      <w:r w:rsidRPr="00CF5C43">
        <w:rPr>
          <w:rFonts w:ascii="Verdana" w:hAnsi="Verdana"/>
        </w:rPr>
        <w:t xml:space="preserve"> typically explain what works and what lessons can </w:t>
      </w:r>
      <w:r w:rsidRPr="00CF5C43">
        <w:rPr>
          <w:rFonts w:ascii="Verdana" w:hAnsi="Verdana"/>
        </w:rPr>
        <w:lastRenderedPageBreak/>
        <w:t>be learnt from successful practice in institutions</w:t>
      </w:r>
      <w:r w:rsidR="00346870" w:rsidRPr="00CF5C43">
        <w:rPr>
          <w:rFonts w:ascii="Verdana" w:hAnsi="Verdana"/>
        </w:rPr>
        <w:t xml:space="preserve"> in the UK or abroad</w:t>
      </w:r>
      <w:r w:rsidRPr="00CF5C43">
        <w:rPr>
          <w:rFonts w:ascii="Verdana" w:hAnsi="Verdana"/>
        </w:rPr>
        <w:t>.</w:t>
      </w:r>
      <w:r w:rsidR="00A0304D" w:rsidRPr="00CF5C43">
        <w:rPr>
          <w:rFonts w:ascii="Verdana" w:hAnsi="Verdana"/>
        </w:rPr>
        <w:t xml:space="preserve"> However, case studies should be from a range of places and not only from the author’s own institution </w:t>
      </w:r>
    </w:p>
    <w:p w14:paraId="2ADDCD24" w14:textId="77777777" w:rsidR="00B771A8" w:rsidRPr="00CF5C43" w:rsidRDefault="00B771A8" w:rsidP="00B771A8">
      <w:pPr>
        <w:pStyle w:val="ListParagraph"/>
        <w:rPr>
          <w:rFonts w:ascii="Verdana" w:hAnsi="Verdana"/>
        </w:rPr>
      </w:pPr>
    </w:p>
    <w:p w14:paraId="2E440DE5" w14:textId="27845808" w:rsidR="003A5097" w:rsidRPr="00CF5C43" w:rsidRDefault="00B771A8" w:rsidP="003A509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Even if </w:t>
      </w:r>
      <w:r w:rsidR="00B95179">
        <w:rPr>
          <w:rFonts w:ascii="Verdana" w:hAnsi="Verdana"/>
        </w:rPr>
        <w:t xml:space="preserve">HEPI </w:t>
      </w:r>
      <w:r w:rsidRPr="00CF5C43">
        <w:rPr>
          <w:rFonts w:ascii="Verdana" w:hAnsi="Verdana"/>
        </w:rPr>
        <w:t xml:space="preserve">were producing the best research in the world, it would have no impact unless people were engaging with it.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it is crucial to consider the way in which we are likely to talk to others about your research during the entire writing process. For example, this means </w:t>
      </w:r>
      <w:r w:rsidRPr="00CF5C43">
        <w:rPr>
          <w:rFonts w:ascii="Verdana" w:hAnsi="Verdana"/>
          <w:b/>
        </w:rPr>
        <w:t>thinking throughout the writing process of what the press release on the report is likely to say when it appears</w:t>
      </w:r>
      <w:r w:rsidRPr="00CF5C43">
        <w:rPr>
          <w:rFonts w:ascii="Verdana" w:hAnsi="Verdana"/>
        </w:rPr>
        <w:t>.</w:t>
      </w:r>
    </w:p>
    <w:p w14:paraId="03D5DF8A" w14:textId="77777777" w:rsidR="003A5097" w:rsidRPr="00CF5C43" w:rsidRDefault="003A5097" w:rsidP="003A5097">
      <w:pPr>
        <w:pStyle w:val="ListParagraph"/>
        <w:rPr>
          <w:rFonts w:ascii="Verdana" w:hAnsi="Verdana"/>
        </w:rPr>
      </w:pPr>
    </w:p>
    <w:p w14:paraId="6BEFF458" w14:textId="35767282" w:rsidR="00B771A8" w:rsidRPr="008349BB" w:rsidRDefault="00B771A8" w:rsidP="003A5097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Policymakers </w:t>
      </w:r>
      <w:r w:rsidR="00346870" w:rsidRPr="00CF5C43">
        <w:rPr>
          <w:rFonts w:ascii="Verdana" w:hAnsi="Verdana"/>
        </w:rPr>
        <w:t>often</w:t>
      </w:r>
      <w:r w:rsidRPr="00CF5C43">
        <w:rPr>
          <w:rFonts w:ascii="Verdana" w:hAnsi="Verdana"/>
        </w:rPr>
        <w:t xml:space="preserve"> like to have their views confirmed by new evidence and data. Some HEPI reports will do this. But </w:t>
      </w:r>
      <w:r w:rsidRPr="00CF5C43">
        <w:rPr>
          <w:rFonts w:ascii="Verdana" w:hAnsi="Verdana"/>
          <w:b/>
        </w:rPr>
        <w:t xml:space="preserve">it is also important that we provide counter-intuitive evidence and challenging narratives where we believe policymakers </w:t>
      </w:r>
      <w:r w:rsidR="002908A9" w:rsidRPr="00CF5C43">
        <w:rPr>
          <w:rFonts w:ascii="Verdana" w:hAnsi="Verdana"/>
          <w:b/>
        </w:rPr>
        <w:t xml:space="preserve">or others </w:t>
      </w:r>
      <w:r w:rsidRPr="00CF5C43">
        <w:rPr>
          <w:rFonts w:ascii="Verdana" w:hAnsi="Verdana"/>
          <w:b/>
        </w:rPr>
        <w:t>are not following the evidence</w:t>
      </w:r>
      <w:r w:rsidRPr="00B95179">
        <w:rPr>
          <w:rFonts w:ascii="Verdana" w:hAnsi="Verdana"/>
          <w:bCs/>
        </w:rPr>
        <w:t>.</w:t>
      </w:r>
    </w:p>
    <w:p w14:paraId="390F2975" w14:textId="77777777" w:rsidR="008349BB" w:rsidRPr="008349BB" w:rsidRDefault="008349BB" w:rsidP="008349BB">
      <w:pPr>
        <w:pStyle w:val="ListParagraph"/>
        <w:rPr>
          <w:rFonts w:ascii="Verdana" w:hAnsi="Verdana"/>
        </w:rPr>
      </w:pPr>
    </w:p>
    <w:p w14:paraId="77ECACB0" w14:textId="7C1160CA" w:rsidR="008349BB" w:rsidRPr="008349BB" w:rsidRDefault="008349BB" w:rsidP="008349BB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8349BB">
        <w:rPr>
          <w:rFonts w:ascii="Verdana" w:hAnsi="Verdana"/>
        </w:rPr>
        <w:t xml:space="preserve">HEPI authors should always write about the work of others with appropriate </w:t>
      </w:r>
      <w:r w:rsidR="00B95179">
        <w:rPr>
          <w:rFonts w:ascii="Verdana" w:hAnsi="Verdana"/>
        </w:rPr>
        <w:t>regard</w:t>
      </w:r>
      <w:r w:rsidRPr="008349BB">
        <w:rPr>
          <w:rFonts w:ascii="Verdana" w:hAnsi="Verdana"/>
        </w:rPr>
        <w:t xml:space="preserve">, even when challenging </w:t>
      </w:r>
      <w:r w:rsidR="00B95179">
        <w:rPr>
          <w:rFonts w:ascii="Verdana" w:hAnsi="Verdana"/>
        </w:rPr>
        <w:t>it</w:t>
      </w:r>
      <w:r w:rsidRPr="008349BB">
        <w:rPr>
          <w:rFonts w:ascii="Verdana" w:hAnsi="Verdana"/>
        </w:rPr>
        <w:t xml:space="preserve">. </w:t>
      </w:r>
      <w:r w:rsidRPr="008349BB">
        <w:rPr>
          <w:rFonts w:ascii="Verdana" w:hAnsi="Verdana"/>
          <w:b/>
          <w:bCs/>
        </w:rPr>
        <w:t xml:space="preserve">Once a piece has been accepted for publication by HEPI, authors are </w:t>
      </w:r>
      <w:r>
        <w:rPr>
          <w:rFonts w:ascii="Verdana" w:hAnsi="Verdana"/>
          <w:b/>
          <w:bCs/>
        </w:rPr>
        <w:t>asked</w:t>
      </w:r>
      <w:r w:rsidRPr="008349BB">
        <w:rPr>
          <w:rFonts w:ascii="Verdana" w:hAnsi="Verdana"/>
          <w:b/>
          <w:bCs/>
        </w:rPr>
        <w:t xml:space="preserve"> to consider how best to engage with any institutions or individuals mentioned </w:t>
      </w:r>
      <w:r>
        <w:rPr>
          <w:rFonts w:ascii="Verdana" w:hAnsi="Verdana"/>
          <w:b/>
          <w:bCs/>
        </w:rPr>
        <w:t xml:space="preserve">substantively </w:t>
      </w:r>
      <w:r w:rsidRPr="008349BB">
        <w:rPr>
          <w:rFonts w:ascii="Verdana" w:hAnsi="Verdana"/>
          <w:b/>
          <w:bCs/>
        </w:rPr>
        <w:t xml:space="preserve">in their piece </w:t>
      </w:r>
      <w:proofErr w:type="gramStart"/>
      <w:r w:rsidRPr="008349BB">
        <w:rPr>
          <w:rFonts w:ascii="Verdana" w:hAnsi="Verdana"/>
          <w:b/>
          <w:bCs/>
        </w:rPr>
        <w:t>in order to</w:t>
      </w:r>
      <w:proofErr w:type="gramEnd"/>
      <w:r w:rsidRPr="008349BB">
        <w:rPr>
          <w:rFonts w:ascii="Verdana" w:hAnsi="Verdana"/>
          <w:b/>
          <w:bCs/>
        </w:rPr>
        <w:t xml:space="preserve"> avoid anyone being caught out unnecessarily at the time of publication.</w:t>
      </w:r>
      <w:r w:rsidRPr="008349BB">
        <w:rPr>
          <w:rFonts w:ascii="Verdana" w:hAnsi="Verdana"/>
        </w:rPr>
        <w:t xml:space="preserve"> The HEPI staff team can help provide guidance on this</w:t>
      </w:r>
      <w:r>
        <w:rPr>
          <w:rFonts w:ascii="Verdana" w:hAnsi="Verdana"/>
        </w:rPr>
        <w:t>,</w:t>
      </w:r>
      <w:r w:rsidRPr="008349BB">
        <w:rPr>
          <w:rFonts w:ascii="Verdana" w:hAnsi="Verdana"/>
        </w:rPr>
        <w:t xml:space="preserve"> but it is generally the responsibility of the author to ensure those who can and should be tipped off in advance know what is coming. </w:t>
      </w:r>
      <w:r>
        <w:rPr>
          <w:rFonts w:ascii="Verdana" w:hAnsi="Verdana"/>
        </w:rPr>
        <w:t>As HEPI is a forum for debate,</w:t>
      </w:r>
      <w:r w:rsidR="00F73045">
        <w:rPr>
          <w:rFonts w:ascii="Verdana" w:hAnsi="Verdana"/>
        </w:rPr>
        <w:t xml:space="preserve"> not a lobby group,</w:t>
      </w:r>
      <w:r>
        <w:rPr>
          <w:rFonts w:ascii="Verdana" w:hAnsi="Verdana"/>
        </w:rPr>
        <w:t xml:space="preserve"> it </w:t>
      </w:r>
      <w:r w:rsidR="00B95179">
        <w:rPr>
          <w:rFonts w:ascii="Verdana" w:hAnsi="Verdana"/>
        </w:rPr>
        <w:t>may</w:t>
      </w:r>
      <w:r>
        <w:rPr>
          <w:rFonts w:ascii="Verdana" w:hAnsi="Verdana"/>
        </w:rPr>
        <w:t xml:space="preserve"> sometimes make sense </w:t>
      </w:r>
      <w:r w:rsidRPr="008349BB">
        <w:rPr>
          <w:rFonts w:ascii="Verdana" w:hAnsi="Verdana"/>
        </w:rPr>
        <w:t xml:space="preserve">to offer </w:t>
      </w:r>
      <w:r>
        <w:rPr>
          <w:rFonts w:ascii="Verdana" w:hAnsi="Verdana"/>
        </w:rPr>
        <w:t xml:space="preserve">an institution or person </w:t>
      </w:r>
      <w:r w:rsidR="00B95179">
        <w:rPr>
          <w:rFonts w:ascii="Verdana" w:hAnsi="Verdana"/>
        </w:rPr>
        <w:t>a</w:t>
      </w:r>
      <w:r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 xml:space="preserve">right-to-reply </w:t>
      </w:r>
      <w:r w:rsidRPr="008349BB">
        <w:rPr>
          <w:rFonts w:ascii="Verdana" w:hAnsi="Verdana"/>
        </w:rPr>
        <w:t>at</w:t>
      </w:r>
      <w:r w:rsidR="00F73045">
        <w:rPr>
          <w:rFonts w:ascii="Verdana" w:hAnsi="Verdana"/>
        </w:rPr>
        <w:t xml:space="preserve"> – </w:t>
      </w:r>
      <w:r w:rsidRPr="008349BB">
        <w:rPr>
          <w:rFonts w:ascii="Verdana" w:hAnsi="Verdana"/>
        </w:rPr>
        <w:t>or close to</w:t>
      </w:r>
      <w:r w:rsidR="00F73045">
        <w:rPr>
          <w:rFonts w:ascii="Verdana" w:hAnsi="Verdana"/>
        </w:rPr>
        <w:t xml:space="preserve"> –</w:t>
      </w:r>
      <w:r w:rsidRPr="008349BB">
        <w:rPr>
          <w:rFonts w:ascii="Verdana" w:hAnsi="Verdana"/>
        </w:rPr>
        <w:t xml:space="preserve"> the time of publication via </w:t>
      </w:r>
      <w:r>
        <w:rPr>
          <w:rFonts w:ascii="Verdana" w:hAnsi="Verdana"/>
        </w:rPr>
        <w:t xml:space="preserve">other </w:t>
      </w:r>
      <w:r w:rsidRPr="008349BB">
        <w:rPr>
          <w:rFonts w:ascii="Verdana" w:hAnsi="Verdana"/>
        </w:rPr>
        <w:t>HEPI channels.</w:t>
      </w:r>
    </w:p>
    <w:p w14:paraId="1D57DB0B" w14:textId="77777777" w:rsidR="008349BB" w:rsidRPr="00CF5C43" w:rsidRDefault="008349BB" w:rsidP="008349BB">
      <w:pPr>
        <w:jc w:val="both"/>
        <w:rPr>
          <w:rFonts w:ascii="Verdana" w:hAnsi="Verdana"/>
        </w:rPr>
      </w:pPr>
    </w:p>
    <w:p w14:paraId="6F4BBFDC" w14:textId="77777777" w:rsidR="00346870" w:rsidRPr="00CF5C43" w:rsidRDefault="004A2607" w:rsidP="00346870">
      <w:pPr>
        <w:jc w:val="both"/>
        <w:rPr>
          <w:rFonts w:ascii="Verdana" w:hAnsi="Verdana"/>
          <w:i/>
        </w:rPr>
      </w:pPr>
      <w:r w:rsidRPr="00CF5C43">
        <w:rPr>
          <w:rFonts w:ascii="Verdana" w:hAnsi="Verdana"/>
          <w:i/>
        </w:rPr>
        <w:t>Language and grammar</w:t>
      </w:r>
    </w:p>
    <w:p w14:paraId="5CBD1972" w14:textId="3AF47079" w:rsidR="00346870" w:rsidRPr="00CF5C43" w:rsidRDefault="00346870" w:rsidP="00346870">
      <w:pPr>
        <w:ind w:left="142"/>
        <w:jc w:val="both"/>
        <w:rPr>
          <w:rFonts w:ascii="Verdana" w:hAnsi="Verdana"/>
        </w:rPr>
      </w:pPr>
    </w:p>
    <w:p w14:paraId="646B3498" w14:textId="0793BEA2" w:rsidR="00FF0672" w:rsidRPr="00CF5C43" w:rsidRDefault="00346870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If </w:t>
      </w:r>
      <w:r w:rsidR="004A2607" w:rsidRPr="00CF5C43">
        <w:rPr>
          <w:rFonts w:ascii="Verdana" w:hAnsi="Verdana"/>
        </w:rPr>
        <w:t xml:space="preserve">referring to the current Government or a specific Minister, use a capital letter. If referring to government in general, then use a lower-case first letter. </w:t>
      </w:r>
      <w:proofErr w:type="gramStart"/>
      <w:r w:rsidR="004A2607" w:rsidRPr="00CF5C43">
        <w:rPr>
          <w:rFonts w:ascii="Verdana" w:hAnsi="Verdana"/>
        </w:rPr>
        <w:t>So</w:t>
      </w:r>
      <w:proofErr w:type="gramEnd"/>
      <w:r w:rsidR="004A2607" w:rsidRPr="00CF5C43">
        <w:rPr>
          <w:rFonts w:ascii="Verdana" w:hAnsi="Verdana"/>
        </w:rPr>
        <w:t xml:space="preserve"> it is ‘research has long received public funding from government, including under the Coalition Government of 2010 to 2015’.</w:t>
      </w:r>
    </w:p>
    <w:p w14:paraId="4A050A5E" w14:textId="77777777" w:rsidR="00FF0672" w:rsidRPr="00CF5C43" w:rsidRDefault="00FF0672" w:rsidP="00FF0672">
      <w:pPr>
        <w:ind w:hanging="578"/>
        <w:jc w:val="both"/>
        <w:rPr>
          <w:rFonts w:ascii="Verdana" w:hAnsi="Verdana"/>
        </w:rPr>
      </w:pPr>
    </w:p>
    <w:p w14:paraId="6649E3CB" w14:textId="0360A5A7" w:rsidR="00346870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Similar rules apply to universities. When writing on universities in general, use a lower case first letter. When writing about a specific university, use a capital letter and check how the institution styles itself. For example, it is the University of Oxford but Oxford Brookes </w:t>
      </w:r>
      <w:r w:rsidRPr="00CF5C43">
        <w:rPr>
          <w:rFonts w:ascii="Verdana" w:hAnsi="Verdana"/>
        </w:rPr>
        <w:lastRenderedPageBreak/>
        <w:t>University.</w:t>
      </w:r>
      <w:r w:rsidR="00B503FB">
        <w:rPr>
          <w:rFonts w:ascii="Verdana" w:hAnsi="Verdana"/>
        </w:rPr>
        <w:t xml:space="preserve"> The term ‘higher education’ should not be capitalised</w:t>
      </w:r>
      <w:r w:rsidR="00B95179">
        <w:rPr>
          <w:rFonts w:ascii="Verdana" w:hAnsi="Verdana"/>
        </w:rPr>
        <w:t>; neither should the word ‘university’</w:t>
      </w:r>
      <w:r w:rsidR="00B503FB">
        <w:rPr>
          <w:rFonts w:ascii="Verdana" w:hAnsi="Verdana"/>
        </w:rPr>
        <w:t xml:space="preserve">. </w:t>
      </w:r>
      <w:r w:rsidR="00B95179">
        <w:rPr>
          <w:rFonts w:ascii="Verdana" w:hAnsi="Verdana"/>
        </w:rPr>
        <w:t>If</w:t>
      </w:r>
      <w:r w:rsidR="00B503FB">
        <w:rPr>
          <w:rFonts w:ascii="Verdana" w:hAnsi="Verdana"/>
        </w:rPr>
        <w:t xml:space="preserve"> in doubt</w:t>
      </w:r>
      <w:r w:rsidR="00B95179">
        <w:rPr>
          <w:rFonts w:ascii="Verdana" w:hAnsi="Verdana"/>
        </w:rPr>
        <w:t xml:space="preserve"> about this</w:t>
      </w:r>
      <w:r w:rsidR="00B503FB">
        <w:rPr>
          <w:rFonts w:ascii="Verdana" w:hAnsi="Verdana"/>
        </w:rPr>
        <w:t xml:space="preserve">, follow </w:t>
      </w:r>
      <w:r w:rsidR="00B95179">
        <w:rPr>
          <w:rFonts w:ascii="Verdana" w:hAnsi="Verdana"/>
        </w:rPr>
        <w:t>the wise</w:t>
      </w:r>
      <w:r w:rsidR="000A3657">
        <w:rPr>
          <w:rFonts w:ascii="Verdana" w:hAnsi="Verdana"/>
        </w:rPr>
        <w:t xml:space="preserve"> advice </w:t>
      </w:r>
      <w:r w:rsidR="00B95179">
        <w:rPr>
          <w:rFonts w:ascii="Verdana" w:hAnsi="Verdana"/>
        </w:rPr>
        <w:t xml:space="preserve">of </w:t>
      </w:r>
      <w:r w:rsidR="00B503FB">
        <w:rPr>
          <w:rFonts w:ascii="Verdana" w:hAnsi="Verdana"/>
        </w:rPr>
        <w:t>Mark Leach</w:t>
      </w:r>
      <w:r w:rsidR="000A3657">
        <w:rPr>
          <w:rFonts w:ascii="Verdana" w:hAnsi="Verdana"/>
        </w:rPr>
        <w:t xml:space="preserve">, the Editor-in-Chief of </w:t>
      </w:r>
      <w:proofErr w:type="spellStart"/>
      <w:r w:rsidR="000A3657">
        <w:rPr>
          <w:rFonts w:ascii="Verdana" w:hAnsi="Verdana"/>
        </w:rPr>
        <w:t>Wonkhe</w:t>
      </w:r>
      <w:proofErr w:type="spellEnd"/>
      <w:r w:rsidR="00B503FB">
        <w:rPr>
          <w:rFonts w:ascii="Verdana" w:hAnsi="Verdana"/>
        </w:rPr>
        <w:t>:</w:t>
      </w:r>
    </w:p>
    <w:p w14:paraId="702FAA1E" w14:textId="77777777" w:rsidR="00B503FB" w:rsidRDefault="00B503FB" w:rsidP="00B503FB">
      <w:pPr>
        <w:jc w:val="both"/>
        <w:rPr>
          <w:rFonts w:ascii="Verdana" w:hAnsi="Verdana"/>
        </w:rPr>
      </w:pPr>
    </w:p>
    <w:p w14:paraId="624D97F2" w14:textId="17A0FB91" w:rsidR="00B503FB" w:rsidRDefault="00B503FB" w:rsidP="00B503FB">
      <w:pPr>
        <w:ind w:left="720"/>
        <w:jc w:val="both"/>
        <w:rPr>
          <w:rFonts w:ascii="Verdana" w:hAnsi="Verdana"/>
          <w:i/>
          <w:iCs/>
        </w:rPr>
      </w:pPr>
      <w:r w:rsidRPr="00B503FB">
        <w:rPr>
          <w:rFonts w:ascii="Verdana" w:hAnsi="Verdana"/>
          <w:i/>
          <w:iCs/>
        </w:rPr>
        <w:t xml:space="preserve">People often capitalise Things They Think Are Really </w:t>
      </w:r>
      <w:proofErr w:type="gramStart"/>
      <w:r w:rsidRPr="00B503FB">
        <w:rPr>
          <w:rFonts w:ascii="Verdana" w:hAnsi="Verdana"/>
          <w:i/>
          <w:iCs/>
        </w:rPr>
        <w:t>Important</w:t>
      </w:r>
      <w:proofErr w:type="gramEnd"/>
      <w:r w:rsidRPr="00B503FB">
        <w:rPr>
          <w:rFonts w:ascii="Verdana" w:hAnsi="Verdana"/>
          <w:i/>
          <w:iCs/>
        </w:rPr>
        <w:t xml:space="preserve"> and this problem seems particularly acute in higher education. The University of </w:t>
      </w:r>
      <w:proofErr w:type="spellStart"/>
      <w:r w:rsidRPr="00B503FB">
        <w:rPr>
          <w:rFonts w:ascii="Verdana" w:hAnsi="Verdana"/>
          <w:i/>
          <w:iCs/>
        </w:rPr>
        <w:t>Flipperton</w:t>
      </w:r>
      <w:proofErr w:type="spellEnd"/>
      <w:r w:rsidRPr="00B503FB">
        <w:rPr>
          <w:rFonts w:ascii="Verdana" w:hAnsi="Verdana"/>
          <w:i/>
          <w:iCs/>
        </w:rPr>
        <w:t xml:space="preserve"> is a proper noun and that’s its title. So do go ahead and apply capitals when referring to it. But</w:t>
      </w:r>
      <w:r>
        <w:rPr>
          <w:rFonts w:ascii="Verdana" w:hAnsi="Verdana"/>
          <w:i/>
          <w:iCs/>
        </w:rPr>
        <w:t xml:space="preserve"> ‘</w:t>
      </w:r>
      <w:r w:rsidRPr="00B503FB">
        <w:rPr>
          <w:rFonts w:ascii="Verdana" w:hAnsi="Verdana"/>
          <w:i/>
          <w:iCs/>
        </w:rPr>
        <w:t>universities</w:t>
      </w:r>
      <w:r>
        <w:rPr>
          <w:rFonts w:ascii="Verdana" w:hAnsi="Verdana"/>
          <w:i/>
          <w:iCs/>
        </w:rPr>
        <w:t>’</w:t>
      </w:r>
      <w:r w:rsidRPr="00B503FB">
        <w:rPr>
          <w:rFonts w:ascii="Verdana" w:hAnsi="Verdana"/>
          <w:i/>
          <w:iCs/>
        </w:rPr>
        <w:t xml:space="preserve"> and indeed </w:t>
      </w:r>
      <w:r>
        <w:rPr>
          <w:rFonts w:ascii="Verdana" w:hAnsi="Verdana"/>
          <w:i/>
          <w:iCs/>
        </w:rPr>
        <w:t>‘</w:t>
      </w:r>
      <w:r w:rsidRPr="00B503FB">
        <w:rPr>
          <w:rFonts w:ascii="Verdana" w:hAnsi="Verdana"/>
          <w:i/>
          <w:iCs/>
        </w:rPr>
        <w:t>higher education</w:t>
      </w:r>
      <w:r>
        <w:rPr>
          <w:rFonts w:ascii="Verdana" w:hAnsi="Verdana"/>
          <w:i/>
          <w:iCs/>
        </w:rPr>
        <w:t>’</w:t>
      </w:r>
      <w:r w:rsidRPr="00B503FB">
        <w:rPr>
          <w:rFonts w:ascii="Verdana" w:hAnsi="Verdana"/>
          <w:i/>
          <w:iCs/>
        </w:rPr>
        <w:t xml:space="preserve"> are not proper nouns, and so they should not be capitalised when writing about them generically.</w:t>
      </w:r>
    </w:p>
    <w:p w14:paraId="15DFB1D6" w14:textId="77777777" w:rsidR="00B503FB" w:rsidRPr="00B503FB" w:rsidRDefault="00B503FB" w:rsidP="00B503FB">
      <w:pPr>
        <w:jc w:val="both"/>
        <w:rPr>
          <w:rFonts w:ascii="Verdana" w:hAnsi="Verdana"/>
          <w:i/>
          <w:iCs/>
        </w:rPr>
      </w:pPr>
    </w:p>
    <w:p w14:paraId="370EA1E0" w14:textId="441A1ECF" w:rsidR="00FF0672" w:rsidRPr="00CF5C43" w:rsidRDefault="00FF0672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We do not have a banned words list … but if we did it would be siloed off into a new holistic neoliberal paradigm. In other words, avoid using nouns as verbs and resist the temptation to use vague and clichéd terms. They reveal flabby thinking and conceal a clear line of argument.</w:t>
      </w:r>
    </w:p>
    <w:p w14:paraId="1CCEC431" w14:textId="77777777" w:rsidR="007311B3" w:rsidRPr="00CF5C43" w:rsidRDefault="007311B3" w:rsidP="007311B3">
      <w:pPr>
        <w:pStyle w:val="ListParagraph"/>
        <w:rPr>
          <w:rFonts w:ascii="Verdana" w:hAnsi="Verdana"/>
        </w:rPr>
      </w:pPr>
    </w:p>
    <w:p w14:paraId="22D83671" w14:textId="77777777" w:rsidR="00F73045" w:rsidRDefault="007311B3" w:rsidP="00F73045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Avoid terms like ‘this year’, ‘last March’ and ‘next election’.</w:t>
      </w:r>
      <w:r w:rsidRPr="00CF5C43">
        <w:rPr>
          <w:rFonts w:ascii="Verdana" w:hAnsi="Verdana"/>
        </w:rPr>
        <w:t xml:space="preserve"> We </w:t>
      </w:r>
      <w:r w:rsidR="00B95179">
        <w:rPr>
          <w:rFonts w:ascii="Verdana" w:hAnsi="Verdana"/>
        </w:rPr>
        <w:t>aim for</w:t>
      </w:r>
      <w:r w:rsidRPr="00CF5C43">
        <w:rPr>
          <w:rFonts w:ascii="Verdana" w:hAnsi="Verdana"/>
        </w:rPr>
        <w:t xml:space="preserve"> our reports </w:t>
      </w:r>
      <w:r w:rsidR="00B95179">
        <w:rPr>
          <w:rFonts w:ascii="Verdana" w:hAnsi="Verdana"/>
        </w:rPr>
        <w:t>to</w:t>
      </w:r>
      <w:r w:rsidRPr="00CF5C43">
        <w:rPr>
          <w:rFonts w:ascii="Verdana" w:hAnsi="Verdana"/>
        </w:rPr>
        <w:t xml:space="preserve"> have longevity and you do not know when someone will be reading what you have written.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your ‘today’ may well be far in the past for a reader.</w:t>
      </w:r>
    </w:p>
    <w:p w14:paraId="5BAD3EF4" w14:textId="77777777" w:rsidR="00F73045" w:rsidRPr="00F73045" w:rsidRDefault="00F73045" w:rsidP="00F73045">
      <w:pPr>
        <w:pStyle w:val="ListParagraph"/>
        <w:rPr>
          <w:rFonts w:ascii="Verdana" w:hAnsi="Verdana"/>
          <w:highlight w:val="yellow"/>
        </w:rPr>
      </w:pPr>
    </w:p>
    <w:p w14:paraId="2BF4EC88" w14:textId="18738594" w:rsidR="00346870" w:rsidRPr="00F73045" w:rsidRDefault="004A2607" w:rsidP="00F73045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F73045">
        <w:rPr>
          <w:rFonts w:ascii="Verdana" w:hAnsi="Verdana"/>
          <w:highlight w:val="yellow"/>
        </w:rPr>
        <w:t xml:space="preserve">While we aim for a less formal style of writing, we </w:t>
      </w:r>
      <w:r w:rsidR="0024698D" w:rsidRPr="00F73045">
        <w:rPr>
          <w:rFonts w:ascii="Verdana" w:hAnsi="Verdana"/>
          <w:highlight w:val="yellow"/>
        </w:rPr>
        <w:t xml:space="preserve">still </w:t>
      </w:r>
      <w:r w:rsidRPr="00F73045">
        <w:rPr>
          <w:rFonts w:ascii="Verdana" w:hAnsi="Verdana"/>
          <w:highlight w:val="yellow"/>
        </w:rPr>
        <w:t xml:space="preserve">avoid using contractions. </w:t>
      </w:r>
      <w:proofErr w:type="gramStart"/>
      <w:r w:rsidRPr="00F73045">
        <w:rPr>
          <w:rFonts w:ascii="Verdana" w:hAnsi="Verdana"/>
          <w:highlight w:val="yellow"/>
        </w:rPr>
        <w:t>So</w:t>
      </w:r>
      <w:proofErr w:type="gramEnd"/>
      <w:r w:rsidRPr="00F73045">
        <w:rPr>
          <w:rFonts w:ascii="Verdana" w:hAnsi="Verdana"/>
          <w:highlight w:val="yellow"/>
        </w:rPr>
        <w:t xml:space="preserve"> use two words rather than ‘don’t’, ‘didn’t’ and ‘can’t’.</w:t>
      </w:r>
    </w:p>
    <w:p w14:paraId="4EFDF75A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210C3C04" w14:textId="77777777" w:rsidR="00346870" w:rsidRPr="00CF5C43" w:rsidRDefault="00F834F0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Use prose wherever possible.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wri</w:t>
      </w:r>
      <w:r w:rsidR="00752946" w:rsidRPr="00CF5C43">
        <w:rPr>
          <w:rFonts w:ascii="Verdana" w:hAnsi="Verdana"/>
        </w:rPr>
        <w:t>te ‘for example’ rather than ‘</w:t>
      </w:r>
      <w:proofErr w:type="spellStart"/>
      <w:r w:rsidR="00752946" w:rsidRPr="00CF5C43">
        <w:rPr>
          <w:rFonts w:ascii="Verdana" w:hAnsi="Verdana"/>
        </w:rPr>
        <w:t>eg</w:t>
      </w:r>
      <w:proofErr w:type="spellEnd"/>
      <w:r w:rsidR="00752946" w:rsidRPr="00CF5C43">
        <w:rPr>
          <w:rFonts w:ascii="Verdana" w:hAnsi="Verdana"/>
        </w:rPr>
        <w:t>’ and avoid ‘</w:t>
      </w:r>
      <w:proofErr w:type="spellStart"/>
      <w:r w:rsidR="00752946" w:rsidRPr="00CF5C43">
        <w:rPr>
          <w:rFonts w:ascii="Verdana" w:hAnsi="Verdana"/>
        </w:rPr>
        <w:t>ie</w:t>
      </w:r>
      <w:proofErr w:type="spellEnd"/>
      <w:r w:rsidRPr="00CF5C43">
        <w:rPr>
          <w:rFonts w:ascii="Verdana" w:hAnsi="Verdana"/>
        </w:rPr>
        <w:t>’ and similar terms.</w:t>
      </w:r>
      <w:r w:rsidR="00752946" w:rsidRPr="00CF5C43">
        <w:rPr>
          <w:rFonts w:ascii="Verdana" w:hAnsi="Verdana"/>
        </w:rPr>
        <w:t xml:space="preserve"> Never use ‘etc’.</w:t>
      </w:r>
    </w:p>
    <w:p w14:paraId="2862068E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3CEF7F13" w14:textId="77777777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Avoid using </w:t>
      </w:r>
      <w:r w:rsidR="00820D01" w:rsidRPr="00CF5C43">
        <w:rPr>
          <w:rFonts w:ascii="Verdana" w:hAnsi="Verdana"/>
        </w:rPr>
        <w:t>‘</w:t>
      </w:r>
      <w:r w:rsidRPr="00CF5C43">
        <w:rPr>
          <w:rFonts w:ascii="Verdana" w:hAnsi="Verdana"/>
        </w:rPr>
        <w:t xml:space="preserve">speech </w:t>
      </w:r>
      <w:proofErr w:type="gramStart"/>
      <w:r w:rsidRPr="00CF5C43">
        <w:rPr>
          <w:rFonts w:ascii="Verdana" w:hAnsi="Verdana"/>
        </w:rPr>
        <w:t>marks</w:t>
      </w:r>
      <w:r w:rsidR="00820D01" w:rsidRPr="00CF5C43">
        <w:rPr>
          <w:rFonts w:ascii="Verdana" w:hAnsi="Verdana"/>
        </w:rPr>
        <w:t>’</w:t>
      </w:r>
      <w:proofErr w:type="gramEnd"/>
      <w:r w:rsidRPr="00CF5C43">
        <w:rPr>
          <w:rFonts w:ascii="Verdana" w:hAnsi="Verdana"/>
        </w:rPr>
        <w:t xml:space="preserve"> or </w:t>
      </w:r>
      <w:r w:rsidRPr="00CF5C43">
        <w:rPr>
          <w:rFonts w:ascii="Verdana" w:hAnsi="Verdana"/>
          <w:i/>
        </w:rPr>
        <w:t>italics</w:t>
      </w:r>
      <w:r w:rsidRPr="00CF5C43">
        <w:rPr>
          <w:rFonts w:ascii="Verdana" w:hAnsi="Verdana"/>
        </w:rPr>
        <w:t xml:space="preserve"> to give extra emphasis to individual words. </w:t>
      </w:r>
      <w:r w:rsidR="00820D01" w:rsidRPr="00CF5C43">
        <w:rPr>
          <w:rFonts w:ascii="Verdana" w:hAnsi="Verdana"/>
        </w:rPr>
        <w:t>C</w:t>
      </w:r>
      <w:r w:rsidRPr="00CF5C43">
        <w:rPr>
          <w:rFonts w:ascii="Verdana" w:hAnsi="Verdana"/>
        </w:rPr>
        <w:t>lear sentence</w:t>
      </w:r>
      <w:r w:rsidR="00820D01" w:rsidRPr="00CF5C43">
        <w:rPr>
          <w:rFonts w:ascii="Verdana" w:hAnsi="Verdana"/>
        </w:rPr>
        <w:t>s</w:t>
      </w:r>
      <w:r w:rsidRPr="00CF5C43">
        <w:rPr>
          <w:rFonts w:ascii="Verdana" w:hAnsi="Verdana"/>
        </w:rPr>
        <w:t xml:space="preserve"> </w:t>
      </w:r>
      <w:r w:rsidR="00820D01" w:rsidRPr="00CF5C43">
        <w:rPr>
          <w:rFonts w:ascii="Verdana" w:hAnsi="Verdana"/>
        </w:rPr>
        <w:t xml:space="preserve">do </w:t>
      </w:r>
      <w:r w:rsidRPr="00CF5C43">
        <w:rPr>
          <w:rFonts w:ascii="Verdana" w:hAnsi="Verdana"/>
        </w:rPr>
        <w:t>not need them.</w:t>
      </w:r>
    </w:p>
    <w:p w14:paraId="2EDA22E7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715D1E97" w14:textId="1D870ED0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 xml:space="preserve">Compound adjectives should </w:t>
      </w:r>
      <w:r w:rsidR="00820D01" w:rsidRPr="00CF5C43">
        <w:rPr>
          <w:rFonts w:ascii="Verdana" w:hAnsi="Verdana"/>
          <w:highlight w:val="yellow"/>
        </w:rPr>
        <w:t xml:space="preserve">generally </w:t>
      </w:r>
      <w:r w:rsidRPr="00CF5C43">
        <w:rPr>
          <w:rFonts w:ascii="Verdana" w:hAnsi="Verdana"/>
          <w:highlight w:val="yellow"/>
        </w:rPr>
        <w:t xml:space="preserve">have a </w:t>
      </w:r>
      <w:r w:rsidR="003B2B7F" w:rsidRPr="00CF5C43">
        <w:rPr>
          <w:rFonts w:ascii="Verdana" w:hAnsi="Verdana"/>
          <w:highlight w:val="yellow"/>
        </w:rPr>
        <w:t>hyphen</w:t>
      </w:r>
      <w:r w:rsidR="003B2B7F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 xml:space="preserve">– </w:t>
      </w:r>
      <w:r w:rsidR="006C47C2">
        <w:rPr>
          <w:rFonts w:ascii="Verdana" w:hAnsi="Verdana"/>
        </w:rPr>
        <w:t xml:space="preserve">for example, </w:t>
      </w:r>
      <w:r w:rsidRPr="00CF5C43">
        <w:rPr>
          <w:rFonts w:ascii="Verdana" w:hAnsi="Verdana"/>
        </w:rPr>
        <w:t>high-tariff institutions</w:t>
      </w:r>
      <w:r w:rsidR="003B2B7F">
        <w:rPr>
          <w:rFonts w:ascii="Verdana" w:hAnsi="Verdana"/>
        </w:rPr>
        <w:t>. This rule does not apply to comparative or superlative terms, such as higher tariff.</w:t>
      </w:r>
    </w:p>
    <w:p w14:paraId="60B3C407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108FE5F0" w14:textId="4E9671F6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Foreign words, unless they have been fully assimilated into English</w:t>
      </w:r>
      <w:r w:rsidR="00820D01" w:rsidRPr="00CF5C43">
        <w:rPr>
          <w:rFonts w:ascii="Verdana" w:hAnsi="Verdana"/>
        </w:rPr>
        <w:t xml:space="preserve"> for a long time</w:t>
      </w:r>
      <w:r w:rsidRPr="00CF5C43">
        <w:rPr>
          <w:rFonts w:ascii="Verdana" w:hAnsi="Verdana"/>
        </w:rPr>
        <w:t xml:space="preserve">, </w:t>
      </w:r>
      <w:r w:rsidR="00B95179">
        <w:rPr>
          <w:rFonts w:ascii="Verdana" w:hAnsi="Verdana"/>
        </w:rPr>
        <w:t>should be</w:t>
      </w:r>
      <w:r w:rsidRPr="00CF5C43">
        <w:rPr>
          <w:rFonts w:ascii="Verdana" w:hAnsi="Verdana"/>
        </w:rPr>
        <w:t xml:space="preserve"> italicised.</w:t>
      </w:r>
    </w:p>
    <w:p w14:paraId="4EC2676B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7796A9CA" w14:textId="77777777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Although ‘z’ and ‘s’ are often interchangeable in British English, we use the ‘s’ for the sake of consistency and simplicity.</w:t>
      </w:r>
      <w:r w:rsidRPr="00CF5C43">
        <w:rPr>
          <w:rFonts w:ascii="Verdana" w:hAnsi="Verdana"/>
        </w:rPr>
        <w:t xml:space="preserve">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it is ‘organised’ not ‘organized’. For this at least, do not assume your computer’s spell checker will do the job.</w:t>
      </w:r>
    </w:p>
    <w:p w14:paraId="1BB35F0E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25FACACB" w14:textId="06EA2FFB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lastRenderedPageBreak/>
        <w:t xml:space="preserve">Avoid American spellings.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use ‘the labour market’ rather than ‘the </w:t>
      </w:r>
      <w:proofErr w:type="spellStart"/>
      <w:r w:rsidRPr="00CF5C43">
        <w:rPr>
          <w:rFonts w:ascii="Verdana" w:hAnsi="Verdana"/>
        </w:rPr>
        <w:t>labor</w:t>
      </w:r>
      <w:proofErr w:type="spellEnd"/>
      <w:r w:rsidRPr="00CF5C43">
        <w:rPr>
          <w:rFonts w:ascii="Verdana" w:hAnsi="Verdana"/>
        </w:rPr>
        <w:t xml:space="preserve"> market’.</w:t>
      </w:r>
      <w:r w:rsidR="009C2532" w:rsidRPr="00CF5C43">
        <w:rPr>
          <w:rFonts w:ascii="Verdana" w:hAnsi="Verdana"/>
        </w:rPr>
        <w:t xml:space="preserve"> Making sure your software is using English (UK) rather than English (US).</w:t>
      </w:r>
    </w:p>
    <w:p w14:paraId="14DEFA45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6C820D95" w14:textId="51675CA3" w:rsidR="00346870" w:rsidRPr="00CF5C43" w:rsidRDefault="0097174D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‘Data’ </w:t>
      </w:r>
      <w:r w:rsidR="00B95179">
        <w:rPr>
          <w:rFonts w:ascii="Verdana" w:hAnsi="Verdana"/>
        </w:rPr>
        <w:t>is</w:t>
      </w:r>
      <w:r w:rsidRPr="00CF5C43">
        <w:rPr>
          <w:rFonts w:ascii="Verdana" w:hAnsi="Verdana"/>
        </w:rPr>
        <w:t xml:space="preserve"> the plural of the singular word ‘datum’. </w:t>
      </w:r>
      <w:r w:rsidR="009807BB" w:rsidRPr="00CF5C43">
        <w:rPr>
          <w:rFonts w:ascii="Verdana" w:hAnsi="Verdana"/>
        </w:rPr>
        <w:t>For this reason</w:t>
      </w:r>
      <w:r w:rsidRPr="00CF5C43">
        <w:rPr>
          <w:rFonts w:ascii="Verdana" w:hAnsi="Verdana"/>
        </w:rPr>
        <w:t xml:space="preserve">, it </w:t>
      </w:r>
      <w:r w:rsidR="00B95179">
        <w:rPr>
          <w:rFonts w:ascii="Verdana" w:hAnsi="Verdana"/>
        </w:rPr>
        <w:t xml:space="preserve">should </w:t>
      </w:r>
      <w:r w:rsidRPr="00CF5C43">
        <w:rPr>
          <w:rFonts w:ascii="Verdana" w:hAnsi="Verdana"/>
        </w:rPr>
        <w:t>take a plural verb in HEPI publications.</w:t>
      </w:r>
      <w:r w:rsidR="002E52D1" w:rsidRPr="00CF5C43">
        <w:rPr>
          <w:rFonts w:ascii="Verdana" w:hAnsi="Verdana"/>
        </w:rPr>
        <w:t xml:space="preserve"> Beware of other words which are already plurals too, such as ‘agenda’</w:t>
      </w:r>
      <w:r w:rsidR="000430A3" w:rsidRPr="00CF5C43">
        <w:rPr>
          <w:rFonts w:ascii="Verdana" w:hAnsi="Verdana"/>
        </w:rPr>
        <w:t xml:space="preserve"> – </w:t>
      </w:r>
      <w:r w:rsidR="006C47C2">
        <w:rPr>
          <w:rFonts w:ascii="Verdana" w:hAnsi="Verdana"/>
        </w:rPr>
        <w:t xml:space="preserve">try to </w:t>
      </w:r>
      <w:r w:rsidR="000430A3" w:rsidRPr="00CF5C43">
        <w:rPr>
          <w:rFonts w:ascii="Verdana" w:hAnsi="Verdana"/>
        </w:rPr>
        <w:t>avoid ‘</w:t>
      </w:r>
      <w:proofErr w:type="gramStart"/>
      <w:r w:rsidR="000430A3" w:rsidRPr="00CF5C43">
        <w:rPr>
          <w:rFonts w:ascii="Verdana" w:hAnsi="Verdana"/>
        </w:rPr>
        <w:t>agendas’</w:t>
      </w:r>
      <w:proofErr w:type="gramEnd"/>
      <w:r w:rsidR="002E52D1" w:rsidRPr="00CF5C43">
        <w:rPr>
          <w:rFonts w:ascii="Verdana" w:hAnsi="Verdana"/>
        </w:rPr>
        <w:t>.</w:t>
      </w:r>
    </w:p>
    <w:p w14:paraId="19E09876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6ADFFF83" w14:textId="2537A6D0" w:rsidR="00346870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Use standard punctuation. Dashes are </w:t>
      </w:r>
      <w:r w:rsidR="00820D01" w:rsidRPr="00CF5C43">
        <w:rPr>
          <w:rFonts w:ascii="Verdana" w:hAnsi="Verdana"/>
        </w:rPr>
        <w:t xml:space="preserve">often a clear </w:t>
      </w:r>
      <w:r w:rsidRPr="00CF5C43">
        <w:rPr>
          <w:rFonts w:ascii="Verdana" w:hAnsi="Verdana"/>
        </w:rPr>
        <w:t>way to mark out a sub-clause</w:t>
      </w:r>
      <w:r w:rsidR="002908A9" w:rsidRPr="00CF5C43">
        <w:rPr>
          <w:rFonts w:ascii="Verdana" w:hAnsi="Verdana"/>
        </w:rPr>
        <w:t xml:space="preserve"> </w:t>
      </w:r>
      <w:r w:rsidR="00532089" w:rsidRPr="00CF5C43">
        <w:rPr>
          <w:rFonts w:ascii="Verdana" w:hAnsi="Verdana"/>
        </w:rPr>
        <w:t>–</w:t>
      </w:r>
      <w:r w:rsidR="002908A9" w:rsidRPr="00CF5C43">
        <w:rPr>
          <w:rFonts w:ascii="Verdana" w:hAnsi="Verdana"/>
        </w:rPr>
        <w:t xml:space="preserve"> like this –</w:t>
      </w:r>
      <w:r w:rsidRPr="00CF5C43">
        <w:rPr>
          <w:rFonts w:ascii="Verdana" w:hAnsi="Verdana"/>
        </w:rPr>
        <w:t xml:space="preserve"> and can sometimes be used in </w:t>
      </w:r>
      <w:r w:rsidR="002908A9" w:rsidRPr="00CF5C43">
        <w:rPr>
          <w:rFonts w:ascii="Verdana" w:hAnsi="Verdana"/>
        </w:rPr>
        <w:t>preference to</w:t>
      </w:r>
      <w:r w:rsidRPr="00CF5C43">
        <w:rPr>
          <w:rFonts w:ascii="Verdana" w:hAnsi="Verdana"/>
        </w:rPr>
        <w:t xml:space="preserve"> commas.</w:t>
      </w:r>
      <w:r w:rsidR="00552493" w:rsidRPr="00CF5C43">
        <w:rPr>
          <w:rFonts w:ascii="Verdana" w:hAnsi="Verdana"/>
        </w:rPr>
        <w:t xml:space="preserve"> </w:t>
      </w:r>
      <w:r w:rsidR="00532089" w:rsidRPr="00CF5C43">
        <w:rPr>
          <w:rFonts w:ascii="Verdana" w:hAnsi="Verdana"/>
        </w:rPr>
        <w:t xml:space="preserve">We follow the common practice in the media of including a space before and after a dash. </w:t>
      </w:r>
      <w:r w:rsidR="00552493" w:rsidRPr="00CF5C43">
        <w:rPr>
          <w:rFonts w:ascii="Verdana" w:hAnsi="Verdana"/>
          <w:highlight w:val="yellow"/>
        </w:rPr>
        <w:t>Dashes are longer than hyphens.</w:t>
      </w:r>
      <w:r w:rsidR="00532089" w:rsidRPr="00CF5C43">
        <w:rPr>
          <w:rFonts w:ascii="Verdana" w:hAnsi="Verdana"/>
        </w:rPr>
        <w:t xml:space="preserve"> Never use more than two dashes in one sentence, as more than two causes confusion.</w:t>
      </w:r>
    </w:p>
    <w:p w14:paraId="57503A07" w14:textId="77777777" w:rsidR="00346870" w:rsidRPr="00CF5C43" w:rsidRDefault="00346870" w:rsidP="00FF0672">
      <w:pPr>
        <w:ind w:left="142" w:hanging="578"/>
        <w:jc w:val="both"/>
        <w:rPr>
          <w:rFonts w:ascii="Verdana" w:hAnsi="Verdana"/>
        </w:rPr>
      </w:pPr>
    </w:p>
    <w:p w14:paraId="7F2B49E0" w14:textId="1DD2E987" w:rsidR="00FF0672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Do not </w:t>
      </w:r>
      <w:proofErr w:type="gramStart"/>
      <w:r w:rsidRPr="00CF5C43">
        <w:rPr>
          <w:rFonts w:ascii="Verdana" w:hAnsi="Verdana"/>
        </w:rPr>
        <w:t>be scared of</w:t>
      </w:r>
      <w:proofErr w:type="gramEnd"/>
      <w:r w:rsidRPr="00CF5C43">
        <w:rPr>
          <w:rFonts w:ascii="Verdana" w:hAnsi="Verdana"/>
        </w:rPr>
        <w:t xml:space="preserve"> full stops. If a long sentence can be written as three sentences, do it.</w:t>
      </w:r>
      <w:r w:rsidR="002E52D1" w:rsidRPr="00CF5C43">
        <w:rPr>
          <w:rFonts w:ascii="Verdana" w:hAnsi="Verdana"/>
        </w:rPr>
        <w:t xml:space="preserve"> Although very short paragraphs are acceptable</w:t>
      </w:r>
      <w:r w:rsidR="00B95179">
        <w:rPr>
          <w:rFonts w:ascii="Verdana" w:hAnsi="Verdana"/>
        </w:rPr>
        <w:t xml:space="preserve"> and may usefully break up the text</w:t>
      </w:r>
      <w:r w:rsidR="002E52D1" w:rsidRPr="00CF5C43">
        <w:rPr>
          <w:rFonts w:ascii="Verdana" w:hAnsi="Verdana"/>
        </w:rPr>
        <w:t>, no paragraph of a standard length should be just one sentence long.</w:t>
      </w:r>
    </w:p>
    <w:p w14:paraId="2907C26E" w14:textId="77777777" w:rsidR="00FF0672" w:rsidRPr="00CF5C43" w:rsidRDefault="00FF0672" w:rsidP="00FF0672">
      <w:pPr>
        <w:ind w:left="142" w:hanging="578"/>
        <w:jc w:val="both"/>
        <w:rPr>
          <w:rFonts w:ascii="Verdana" w:hAnsi="Verdana"/>
        </w:rPr>
      </w:pPr>
    </w:p>
    <w:p w14:paraId="08F6F97B" w14:textId="0B524C39" w:rsidR="00FF0672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 xml:space="preserve">We give academic disciplines a capital letter and write them </w:t>
      </w:r>
      <w:r w:rsidR="002908A9" w:rsidRPr="00CF5C43">
        <w:rPr>
          <w:rFonts w:ascii="Verdana" w:hAnsi="Verdana"/>
          <w:highlight w:val="yellow"/>
        </w:rPr>
        <w:t xml:space="preserve">out </w:t>
      </w:r>
      <w:r w:rsidRPr="00CF5C43">
        <w:rPr>
          <w:rFonts w:ascii="Verdana" w:hAnsi="Verdana"/>
          <w:highlight w:val="yellow"/>
        </w:rPr>
        <w:t>in full</w:t>
      </w:r>
      <w:r w:rsidR="00B95179">
        <w:rPr>
          <w:rFonts w:ascii="Verdana" w:hAnsi="Verdana"/>
          <w:highlight w:val="yellow"/>
        </w:rPr>
        <w:t xml:space="preserve">. </w:t>
      </w:r>
      <w:proofErr w:type="gramStart"/>
      <w:r w:rsidR="00B95179">
        <w:rPr>
          <w:rFonts w:ascii="Verdana" w:hAnsi="Verdana"/>
          <w:highlight w:val="yellow"/>
        </w:rPr>
        <w:t>S</w:t>
      </w:r>
      <w:r w:rsidRPr="00CF5C43">
        <w:rPr>
          <w:rFonts w:ascii="Verdana" w:hAnsi="Verdana"/>
          <w:highlight w:val="yellow"/>
        </w:rPr>
        <w:t>o</w:t>
      </w:r>
      <w:proofErr w:type="gramEnd"/>
      <w:r w:rsidRPr="00CF5C43">
        <w:rPr>
          <w:rFonts w:ascii="Verdana" w:hAnsi="Verdana"/>
          <w:highlight w:val="yellow"/>
        </w:rPr>
        <w:t xml:space="preserve"> it is ‘Mathematics’, not ‘maths’.</w:t>
      </w:r>
    </w:p>
    <w:p w14:paraId="3BF60884" w14:textId="77777777" w:rsidR="00FF0672" w:rsidRPr="00CF5C43" w:rsidRDefault="00FF0672" w:rsidP="00FF0672">
      <w:pPr>
        <w:ind w:left="142" w:hanging="578"/>
        <w:jc w:val="both"/>
        <w:rPr>
          <w:rFonts w:ascii="Verdana" w:hAnsi="Verdana"/>
        </w:rPr>
      </w:pPr>
    </w:p>
    <w:p w14:paraId="2215A2C7" w14:textId="4B59E59A" w:rsidR="00FF0672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 xml:space="preserve">Many people dislike split infinitives (for example, ‘to fully understand’). Others do not care. We </w:t>
      </w:r>
      <w:r w:rsidR="00B95179">
        <w:rPr>
          <w:rFonts w:ascii="Verdana" w:hAnsi="Verdana"/>
          <w:highlight w:val="yellow"/>
        </w:rPr>
        <w:t>avoid</w:t>
      </w:r>
      <w:r w:rsidR="004A0D1F" w:rsidRPr="00CF5C43">
        <w:rPr>
          <w:rFonts w:ascii="Verdana" w:hAnsi="Verdana"/>
          <w:highlight w:val="yellow"/>
        </w:rPr>
        <w:t xml:space="preserve"> </w:t>
      </w:r>
      <w:r w:rsidRPr="00CF5C43">
        <w:rPr>
          <w:rFonts w:ascii="Verdana" w:hAnsi="Verdana"/>
          <w:highlight w:val="yellow"/>
        </w:rPr>
        <w:t>them.</w:t>
      </w:r>
    </w:p>
    <w:p w14:paraId="6377F428" w14:textId="77777777" w:rsidR="00FF0672" w:rsidRPr="00CF5C43" w:rsidRDefault="00FF0672" w:rsidP="00FF0672">
      <w:pPr>
        <w:ind w:left="142" w:hanging="578"/>
        <w:jc w:val="both"/>
        <w:rPr>
          <w:rFonts w:ascii="Verdana" w:hAnsi="Verdana"/>
        </w:rPr>
      </w:pPr>
    </w:p>
    <w:p w14:paraId="6C9C797B" w14:textId="1FECCCDC" w:rsidR="00FF0672" w:rsidRPr="00CF5C43" w:rsidRDefault="00CE5FA6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Use brackets </w:t>
      </w:r>
      <w:r w:rsidR="002908A9" w:rsidRPr="00CF5C43">
        <w:rPr>
          <w:rFonts w:ascii="Verdana" w:hAnsi="Verdana"/>
        </w:rPr>
        <w:t xml:space="preserve">very </w:t>
      </w:r>
      <w:r w:rsidRPr="00CF5C43">
        <w:rPr>
          <w:rFonts w:ascii="Verdana" w:hAnsi="Verdana"/>
        </w:rPr>
        <w:t>sparingly</w:t>
      </w:r>
      <w:r w:rsidR="00B95179">
        <w:rPr>
          <w:rFonts w:ascii="Verdana" w:hAnsi="Verdana"/>
        </w:rPr>
        <w:t xml:space="preserve"> indeed</w:t>
      </w:r>
      <w:r w:rsidRPr="00CF5C43">
        <w:rPr>
          <w:rFonts w:ascii="Verdana" w:hAnsi="Verdana"/>
        </w:rPr>
        <w:t>. Never hide a killer fact inside</w:t>
      </w:r>
      <w:r w:rsidR="00820D01" w:rsidRPr="00CF5C43">
        <w:rPr>
          <w:rFonts w:ascii="Verdana" w:hAnsi="Verdana"/>
        </w:rPr>
        <w:t xml:space="preserve"> them</w:t>
      </w:r>
      <w:r w:rsidRPr="00CF5C43">
        <w:rPr>
          <w:rFonts w:ascii="Verdana" w:hAnsi="Verdana"/>
        </w:rPr>
        <w:t>.</w:t>
      </w:r>
    </w:p>
    <w:p w14:paraId="6501B728" w14:textId="77777777" w:rsidR="005C558A" w:rsidRPr="00CF5C43" w:rsidRDefault="005C558A" w:rsidP="005C558A">
      <w:pPr>
        <w:pStyle w:val="ListParagraph"/>
        <w:rPr>
          <w:rFonts w:ascii="Verdana" w:hAnsi="Verdana"/>
        </w:rPr>
      </w:pPr>
    </w:p>
    <w:p w14:paraId="17DB5208" w14:textId="51039396" w:rsidR="00CF5C43" w:rsidRPr="00CF5C43" w:rsidRDefault="005C558A" w:rsidP="00CF5C43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Make sure apostrophes are used properly – for example, after the ‘s’ with a plural and to denote the possessive (where something is ‘of’ something else).</w:t>
      </w:r>
      <w:r w:rsidR="002E52D1" w:rsidRPr="00CF5C43">
        <w:rPr>
          <w:rFonts w:ascii="Verdana" w:hAnsi="Verdana"/>
        </w:rPr>
        <w:t xml:space="preserve"> If in doubt, they can often be avoided: </w:t>
      </w:r>
      <w:r w:rsidR="00B95179">
        <w:rPr>
          <w:rFonts w:ascii="Verdana" w:hAnsi="Verdana"/>
        </w:rPr>
        <w:t xml:space="preserve">for example, </w:t>
      </w:r>
      <w:r w:rsidR="002E52D1" w:rsidRPr="00CF5C43">
        <w:rPr>
          <w:rFonts w:ascii="Verdana" w:hAnsi="Verdana"/>
        </w:rPr>
        <w:t xml:space="preserve">‘the University of </w:t>
      </w:r>
      <w:r w:rsidR="00B95179">
        <w:rPr>
          <w:rFonts w:ascii="Verdana" w:hAnsi="Verdana"/>
        </w:rPr>
        <w:t>Edinburgh’s</w:t>
      </w:r>
      <w:r w:rsidR="002E52D1" w:rsidRPr="00CF5C43">
        <w:rPr>
          <w:rFonts w:ascii="Verdana" w:hAnsi="Verdana"/>
        </w:rPr>
        <w:t xml:space="preserve"> </w:t>
      </w:r>
      <w:proofErr w:type="gramStart"/>
      <w:r w:rsidR="002E52D1" w:rsidRPr="00CF5C43">
        <w:rPr>
          <w:rFonts w:ascii="Verdana" w:hAnsi="Verdana"/>
        </w:rPr>
        <w:t>students’</w:t>
      </w:r>
      <w:proofErr w:type="gramEnd"/>
      <w:r w:rsidR="002E52D1" w:rsidRPr="00CF5C43">
        <w:rPr>
          <w:rFonts w:ascii="Verdana" w:hAnsi="Verdana"/>
        </w:rPr>
        <w:t xml:space="preserve"> can become ‘students at the University of </w:t>
      </w:r>
      <w:r w:rsidR="00B95179">
        <w:rPr>
          <w:rFonts w:ascii="Verdana" w:hAnsi="Verdana"/>
        </w:rPr>
        <w:t>Edinburgh’</w:t>
      </w:r>
      <w:r w:rsidR="002E52D1" w:rsidRPr="00CF5C43">
        <w:rPr>
          <w:rFonts w:ascii="Verdana" w:hAnsi="Verdana"/>
        </w:rPr>
        <w:t>. Where a word already ends in ‘s’ but needs an apostrophe, we add a second ‘s’ after the apostrophe if the word would sound like it ha</w:t>
      </w:r>
      <w:r w:rsidR="00591DCD" w:rsidRPr="00CF5C43">
        <w:rPr>
          <w:rFonts w:ascii="Verdana" w:hAnsi="Verdana"/>
        </w:rPr>
        <w:t>s</w:t>
      </w:r>
      <w:r w:rsidR="002E52D1" w:rsidRPr="00CF5C43">
        <w:rPr>
          <w:rFonts w:ascii="Verdana" w:hAnsi="Verdana"/>
        </w:rPr>
        <w:t xml:space="preserve"> a second ‘s’ when read aloud. </w:t>
      </w:r>
      <w:proofErr w:type="gramStart"/>
      <w:r w:rsidR="002E52D1" w:rsidRPr="00CF5C43">
        <w:rPr>
          <w:rFonts w:ascii="Verdana" w:hAnsi="Verdana"/>
        </w:rPr>
        <w:t>So</w:t>
      </w:r>
      <w:proofErr w:type="gramEnd"/>
      <w:r w:rsidR="002E52D1" w:rsidRPr="00CF5C43">
        <w:rPr>
          <w:rFonts w:ascii="Verdana" w:hAnsi="Verdana"/>
        </w:rPr>
        <w:t xml:space="preserve"> we would write, ‘Harper Adams’s students’.</w:t>
      </w:r>
      <w:r w:rsidR="006C47C2">
        <w:rPr>
          <w:rFonts w:ascii="Verdana" w:hAnsi="Verdana"/>
        </w:rPr>
        <w:t xml:space="preserve"> Beware of St Andrews, which – for historical reasons – does not have an apostrophe in its name.</w:t>
      </w:r>
    </w:p>
    <w:p w14:paraId="53E6B16E" w14:textId="77777777" w:rsidR="00CF5C43" w:rsidRPr="00CF5C43" w:rsidRDefault="00CF5C43" w:rsidP="00CF5C43">
      <w:pPr>
        <w:ind w:left="142"/>
        <w:rPr>
          <w:rFonts w:ascii="Verdana" w:hAnsi="Verdana" w:cs="Calibri"/>
          <w:color w:val="000000"/>
        </w:rPr>
      </w:pPr>
    </w:p>
    <w:p w14:paraId="57F4EDD4" w14:textId="443D8509" w:rsidR="00CF5C43" w:rsidRPr="00CF5C43" w:rsidRDefault="00CF5C43" w:rsidP="00CF5C43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 w:cs="Calibri"/>
          <w:color w:val="000000"/>
        </w:rPr>
        <w:t xml:space="preserve">HEPI reports eschew the Oxford or serial comma, which separates the final point in a list – for example, </w:t>
      </w:r>
      <w:r w:rsidR="002A5705">
        <w:rPr>
          <w:rFonts w:ascii="Verdana" w:hAnsi="Verdana" w:cs="Calibri"/>
          <w:color w:val="000000"/>
        </w:rPr>
        <w:t xml:space="preserve">we would write </w:t>
      </w:r>
      <w:r w:rsidRPr="00CF5C43">
        <w:rPr>
          <w:rFonts w:ascii="Verdana" w:hAnsi="Verdana" w:cs="Calibri"/>
          <w:color w:val="000000"/>
        </w:rPr>
        <w:t xml:space="preserve">‘universities, colleges and schools’ </w:t>
      </w:r>
      <w:r w:rsidR="002A5705">
        <w:rPr>
          <w:rFonts w:ascii="Verdana" w:hAnsi="Verdana" w:cs="Calibri"/>
          <w:color w:val="000000"/>
        </w:rPr>
        <w:t xml:space="preserve">and not </w:t>
      </w:r>
      <w:r w:rsidRPr="00CF5C43">
        <w:rPr>
          <w:rFonts w:ascii="Verdana" w:hAnsi="Verdana" w:cs="Calibri"/>
          <w:color w:val="000000"/>
        </w:rPr>
        <w:t>‘universities, colleges</w:t>
      </w:r>
      <w:r w:rsidR="002A5705">
        <w:rPr>
          <w:rFonts w:ascii="Verdana" w:hAnsi="Verdana" w:cs="Calibri"/>
          <w:color w:val="000000"/>
        </w:rPr>
        <w:t>,</w:t>
      </w:r>
      <w:r w:rsidRPr="00CF5C43">
        <w:rPr>
          <w:rFonts w:ascii="Verdana" w:hAnsi="Verdana" w:cs="Calibri"/>
          <w:color w:val="000000"/>
        </w:rPr>
        <w:t xml:space="preserve"> and </w:t>
      </w:r>
      <w:proofErr w:type="gramStart"/>
      <w:r w:rsidRPr="00CF5C43">
        <w:rPr>
          <w:rFonts w:ascii="Verdana" w:hAnsi="Verdana" w:cs="Calibri"/>
          <w:color w:val="000000"/>
        </w:rPr>
        <w:t>schools’</w:t>
      </w:r>
      <w:proofErr w:type="gramEnd"/>
      <w:r w:rsidR="002A5705">
        <w:rPr>
          <w:rFonts w:ascii="Verdana" w:hAnsi="Verdana" w:cs="Calibri"/>
          <w:color w:val="000000"/>
        </w:rPr>
        <w:t xml:space="preserve">. The only time </w:t>
      </w:r>
      <w:r w:rsidR="002A5705">
        <w:rPr>
          <w:rFonts w:ascii="Verdana" w:hAnsi="Verdana" w:cs="Calibri"/>
          <w:color w:val="000000"/>
        </w:rPr>
        <w:lastRenderedPageBreak/>
        <w:t xml:space="preserve">an Oxford comma should be used is when it is </w:t>
      </w:r>
      <w:proofErr w:type="gramStart"/>
      <w:r w:rsidR="00B95179">
        <w:rPr>
          <w:rFonts w:ascii="Verdana" w:hAnsi="Verdana" w:cs="Calibri"/>
          <w:color w:val="000000"/>
        </w:rPr>
        <w:t xml:space="preserve">absolutely </w:t>
      </w:r>
      <w:r w:rsidR="002A5705">
        <w:rPr>
          <w:rFonts w:ascii="Verdana" w:hAnsi="Verdana" w:cs="Calibri"/>
          <w:color w:val="000000"/>
        </w:rPr>
        <w:t>necessary</w:t>
      </w:r>
      <w:proofErr w:type="gramEnd"/>
      <w:r w:rsidR="002A5705">
        <w:rPr>
          <w:rFonts w:ascii="Verdana" w:hAnsi="Verdana" w:cs="Calibri"/>
          <w:color w:val="000000"/>
        </w:rPr>
        <w:t xml:space="preserve"> to ensure understanding</w:t>
      </w:r>
      <w:r w:rsidR="00B95179">
        <w:rPr>
          <w:rFonts w:ascii="Verdana" w:hAnsi="Verdana" w:cs="Calibri"/>
          <w:color w:val="000000"/>
        </w:rPr>
        <w:t>, which is rare</w:t>
      </w:r>
      <w:r w:rsidR="002A5705">
        <w:rPr>
          <w:rFonts w:ascii="Verdana" w:hAnsi="Verdana" w:cs="Calibri"/>
          <w:color w:val="000000"/>
        </w:rPr>
        <w:t>.</w:t>
      </w:r>
    </w:p>
    <w:p w14:paraId="6A54CD35" w14:textId="77777777" w:rsidR="00CF5C43" w:rsidRPr="00CF5C43" w:rsidRDefault="00CF5C43" w:rsidP="00CF5C43">
      <w:pPr>
        <w:rPr>
          <w:rFonts w:ascii="Verdana" w:hAnsi="Verdana"/>
        </w:rPr>
      </w:pPr>
    </w:p>
    <w:p w14:paraId="4B1D151F" w14:textId="08434386" w:rsidR="00FF0672" w:rsidRPr="00CF5C43" w:rsidRDefault="003A509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Avoid putting a double space after one sentence and before the next, as was common in the days of typewriters. Leave it to our designers </w:t>
      </w:r>
      <w:r w:rsidR="002908A9" w:rsidRPr="00CF5C43">
        <w:rPr>
          <w:rFonts w:ascii="Verdana" w:hAnsi="Verdana"/>
        </w:rPr>
        <w:t>to</w:t>
      </w:r>
      <w:r w:rsidRPr="00CF5C43">
        <w:rPr>
          <w:rFonts w:ascii="Verdana" w:hAnsi="Verdana"/>
        </w:rPr>
        <w:t xml:space="preserve"> work out the right spacing between words.</w:t>
      </w:r>
    </w:p>
    <w:p w14:paraId="7833D935" w14:textId="77777777" w:rsidR="00E81F7D" w:rsidRPr="00CF5C43" w:rsidRDefault="00E81F7D" w:rsidP="00CF5C43">
      <w:pPr>
        <w:rPr>
          <w:rFonts w:ascii="Verdana" w:hAnsi="Verdana"/>
        </w:rPr>
      </w:pPr>
    </w:p>
    <w:p w14:paraId="17822E38" w14:textId="278A3896" w:rsidR="00E81F7D" w:rsidRPr="00CF5C43" w:rsidRDefault="00E81F7D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We often receive draft papers where the word ‘that’ is </w:t>
      </w:r>
      <w:r w:rsidR="00B95179">
        <w:rPr>
          <w:rFonts w:ascii="Verdana" w:hAnsi="Verdana"/>
        </w:rPr>
        <w:t>sprinkled</w:t>
      </w:r>
      <w:r w:rsidRPr="00CF5C43">
        <w:rPr>
          <w:rFonts w:ascii="Verdana" w:hAnsi="Verdana"/>
        </w:rPr>
        <w:t xml:space="preserve"> liberally around the text like </w:t>
      </w:r>
      <w:r w:rsidR="00B95179">
        <w:rPr>
          <w:rFonts w:ascii="Verdana" w:hAnsi="Verdana"/>
        </w:rPr>
        <w:t>salt</w:t>
      </w:r>
      <w:r w:rsidRPr="00CF5C43">
        <w:rPr>
          <w:rFonts w:ascii="Verdana" w:hAnsi="Verdana"/>
        </w:rPr>
        <w:t xml:space="preserve">, sometimes appearing hundreds of times in one short paper. </w:t>
      </w:r>
      <w:r w:rsidR="00AC0305" w:rsidRPr="00CF5C43">
        <w:rPr>
          <w:rFonts w:ascii="Verdana" w:hAnsi="Verdana"/>
        </w:rPr>
        <w:t xml:space="preserve">While the word </w:t>
      </w:r>
      <w:r w:rsidR="00591DCD" w:rsidRPr="00CF5C43">
        <w:rPr>
          <w:rFonts w:ascii="Verdana" w:hAnsi="Verdana"/>
        </w:rPr>
        <w:t>can sometimes</w:t>
      </w:r>
      <w:r w:rsidR="00AC0305" w:rsidRPr="00CF5C43">
        <w:rPr>
          <w:rFonts w:ascii="Verdana" w:hAnsi="Verdana"/>
        </w:rPr>
        <w:t xml:space="preserve"> aid reading, its overuse</w:t>
      </w:r>
      <w:r w:rsidRPr="00CF5C43">
        <w:rPr>
          <w:rFonts w:ascii="Verdana" w:hAnsi="Verdana"/>
        </w:rPr>
        <w:t xml:space="preserve"> is </w:t>
      </w:r>
      <w:r w:rsidR="00AC0305" w:rsidRPr="00CF5C43">
        <w:rPr>
          <w:rFonts w:ascii="Verdana" w:hAnsi="Verdana"/>
        </w:rPr>
        <w:t xml:space="preserve">diverting and </w:t>
      </w:r>
      <w:proofErr w:type="gramStart"/>
      <w:r w:rsidRPr="00CF5C43">
        <w:rPr>
          <w:rFonts w:ascii="Verdana" w:hAnsi="Verdana"/>
        </w:rPr>
        <w:t>counter-productive</w:t>
      </w:r>
      <w:proofErr w:type="gramEnd"/>
      <w:r w:rsidRPr="00CF5C43">
        <w:rPr>
          <w:rFonts w:ascii="Verdana" w:hAnsi="Verdana"/>
        </w:rPr>
        <w:t>.</w:t>
      </w:r>
    </w:p>
    <w:p w14:paraId="35C03262" w14:textId="77777777" w:rsidR="00FF0672" w:rsidRPr="00CF5C43" w:rsidRDefault="00FF0672" w:rsidP="00FF0672">
      <w:pPr>
        <w:pStyle w:val="ListParagraph"/>
        <w:rPr>
          <w:rFonts w:ascii="Verdana" w:hAnsi="Verdana"/>
        </w:rPr>
      </w:pPr>
    </w:p>
    <w:p w14:paraId="0912CECB" w14:textId="77777777" w:rsidR="006C47C2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 xml:space="preserve">If in doubt about anything else, consult the </w:t>
      </w:r>
      <w:hyperlink r:id="rId7" w:history="1">
        <w:r w:rsidRPr="00CF5C43">
          <w:rPr>
            <w:rStyle w:val="Hyperlink"/>
            <w:rFonts w:ascii="Verdana" w:hAnsi="Verdana"/>
            <w:i/>
          </w:rPr>
          <w:t>Guardian</w:t>
        </w:r>
        <w:r w:rsidR="008A6CBE" w:rsidRPr="00CF5C43">
          <w:rPr>
            <w:rStyle w:val="Hyperlink"/>
            <w:rFonts w:ascii="Verdana" w:hAnsi="Verdana"/>
            <w:i/>
          </w:rPr>
          <w:t xml:space="preserve"> / Observer</w:t>
        </w:r>
        <w:r w:rsidRPr="00CF5C43">
          <w:rPr>
            <w:rStyle w:val="Hyperlink"/>
            <w:rFonts w:ascii="Verdana" w:hAnsi="Verdana"/>
          </w:rPr>
          <w:t xml:space="preserve"> </w:t>
        </w:r>
        <w:r w:rsidR="008A6CBE" w:rsidRPr="00CF5C43">
          <w:rPr>
            <w:rStyle w:val="Hyperlink"/>
            <w:rFonts w:ascii="Verdana" w:hAnsi="Verdana"/>
          </w:rPr>
          <w:t>S</w:t>
        </w:r>
        <w:r w:rsidRPr="00CF5C43">
          <w:rPr>
            <w:rStyle w:val="Hyperlink"/>
            <w:rFonts w:ascii="Verdana" w:hAnsi="Verdana"/>
          </w:rPr>
          <w:t xml:space="preserve">tyle </w:t>
        </w:r>
        <w:r w:rsidR="008A6CBE" w:rsidRPr="00CF5C43">
          <w:rPr>
            <w:rStyle w:val="Hyperlink"/>
            <w:rFonts w:ascii="Verdana" w:hAnsi="Verdana"/>
          </w:rPr>
          <w:t>G</w:t>
        </w:r>
        <w:r w:rsidRPr="00CF5C43">
          <w:rPr>
            <w:rStyle w:val="Hyperlink"/>
            <w:rFonts w:ascii="Verdana" w:hAnsi="Verdana"/>
          </w:rPr>
          <w:t>uide</w:t>
        </w:r>
      </w:hyperlink>
      <w:r w:rsidRPr="00CF5C43">
        <w:rPr>
          <w:rFonts w:ascii="Verdana" w:hAnsi="Verdana"/>
        </w:rPr>
        <w:t>, w</w:t>
      </w:r>
      <w:r w:rsidR="00820D01" w:rsidRPr="00CF5C43">
        <w:rPr>
          <w:rFonts w:ascii="Verdana" w:hAnsi="Verdana"/>
        </w:rPr>
        <w:t>hich is freely available online</w:t>
      </w:r>
      <w:r w:rsidR="001C2C59" w:rsidRPr="00CF5C43">
        <w:rPr>
          <w:rFonts w:ascii="Verdana" w:hAnsi="Verdana"/>
        </w:rPr>
        <w:t>.</w:t>
      </w:r>
    </w:p>
    <w:p w14:paraId="319404A9" w14:textId="77777777" w:rsidR="006C47C2" w:rsidRPr="006C47C2" w:rsidRDefault="006C47C2" w:rsidP="006C47C2">
      <w:pPr>
        <w:pStyle w:val="ListParagraph"/>
        <w:rPr>
          <w:rFonts w:ascii="Verdana" w:hAnsi="Verdana"/>
        </w:rPr>
      </w:pPr>
    </w:p>
    <w:p w14:paraId="74D2349E" w14:textId="4757A99D" w:rsidR="004A2607" w:rsidRPr="00CF5C43" w:rsidRDefault="001C2C59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T</w:t>
      </w:r>
      <w:r w:rsidR="00820D01" w:rsidRPr="00CF5C43">
        <w:rPr>
          <w:rFonts w:ascii="Verdana" w:hAnsi="Verdana"/>
        </w:rPr>
        <w:t xml:space="preserve">he </w:t>
      </w:r>
      <w:r w:rsidR="004A2607" w:rsidRPr="00CF5C43">
        <w:rPr>
          <w:rFonts w:ascii="Verdana" w:hAnsi="Verdana"/>
          <w:i/>
        </w:rPr>
        <w:t>Economist</w:t>
      </w:r>
      <w:r w:rsidR="004A2607" w:rsidRPr="00CF5C43">
        <w:rPr>
          <w:rFonts w:ascii="Verdana" w:hAnsi="Verdana"/>
        </w:rPr>
        <w:t xml:space="preserve"> style guide </w:t>
      </w:r>
      <w:r w:rsidRPr="00CF5C43">
        <w:rPr>
          <w:rFonts w:ascii="Verdana" w:hAnsi="Verdana"/>
        </w:rPr>
        <w:t>is also useful. It</w:t>
      </w:r>
      <w:r w:rsidR="00820D01" w:rsidRPr="00CF5C43">
        <w:rPr>
          <w:rFonts w:ascii="Verdana" w:hAnsi="Verdana"/>
        </w:rPr>
        <w:t xml:space="preserve"> </w:t>
      </w:r>
      <w:r w:rsidR="004A2607" w:rsidRPr="00CF5C43">
        <w:rPr>
          <w:rFonts w:ascii="Verdana" w:hAnsi="Verdana"/>
        </w:rPr>
        <w:t xml:space="preserve">refers to the </w:t>
      </w:r>
      <w:r w:rsidRPr="00CF5C43">
        <w:rPr>
          <w:rFonts w:ascii="Verdana" w:hAnsi="Verdana"/>
        </w:rPr>
        <w:t>old-but-</w:t>
      </w:r>
      <w:r w:rsidR="004A2607" w:rsidRPr="00CF5C43">
        <w:rPr>
          <w:rFonts w:ascii="Verdana" w:hAnsi="Verdana"/>
        </w:rPr>
        <w:t>valuable advice that ‘it is usually easier to write a double negative than it is to interpret it.’</w:t>
      </w:r>
    </w:p>
    <w:p w14:paraId="3F3980D1" w14:textId="77777777" w:rsidR="004A2607" w:rsidRPr="00CF5C43" w:rsidRDefault="004A2607" w:rsidP="004A2607">
      <w:pPr>
        <w:ind w:hanging="436"/>
        <w:jc w:val="both"/>
        <w:rPr>
          <w:rFonts w:ascii="Verdana" w:hAnsi="Verdana"/>
        </w:rPr>
      </w:pPr>
    </w:p>
    <w:p w14:paraId="1C0FAFAA" w14:textId="77777777" w:rsidR="004A2607" w:rsidRPr="00CF5C43" w:rsidRDefault="004A2607" w:rsidP="004A2607">
      <w:pPr>
        <w:jc w:val="both"/>
        <w:rPr>
          <w:rFonts w:ascii="Verdana" w:hAnsi="Verdana"/>
          <w:i/>
        </w:rPr>
      </w:pPr>
      <w:r w:rsidRPr="00CF5C43">
        <w:rPr>
          <w:rFonts w:ascii="Verdana" w:hAnsi="Verdana"/>
          <w:i/>
        </w:rPr>
        <w:t>Formatting</w:t>
      </w:r>
    </w:p>
    <w:p w14:paraId="20D2C927" w14:textId="77777777" w:rsidR="004A2607" w:rsidRPr="00CF5C43" w:rsidRDefault="004A2607" w:rsidP="004A2607">
      <w:pPr>
        <w:ind w:hanging="436"/>
        <w:jc w:val="both"/>
        <w:rPr>
          <w:rFonts w:ascii="Verdana" w:hAnsi="Verdana"/>
        </w:rPr>
      </w:pPr>
    </w:p>
    <w:p w14:paraId="7CA20CDB" w14:textId="4DE88E94" w:rsidR="004A0D1F" w:rsidRPr="00CF5C43" w:rsidRDefault="00D6113B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B95179">
        <w:rPr>
          <w:rFonts w:ascii="Verdana" w:hAnsi="Verdana"/>
          <w:b/>
          <w:bCs/>
          <w:highlight w:val="yellow"/>
        </w:rPr>
        <w:t>Do not use</w:t>
      </w:r>
      <w:r w:rsidR="004A0D1F" w:rsidRPr="00B95179">
        <w:rPr>
          <w:rFonts w:ascii="Verdana" w:hAnsi="Verdana"/>
          <w:b/>
          <w:bCs/>
          <w:highlight w:val="yellow"/>
        </w:rPr>
        <w:t xml:space="preserve"> </w:t>
      </w:r>
      <w:r w:rsidR="00820D01" w:rsidRPr="00B95179">
        <w:rPr>
          <w:rFonts w:ascii="Verdana" w:hAnsi="Verdana"/>
          <w:b/>
          <w:bCs/>
          <w:highlight w:val="yellow"/>
        </w:rPr>
        <w:t>complex</w:t>
      </w:r>
      <w:r w:rsidR="004A0D1F" w:rsidRPr="00B95179">
        <w:rPr>
          <w:rFonts w:ascii="Verdana" w:hAnsi="Verdana"/>
          <w:b/>
          <w:bCs/>
          <w:highlight w:val="yellow"/>
        </w:rPr>
        <w:t xml:space="preserve"> formatting, such as coloured subtitles</w:t>
      </w:r>
      <w:r w:rsidRPr="00B95179">
        <w:rPr>
          <w:rFonts w:ascii="Verdana" w:hAnsi="Verdana"/>
          <w:b/>
          <w:bCs/>
          <w:highlight w:val="yellow"/>
        </w:rPr>
        <w:t>. Please also avoid</w:t>
      </w:r>
      <w:r w:rsidR="004A0D1F" w:rsidRPr="00B95179">
        <w:rPr>
          <w:rFonts w:ascii="Verdana" w:hAnsi="Verdana"/>
          <w:b/>
          <w:bCs/>
          <w:highlight w:val="yellow"/>
        </w:rPr>
        <w:t xml:space="preserve"> </w:t>
      </w:r>
      <w:r w:rsidRPr="00B95179">
        <w:rPr>
          <w:rFonts w:ascii="Verdana" w:hAnsi="Verdana"/>
          <w:b/>
          <w:bCs/>
          <w:highlight w:val="yellow"/>
        </w:rPr>
        <w:t xml:space="preserve">Microsoft’s document templates, as features like </w:t>
      </w:r>
      <w:r w:rsidR="004A0D1F" w:rsidRPr="00B95179">
        <w:rPr>
          <w:rFonts w:ascii="Verdana" w:hAnsi="Verdana"/>
          <w:b/>
          <w:bCs/>
          <w:highlight w:val="yellow"/>
        </w:rPr>
        <w:t xml:space="preserve">automatic </w:t>
      </w:r>
      <w:r w:rsidRPr="00B95179">
        <w:rPr>
          <w:rFonts w:ascii="Verdana" w:hAnsi="Verdana"/>
          <w:b/>
          <w:bCs/>
          <w:highlight w:val="yellow"/>
        </w:rPr>
        <w:t xml:space="preserve">paragraph </w:t>
      </w:r>
      <w:r w:rsidR="004A0D1F" w:rsidRPr="00B95179">
        <w:rPr>
          <w:rFonts w:ascii="Verdana" w:hAnsi="Verdana"/>
          <w:b/>
          <w:bCs/>
          <w:highlight w:val="yellow"/>
        </w:rPr>
        <w:t xml:space="preserve">breaks </w:t>
      </w:r>
      <w:r w:rsidRPr="00B95179">
        <w:rPr>
          <w:rFonts w:ascii="Verdana" w:hAnsi="Verdana"/>
          <w:b/>
          <w:bCs/>
          <w:highlight w:val="yellow"/>
        </w:rPr>
        <w:t>(rather than just leaving a blank line to denote a new paragraph) complicate the process</w:t>
      </w:r>
      <w:r w:rsidR="004A0D1F" w:rsidRPr="00B95179">
        <w:rPr>
          <w:rFonts w:ascii="Verdana" w:hAnsi="Verdana"/>
          <w:b/>
          <w:bCs/>
          <w:highlight w:val="yellow"/>
        </w:rPr>
        <w:t>.</w:t>
      </w:r>
      <w:r w:rsidR="004A0D1F" w:rsidRPr="00CF5C43">
        <w:rPr>
          <w:rFonts w:ascii="Verdana" w:hAnsi="Verdana"/>
        </w:rPr>
        <w:t xml:space="preserve"> </w:t>
      </w:r>
      <w:r w:rsidRPr="00CF5C43">
        <w:rPr>
          <w:rFonts w:ascii="Verdana" w:hAnsi="Verdana"/>
        </w:rPr>
        <w:t xml:space="preserve">Our designers need the </w:t>
      </w:r>
      <w:r w:rsidR="002E0A2F" w:rsidRPr="00CF5C43">
        <w:rPr>
          <w:rFonts w:ascii="Verdana" w:hAnsi="Verdana"/>
        </w:rPr>
        <w:t xml:space="preserve">text to </w:t>
      </w:r>
      <w:r w:rsidRPr="00CF5C43">
        <w:rPr>
          <w:rFonts w:ascii="Verdana" w:hAnsi="Verdana"/>
        </w:rPr>
        <w:t>be delivered to them in a straightforward fashion</w:t>
      </w:r>
      <w:r w:rsidR="001C2C59" w:rsidRPr="00CF5C43">
        <w:rPr>
          <w:rFonts w:ascii="Verdana" w:hAnsi="Verdana"/>
        </w:rPr>
        <w:t xml:space="preserve">. </w:t>
      </w:r>
      <w:proofErr w:type="gramStart"/>
      <w:r w:rsidR="001C2C59" w:rsidRPr="00CF5C43">
        <w:rPr>
          <w:rFonts w:ascii="Verdana" w:hAnsi="Verdana"/>
        </w:rPr>
        <w:t>S</w:t>
      </w:r>
      <w:r w:rsidR="004A0D1F" w:rsidRPr="00CF5C43">
        <w:rPr>
          <w:rFonts w:ascii="Verdana" w:hAnsi="Verdana"/>
        </w:rPr>
        <w:t>o</w:t>
      </w:r>
      <w:proofErr w:type="gramEnd"/>
      <w:r w:rsidR="004A0D1F" w:rsidRPr="00CF5C43">
        <w:rPr>
          <w:rFonts w:ascii="Verdana" w:hAnsi="Verdana"/>
        </w:rPr>
        <w:t xml:space="preserve"> there is no point adding </w:t>
      </w:r>
      <w:r w:rsidRPr="00CF5C43">
        <w:rPr>
          <w:rFonts w:ascii="Verdana" w:hAnsi="Verdana"/>
        </w:rPr>
        <w:t xml:space="preserve">bells and whistles, which will </w:t>
      </w:r>
      <w:r w:rsidR="00820D01" w:rsidRPr="00CF5C43">
        <w:rPr>
          <w:rFonts w:ascii="Verdana" w:hAnsi="Verdana"/>
        </w:rPr>
        <w:t xml:space="preserve">add </w:t>
      </w:r>
      <w:r w:rsidR="00631D45" w:rsidRPr="00CF5C43">
        <w:rPr>
          <w:rFonts w:ascii="Verdana" w:hAnsi="Verdana"/>
        </w:rPr>
        <w:t xml:space="preserve">unnecessary </w:t>
      </w:r>
      <w:r w:rsidR="00820D01" w:rsidRPr="00CF5C43">
        <w:rPr>
          <w:rFonts w:ascii="Verdana" w:hAnsi="Verdana"/>
        </w:rPr>
        <w:t>time</w:t>
      </w:r>
      <w:r w:rsidRPr="00CF5C43">
        <w:rPr>
          <w:rFonts w:ascii="Verdana" w:hAnsi="Verdana"/>
        </w:rPr>
        <w:t xml:space="preserve"> for the author</w:t>
      </w:r>
      <w:r w:rsidR="00B95179">
        <w:rPr>
          <w:rFonts w:ascii="Verdana" w:hAnsi="Verdana"/>
        </w:rPr>
        <w:t xml:space="preserve"> as well as HEPI’s staff</w:t>
      </w:r>
      <w:r w:rsidR="007F609F" w:rsidRPr="00CF5C43">
        <w:rPr>
          <w:rFonts w:ascii="Verdana" w:hAnsi="Verdana"/>
        </w:rPr>
        <w:t xml:space="preserve">. </w:t>
      </w:r>
      <w:r w:rsidRPr="00CF5C43">
        <w:rPr>
          <w:rFonts w:ascii="Verdana" w:hAnsi="Verdana"/>
        </w:rPr>
        <w:t>Any</w:t>
      </w:r>
      <w:r w:rsidR="007F609F" w:rsidRPr="00CF5C43">
        <w:rPr>
          <w:rFonts w:ascii="Verdana" w:hAnsi="Verdana"/>
        </w:rPr>
        <w:t xml:space="preserve"> reformatting</w:t>
      </w:r>
      <w:r w:rsidR="00820D01" w:rsidRPr="00CF5C43">
        <w:rPr>
          <w:rFonts w:ascii="Verdana" w:hAnsi="Verdana"/>
        </w:rPr>
        <w:t xml:space="preserve"> </w:t>
      </w:r>
      <w:r w:rsidR="007F609F" w:rsidRPr="00CF5C43">
        <w:rPr>
          <w:rFonts w:ascii="Verdana" w:hAnsi="Verdana"/>
        </w:rPr>
        <w:t xml:space="preserve">also </w:t>
      </w:r>
      <w:r w:rsidR="00631D45" w:rsidRPr="00CF5C43">
        <w:rPr>
          <w:rFonts w:ascii="Verdana" w:hAnsi="Verdana"/>
        </w:rPr>
        <w:t>creat</w:t>
      </w:r>
      <w:r w:rsidR="007F609F" w:rsidRPr="00CF5C43">
        <w:rPr>
          <w:rFonts w:ascii="Verdana" w:hAnsi="Verdana"/>
        </w:rPr>
        <w:t>es</w:t>
      </w:r>
      <w:r w:rsidR="00631D45" w:rsidRPr="00CF5C43">
        <w:rPr>
          <w:rFonts w:ascii="Verdana" w:hAnsi="Verdana"/>
        </w:rPr>
        <w:t xml:space="preserve"> </w:t>
      </w:r>
      <w:r w:rsidRPr="00CF5C43">
        <w:rPr>
          <w:rFonts w:ascii="Verdana" w:hAnsi="Verdana"/>
        </w:rPr>
        <w:t xml:space="preserve">new </w:t>
      </w:r>
      <w:r w:rsidR="00631D45" w:rsidRPr="00CF5C43">
        <w:rPr>
          <w:rFonts w:ascii="Verdana" w:hAnsi="Verdana"/>
        </w:rPr>
        <w:t>opportunit</w:t>
      </w:r>
      <w:r w:rsidRPr="00CF5C43">
        <w:rPr>
          <w:rFonts w:ascii="Verdana" w:hAnsi="Verdana"/>
        </w:rPr>
        <w:t>ies</w:t>
      </w:r>
      <w:r w:rsidR="00631D45" w:rsidRPr="00CF5C43">
        <w:rPr>
          <w:rFonts w:ascii="Verdana" w:hAnsi="Verdana"/>
        </w:rPr>
        <w:t xml:space="preserve"> for errors to creep in</w:t>
      </w:r>
      <w:r w:rsidR="004A0D1F" w:rsidRPr="00CF5C43">
        <w:rPr>
          <w:rFonts w:ascii="Verdana" w:hAnsi="Verdana"/>
        </w:rPr>
        <w:t>.</w:t>
      </w:r>
    </w:p>
    <w:p w14:paraId="7C969625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517BA014" w14:textId="0738A063" w:rsidR="004A2607" w:rsidRPr="00CF5C43" w:rsidRDefault="0025650D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The main text should be justified</w:t>
      </w:r>
      <w:r w:rsidR="004A2607" w:rsidRPr="00CF5C43">
        <w:rPr>
          <w:rFonts w:ascii="Verdana" w:hAnsi="Verdana"/>
        </w:rPr>
        <w:t>. In other words, it should be squared off at the end of each line. This note is justified.</w:t>
      </w:r>
    </w:p>
    <w:p w14:paraId="2BE7C783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0EB900FA" w14:textId="781E776F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C</w:t>
      </w:r>
      <w:r w:rsidR="004A0D1F" w:rsidRPr="00CF5C43">
        <w:rPr>
          <w:rFonts w:ascii="Verdana" w:hAnsi="Verdana"/>
        </w:rPr>
        <w:t>hapter breaks should be used</w:t>
      </w:r>
      <w:r w:rsidR="003A5097" w:rsidRPr="00CF5C43">
        <w:rPr>
          <w:rFonts w:ascii="Verdana" w:hAnsi="Verdana"/>
        </w:rPr>
        <w:t xml:space="preserve"> in longer reports</w:t>
      </w:r>
      <w:r w:rsidRPr="00CF5C43">
        <w:rPr>
          <w:rFonts w:ascii="Verdana" w:hAnsi="Verdana"/>
        </w:rPr>
        <w:t>, with the chapter title in the centre and in bold.</w:t>
      </w:r>
    </w:p>
    <w:p w14:paraId="584B49F0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6A6724E6" w14:textId="5472E80F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Sub-headings are another useful way to break up the text</w:t>
      </w:r>
      <w:r w:rsidR="003A5097" w:rsidRPr="00CF5C43">
        <w:rPr>
          <w:rFonts w:ascii="Verdana" w:hAnsi="Verdana"/>
        </w:rPr>
        <w:t xml:space="preserve"> and can be used in Policy Notes as well as full-length reports</w:t>
      </w:r>
      <w:r w:rsidRPr="00CF5C43">
        <w:rPr>
          <w:rFonts w:ascii="Verdana" w:hAnsi="Verdana"/>
        </w:rPr>
        <w:t xml:space="preserve">. </w:t>
      </w:r>
      <w:r w:rsidR="00B95179">
        <w:rPr>
          <w:rFonts w:ascii="Verdana" w:hAnsi="Verdana"/>
          <w:highlight w:val="yellow"/>
        </w:rPr>
        <w:t>In blue books and red books, s</w:t>
      </w:r>
      <w:r w:rsidR="00233305" w:rsidRPr="00CF5C43">
        <w:rPr>
          <w:rFonts w:ascii="Verdana" w:hAnsi="Verdana"/>
          <w:highlight w:val="yellow"/>
        </w:rPr>
        <w:t>ub-headings</w:t>
      </w:r>
      <w:r w:rsidRPr="00CF5C43">
        <w:rPr>
          <w:rFonts w:ascii="Verdana" w:hAnsi="Verdana"/>
          <w:highlight w:val="yellow"/>
        </w:rPr>
        <w:t xml:space="preserve"> </w:t>
      </w:r>
      <w:r w:rsidR="00B95179">
        <w:rPr>
          <w:rFonts w:ascii="Verdana" w:hAnsi="Verdana"/>
          <w:highlight w:val="yellow"/>
        </w:rPr>
        <w:t xml:space="preserve">generally </w:t>
      </w:r>
      <w:r w:rsidRPr="00CF5C43">
        <w:rPr>
          <w:rFonts w:ascii="Verdana" w:hAnsi="Verdana"/>
          <w:highlight w:val="yellow"/>
        </w:rPr>
        <w:t>appear in italics</w:t>
      </w:r>
      <w:r w:rsidR="00D6113B" w:rsidRPr="00CF5C43">
        <w:rPr>
          <w:rFonts w:ascii="Verdana" w:hAnsi="Verdana"/>
          <w:highlight w:val="yellow"/>
        </w:rPr>
        <w:t xml:space="preserve"> at the same font size as the rest of the text; they should not be enlarged, </w:t>
      </w:r>
      <w:proofErr w:type="gramStart"/>
      <w:r w:rsidR="00D6113B" w:rsidRPr="00CF5C43">
        <w:rPr>
          <w:rFonts w:ascii="Verdana" w:hAnsi="Verdana"/>
          <w:highlight w:val="yellow"/>
        </w:rPr>
        <w:t>emboldened</w:t>
      </w:r>
      <w:proofErr w:type="gramEnd"/>
      <w:r w:rsidR="00D6113B" w:rsidRPr="00CF5C43">
        <w:rPr>
          <w:rFonts w:ascii="Verdana" w:hAnsi="Verdana"/>
          <w:highlight w:val="yellow"/>
        </w:rPr>
        <w:t xml:space="preserve"> or underlined.</w:t>
      </w:r>
      <w:r w:rsidR="00B95179">
        <w:rPr>
          <w:rFonts w:ascii="Verdana" w:hAnsi="Verdana"/>
        </w:rPr>
        <w:t xml:space="preserve"> In Policy Notes, they are generally in </w:t>
      </w:r>
      <w:r w:rsidR="00B95179" w:rsidRPr="00B95179">
        <w:rPr>
          <w:rFonts w:ascii="Verdana" w:hAnsi="Verdana"/>
          <w:b/>
          <w:bCs/>
        </w:rPr>
        <w:t>bold</w:t>
      </w:r>
      <w:r w:rsidR="00B95179">
        <w:rPr>
          <w:rFonts w:ascii="Verdana" w:hAnsi="Verdana"/>
        </w:rPr>
        <w:t>.</w:t>
      </w:r>
    </w:p>
    <w:p w14:paraId="5733E1E6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11FF8099" w14:textId="45B77BA8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lastRenderedPageBreak/>
        <w:t>Charts</w:t>
      </w:r>
      <w:r w:rsidR="00233305" w:rsidRPr="00CF5C43">
        <w:rPr>
          <w:rFonts w:ascii="Verdana" w:hAnsi="Verdana"/>
        </w:rPr>
        <w:t xml:space="preserve">, </w:t>
      </w:r>
      <w:proofErr w:type="gramStart"/>
      <w:r w:rsidR="00233305" w:rsidRPr="00CF5C43">
        <w:rPr>
          <w:rFonts w:ascii="Verdana" w:hAnsi="Verdana"/>
        </w:rPr>
        <w:t>tables</w:t>
      </w:r>
      <w:proofErr w:type="gramEnd"/>
      <w:r w:rsidRPr="00CF5C43">
        <w:rPr>
          <w:rFonts w:ascii="Verdana" w:hAnsi="Verdana"/>
        </w:rPr>
        <w:t xml:space="preserve"> and diagrams that aid understanding are welcome, whether in colour or black and white.</w:t>
      </w:r>
      <w:r w:rsidR="00233305" w:rsidRPr="00CF5C43">
        <w:rPr>
          <w:rFonts w:ascii="Verdana" w:hAnsi="Verdana"/>
        </w:rPr>
        <w:t xml:space="preserve"> They should have an italicised title above them and, if lifted from elsewhere, a clear reference immediately underneath.</w:t>
      </w:r>
    </w:p>
    <w:p w14:paraId="72D5A5EF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34AF7B45" w14:textId="468C320D" w:rsidR="00CF5C43" w:rsidRPr="00CF5C43" w:rsidRDefault="004A2607" w:rsidP="00CF5C43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We write out the numbers from one to nine in full (except when it is a percentage</w:t>
      </w:r>
      <w:proofErr w:type="gramStart"/>
      <w:r w:rsidRPr="00CF5C43">
        <w:rPr>
          <w:rFonts w:ascii="Verdana" w:hAnsi="Verdana"/>
        </w:rPr>
        <w:t>), but</w:t>
      </w:r>
      <w:proofErr w:type="gramEnd"/>
      <w:r w:rsidRPr="00CF5C43">
        <w:rPr>
          <w:rFonts w:ascii="Verdana" w:hAnsi="Verdana"/>
        </w:rPr>
        <w:t xml:space="preserve"> use numerals f</w:t>
      </w:r>
      <w:r w:rsidR="002908A9" w:rsidRPr="00CF5C43">
        <w:rPr>
          <w:rFonts w:ascii="Verdana" w:hAnsi="Verdana"/>
        </w:rPr>
        <w:t>or numbers above this. We</w:t>
      </w:r>
      <w:r w:rsidRPr="00CF5C43">
        <w:rPr>
          <w:rFonts w:ascii="Verdana" w:hAnsi="Verdana"/>
        </w:rPr>
        <w:t xml:space="preserve"> avoid starting sentences with a number</w:t>
      </w:r>
      <w:r w:rsidR="00B95179">
        <w:rPr>
          <w:rFonts w:ascii="Verdana" w:hAnsi="Verdana"/>
        </w:rPr>
        <w:t xml:space="preserve"> – where an author deems this to be essential, the number should be written out in full (so ‘Fifty-eight per cent of people say </w:t>
      </w:r>
      <w:proofErr w:type="gramStart"/>
      <w:r w:rsidR="00B95179">
        <w:rPr>
          <w:rFonts w:ascii="Verdana" w:hAnsi="Verdana"/>
        </w:rPr>
        <w:t>… ’</w:t>
      </w:r>
      <w:proofErr w:type="gramEnd"/>
      <w:r w:rsidR="00B95179">
        <w:rPr>
          <w:rFonts w:ascii="Verdana" w:hAnsi="Verdana"/>
        </w:rPr>
        <w:t>).</w:t>
      </w:r>
    </w:p>
    <w:p w14:paraId="4B18D86A" w14:textId="77777777" w:rsidR="00CF5C43" w:rsidRPr="00CF5C43" w:rsidRDefault="00CF5C43" w:rsidP="00CF5C43">
      <w:pPr>
        <w:pStyle w:val="ListParagraph"/>
        <w:rPr>
          <w:rFonts w:ascii="Verdana" w:hAnsi="Verdana"/>
        </w:rPr>
      </w:pPr>
    </w:p>
    <w:p w14:paraId="20DE2C2A" w14:textId="77346511" w:rsidR="00CF5C43" w:rsidRPr="00CF5C43" w:rsidRDefault="00B95179" w:rsidP="00CF5C43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>
        <w:rPr>
          <w:rFonts w:ascii="Verdana" w:hAnsi="Verdana"/>
        </w:rPr>
        <w:t>We generally write out</w:t>
      </w:r>
      <w:r w:rsidR="00CF5C43" w:rsidRPr="00CF5C43">
        <w:rPr>
          <w:rFonts w:ascii="Verdana" w:hAnsi="Verdana"/>
        </w:rPr>
        <w:t xml:space="preserve"> ‘per cent’ (including the word space) </w:t>
      </w:r>
      <w:r>
        <w:rPr>
          <w:rFonts w:ascii="Verdana" w:hAnsi="Verdana"/>
        </w:rPr>
        <w:t xml:space="preserve">rather than </w:t>
      </w:r>
      <w:r w:rsidR="00CF5C43" w:rsidRPr="00CF5C43">
        <w:rPr>
          <w:rFonts w:ascii="Verdana" w:hAnsi="Verdana"/>
        </w:rPr>
        <w:t xml:space="preserve">‘%’, </w:t>
      </w:r>
      <w:r>
        <w:rPr>
          <w:rFonts w:ascii="Verdana" w:hAnsi="Verdana"/>
        </w:rPr>
        <w:t xml:space="preserve">except in data-rich reports – including reports based on polling – when the symbol is used. </w:t>
      </w:r>
      <w:r w:rsidR="00CF5C43" w:rsidRPr="00CF5C43">
        <w:rPr>
          <w:rFonts w:ascii="Verdana" w:hAnsi="Verdana"/>
        </w:rPr>
        <w:t xml:space="preserve">It is vital, however, for authors to take care in distinguishing </w:t>
      </w:r>
      <w:r>
        <w:rPr>
          <w:rFonts w:ascii="Verdana" w:hAnsi="Verdana"/>
        </w:rPr>
        <w:t xml:space="preserve">between </w:t>
      </w:r>
      <w:r w:rsidR="00CF5C43" w:rsidRPr="00CF5C43">
        <w:rPr>
          <w:rFonts w:ascii="Verdana" w:hAnsi="Verdana"/>
        </w:rPr>
        <w:t xml:space="preserve">‘per cent’ (or ‘%’) </w:t>
      </w:r>
      <w:r>
        <w:rPr>
          <w:rFonts w:ascii="Verdana" w:hAnsi="Verdana"/>
        </w:rPr>
        <w:t xml:space="preserve">and </w:t>
      </w:r>
      <w:r w:rsidR="00CF5C43" w:rsidRPr="00CF5C43">
        <w:rPr>
          <w:rFonts w:ascii="Verdana" w:hAnsi="Verdana"/>
        </w:rPr>
        <w:t>‘percentage points’, which always needs to be written out in full. A doubling from 20% to 40% is an increase of 100%</w:t>
      </w:r>
      <w:r>
        <w:rPr>
          <w:rFonts w:ascii="Verdana" w:hAnsi="Verdana"/>
        </w:rPr>
        <w:t>,</w:t>
      </w:r>
      <w:r w:rsidR="00CF5C43" w:rsidRPr="00CF5C43">
        <w:rPr>
          <w:rFonts w:ascii="Verdana" w:hAnsi="Verdana"/>
        </w:rPr>
        <w:t xml:space="preserve"> but </w:t>
      </w:r>
      <w:r>
        <w:rPr>
          <w:rFonts w:ascii="Verdana" w:hAnsi="Verdana"/>
        </w:rPr>
        <w:t xml:space="preserve">it is </w:t>
      </w:r>
      <w:r w:rsidR="00CF5C43" w:rsidRPr="00CF5C43">
        <w:rPr>
          <w:rFonts w:ascii="Verdana" w:hAnsi="Verdana"/>
        </w:rPr>
        <w:t>an increase of 20 percentage points.</w:t>
      </w:r>
    </w:p>
    <w:p w14:paraId="79F39733" w14:textId="77777777" w:rsidR="00CF5C43" w:rsidRPr="00CF5C43" w:rsidRDefault="00CF5C43" w:rsidP="00CF5C43">
      <w:pPr>
        <w:jc w:val="both"/>
        <w:rPr>
          <w:rFonts w:ascii="Verdana" w:hAnsi="Verdana"/>
        </w:rPr>
      </w:pPr>
    </w:p>
    <w:p w14:paraId="32D5D82E" w14:textId="7814419E" w:rsidR="004A2607" w:rsidRPr="00CF5C43" w:rsidRDefault="004A2607" w:rsidP="00CF5C43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Italicise the titles of publications</w:t>
      </w:r>
      <w:r w:rsidRPr="00CF5C43">
        <w:rPr>
          <w:rFonts w:ascii="Verdana" w:hAnsi="Verdana"/>
        </w:rPr>
        <w:t xml:space="preserve">, including newspapers and academic journals. </w:t>
      </w:r>
      <w:proofErr w:type="gramStart"/>
      <w:r w:rsidRPr="00CF5C43">
        <w:rPr>
          <w:rFonts w:ascii="Verdana" w:hAnsi="Verdana"/>
        </w:rPr>
        <w:t>So</w:t>
      </w:r>
      <w:proofErr w:type="gramEnd"/>
      <w:r w:rsidRPr="00CF5C43">
        <w:rPr>
          <w:rFonts w:ascii="Verdana" w:hAnsi="Verdana"/>
        </w:rPr>
        <w:t xml:space="preserve"> it is the </w:t>
      </w:r>
      <w:r w:rsidRPr="00CF5C43">
        <w:rPr>
          <w:rFonts w:ascii="Verdana" w:hAnsi="Verdana"/>
          <w:i/>
        </w:rPr>
        <w:t xml:space="preserve">Independent </w:t>
      </w:r>
      <w:r w:rsidRPr="00CF5C43">
        <w:rPr>
          <w:rFonts w:ascii="Verdana" w:hAnsi="Verdana"/>
        </w:rPr>
        <w:t xml:space="preserve">and the </w:t>
      </w:r>
      <w:r w:rsidRPr="00CF5C43">
        <w:rPr>
          <w:rFonts w:ascii="Verdana" w:hAnsi="Verdana"/>
          <w:i/>
        </w:rPr>
        <w:t>Oxford Review of Education</w:t>
      </w:r>
      <w:r w:rsidRPr="00CF5C43">
        <w:rPr>
          <w:rFonts w:ascii="Verdana" w:hAnsi="Verdana"/>
        </w:rPr>
        <w:t>.</w:t>
      </w:r>
    </w:p>
    <w:p w14:paraId="46867682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50D31C1A" w14:textId="38F80C6E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Lists should begin with a colon and the items should be separated by semi-colons (with an ‘and’ after the final semi-colon). Use bullets or numbers to show the list is different to other text</w:t>
      </w:r>
      <w:r w:rsidR="001C2C59" w:rsidRPr="00CF5C43">
        <w:rPr>
          <w:rFonts w:ascii="Verdana" w:hAnsi="Verdana"/>
        </w:rPr>
        <w:t xml:space="preserve"> and to provide variety </w:t>
      </w:r>
      <w:r w:rsidR="00B95179">
        <w:rPr>
          <w:rFonts w:ascii="Verdana" w:hAnsi="Verdana"/>
        </w:rPr>
        <w:t>for readers</w:t>
      </w:r>
      <w:r w:rsidR="001C2C59" w:rsidRPr="00CF5C43">
        <w:rPr>
          <w:rFonts w:ascii="Verdana" w:hAnsi="Verdana"/>
        </w:rPr>
        <w:t>.</w:t>
      </w:r>
    </w:p>
    <w:p w14:paraId="49177886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4DE9F58D" w14:textId="77777777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Quotations of more than three lines should be italicised and indented and do not need speech marks.</w:t>
      </w:r>
      <w:r w:rsidRPr="00CF5C43">
        <w:rPr>
          <w:rFonts w:ascii="Verdana" w:hAnsi="Verdana"/>
        </w:rPr>
        <w:t xml:space="preserve"> This helps them stand out </w:t>
      </w:r>
      <w:proofErr w:type="gramStart"/>
      <w:r w:rsidRPr="00CF5C43">
        <w:rPr>
          <w:rFonts w:ascii="Verdana" w:hAnsi="Verdana"/>
        </w:rPr>
        <w:t>and also</w:t>
      </w:r>
      <w:proofErr w:type="gramEnd"/>
      <w:r w:rsidRPr="00CF5C43">
        <w:rPr>
          <w:rFonts w:ascii="Verdana" w:hAnsi="Verdana"/>
        </w:rPr>
        <w:t xml:space="preserve"> usefully breaks up the text.</w:t>
      </w:r>
    </w:p>
    <w:p w14:paraId="0250E085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237DEF7A" w14:textId="66288D06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 xml:space="preserve">We use single speech marks, except for quotations within quotations, when double speech marks </w:t>
      </w:r>
      <w:r w:rsidR="00413DF8" w:rsidRPr="00CF5C43">
        <w:rPr>
          <w:rFonts w:ascii="Verdana" w:hAnsi="Verdana"/>
          <w:highlight w:val="yellow"/>
        </w:rPr>
        <w:t>are</w:t>
      </w:r>
      <w:r w:rsidRPr="00CF5C43">
        <w:rPr>
          <w:rFonts w:ascii="Verdana" w:hAnsi="Verdana"/>
          <w:highlight w:val="yellow"/>
        </w:rPr>
        <w:t xml:space="preserve"> used</w:t>
      </w:r>
      <w:r w:rsidRPr="00B95179">
        <w:rPr>
          <w:rFonts w:ascii="Verdana" w:hAnsi="Verdana"/>
          <w:highlight w:val="yellow"/>
        </w:rPr>
        <w:t>.</w:t>
      </w:r>
      <w:r w:rsidRPr="00CF5C43">
        <w:rPr>
          <w:rFonts w:ascii="Verdana" w:hAnsi="Verdana"/>
        </w:rPr>
        <w:t xml:space="preserve"> If</w:t>
      </w:r>
      <w:r w:rsidR="00976B42" w:rsidRPr="00CF5C43">
        <w:rPr>
          <w:rFonts w:ascii="Verdana" w:hAnsi="Verdana"/>
        </w:rPr>
        <w:t>,</w:t>
      </w:r>
      <w:r w:rsidRPr="00CF5C43">
        <w:rPr>
          <w:rFonts w:ascii="Verdana" w:hAnsi="Verdana"/>
        </w:rPr>
        <w:t xml:space="preserve"> </w:t>
      </w:r>
      <w:r w:rsidR="00976B42" w:rsidRPr="00CF5C43">
        <w:rPr>
          <w:rFonts w:ascii="Verdana" w:hAnsi="Verdana"/>
        </w:rPr>
        <w:t xml:space="preserve">and only if, </w:t>
      </w:r>
      <w:r w:rsidRPr="00CF5C43">
        <w:rPr>
          <w:rFonts w:ascii="Verdana" w:hAnsi="Verdana"/>
        </w:rPr>
        <w:t>the end of a quotation is also the end of a sentence in the original source, then the punctuation should appear inside the speech marks.</w:t>
      </w:r>
      <w:r w:rsidR="00976B42" w:rsidRPr="00CF5C43">
        <w:rPr>
          <w:rFonts w:ascii="Verdana" w:hAnsi="Verdana"/>
        </w:rPr>
        <w:t xml:space="preserve"> Never change the punctuation or spelling in a quotation, even where it is different to HEPI’s house style, except where it is necessary to use double speech marks.</w:t>
      </w:r>
    </w:p>
    <w:p w14:paraId="744F483D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78F0F182" w14:textId="76F5FEF3" w:rsidR="00A3687D" w:rsidRPr="00A3687D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We use endnotes rather than footnotes</w:t>
      </w:r>
      <w:r w:rsidR="00B95179">
        <w:rPr>
          <w:rFonts w:ascii="Verdana" w:hAnsi="Verdana"/>
          <w:highlight w:val="yellow"/>
        </w:rPr>
        <w:t>, in a simple</w:t>
      </w:r>
      <w:r w:rsidRPr="00CF5C43">
        <w:rPr>
          <w:rFonts w:ascii="Verdana" w:hAnsi="Verdana"/>
          <w:highlight w:val="yellow"/>
        </w:rPr>
        <w:t xml:space="preserve"> standard format</w:t>
      </w:r>
      <w:r w:rsidR="00A3687D">
        <w:rPr>
          <w:rFonts w:ascii="Verdana" w:hAnsi="Verdana"/>
          <w:highlight w:val="yellow"/>
        </w:rPr>
        <w:t>, like this:</w:t>
      </w:r>
    </w:p>
    <w:p w14:paraId="4E6E13AB" w14:textId="77777777" w:rsidR="00A3687D" w:rsidRPr="00A3687D" w:rsidRDefault="00A3687D" w:rsidP="00A3687D">
      <w:pPr>
        <w:pStyle w:val="ListParagraph"/>
        <w:rPr>
          <w:rFonts w:ascii="Verdana" w:hAnsi="Verdana"/>
          <w:highlight w:val="yellow"/>
        </w:rPr>
      </w:pPr>
    </w:p>
    <w:p w14:paraId="2396FACA" w14:textId="052F682C" w:rsidR="0082284C" w:rsidRPr="0082284C" w:rsidRDefault="0082284C" w:rsidP="0082284C">
      <w:pPr>
        <w:numPr>
          <w:ilvl w:val="0"/>
          <w:numId w:val="46"/>
        </w:numPr>
        <w:rPr>
          <w:rFonts w:ascii="Verdana" w:hAnsi="Verdana" w:cs="Calibri"/>
          <w:color w:val="000000"/>
        </w:rPr>
      </w:pPr>
      <w:r w:rsidRPr="0082284C">
        <w:rPr>
          <w:rFonts w:ascii="Verdana" w:hAnsi="Verdana" w:cs="Calibri"/>
          <w:b/>
          <w:bCs/>
          <w:color w:val="000000"/>
        </w:rPr>
        <w:t>Book: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color w:val="000000"/>
        </w:rPr>
        <w:t>Author Name,</w:t>
      </w:r>
      <w:r>
        <w:rPr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i/>
          <w:iCs/>
          <w:color w:val="000000"/>
        </w:rPr>
        <w:t>Book Title</w:t>
      </w:r>
      <w:r w:rsidRPr="0082284C">
        <w:rPr>
          <w:rFonts w:ascii="Verdana" w:hAnsi="Verdana" w:cs="Calibri"/>
          <w:color w:val="000000"/>
        </w:rPr>
        <w:t xml:space="preserve">, Publication Year, </w:t>
      </w:r>
      <w:r>
        <w:rPr>
          <w:rFonts w:ascii="Verdana" w:hAnsi="Verdana" w:cs="Calibri"/>
          <w:color w:val="000000"/>
        </w:rPr>
        <w:t>p.1</w:t>
      </w:r>
    </w:p>
    <w:p w14:paraId="721FD858" w14:textId="6FC14068" w:rsidR="0082284C" w:rsidRPr="0082284C" w:rsidRDefault="0082284C" w:rsidP="0082284C">
      <w:pPr>
        <w:numPr>
          <w:ilvl w:val="0"/>
          <w:numId w:val="46"/>
        </w:numPr>
        <w:rPr>
          <w:rFonts w:ascii="Verdana" w:hAnsi="Verdana" w:cs="Calibri"/>
          <w:color w:val="000000"/>
        </w:rPr>
      </w:pPr>
      <w:r w:rsidRPr="0082284C">
        <w:rPr>
          <w:rFonts w:ascii="Verdana" w:hAnsi="Verdana" w:cs="Calibri"/>
          <w:b/>
          <w:bCs/>
          <w:color w:val="000000"/>
        </w:rPr>
        <w:lastRenderedPageBreak/>
        <w:t>Chapter from an edited collection: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color w:val="000000"/>
        </w:rPr>
        <w:t xml:space="preserve">Author Name, </w:t>
      </w:r>
      <w:r>
        <w:rPr>
          <w:rFonts w:ascii="Verdana" w:hAnsi="Verdana" w:cs="Calibri"/>
          <w:color w:val="000000"/>
        </w:rPr>
        <w:t>‘</w:t>
      </w:r>
      <w:r w:rsidRPr="0082284C">
        <w:rPr>
          <w:rFonts w:ascii="Verdana" w:hAnsi="Verdana" w:cs="Calibri"/>
          <w:color w:val="000000"/>
        </w:rPr>
        <w:t>Chapter Title</w:t>
      </w:r>
      <w:r>
        <w:rPr>
          <w:rFonts w:ascii="Verdana" w:hAnsi="Verdana" w:cs="Calibri"/>
          <w:color w:val="000000"/>
        </w:rPr>
        <w:t>’</w:t>
      </w:r>
      <w:r w:rsidRPr="0082284C">
        <w:rPr>
          <w:rFonts w:ascii="Verdana" w:hAnsi="Verdana" w:cs="Calibri"/>
          <w:color w:val="000000"/>
        </w:rPr>
        <w:t>, in Editor Name (ed),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i/>
          <w:iCs/>
          <w:color w:val="000000"/>
        </w:rPr>
        <w:t>Book Title</w:t>
      </w:r>
      <w:r w:rsidRPr="0082284C">
        <w:rPr>
          <w:rFonts w:ascii="Verdana" w:hAnsi="Verdana" w:cs="Calibri"/>
          <w:color w:val="000000"/>
        </w:rPr>
        <w:t xml:space="preserve">, </w:t>
      </w:r>
      <w:r>
        <w:rPr>
          <w:rFonts w:ascii="Verdana" w:hAnsi="Verdana" w:cs="Calibri"/>
          <w:color w:val="000000"/>
        </w:rPr>
        <w:t>2024</w:t>
      </w:r>
      <w:r w:rsidRPr="0082284C">
        <w:rPr>
          <w:rFonts w:ascii="Verdana" w:hAnsi="Verdana" w:cs="Calibri"/>
          <w:color w:val="000000"/>
        </w:rPr>
        <w:t xml:space="preserve">, </w:t>
      </w:r>
      <w:r>
        <w:rPr>
          <w:rFonts w:ascii="Verdana" w:hAnsi="Verdana" w:cs="Calibri"/>
          <w:color w:val="000000"/>
        </w:rPr>
        <w:t>pp.1-20</w:t>
      </w:r>
    </w:p>
    <w:p w14:paraId="4ABB9451" w14:textId="56E70276" w:rsidR="0082284C" w:rsidRPr="0082284C" w:rsidRDefault="0082284C" w:rsidP="0082284C">
      <w:pPr>
        <w:numPr>
          <w:ilvl w:val="0"/>
          <w:numId w:val="46"/>
        </w:numPr>
        <w:rPr>
          <w:rFonts w:ascii="Verdana" w:hAnsi="Verdana" w:cs="Calibri"/>
          <w:color w:val="000000"/>
        </w:rPr>
      </w:pPr>
      <w:r w:rsidRPr="0082284C">
        <w:rPr>
          <w:rFonts w:ascii="Verdana" w:hAnsi="Verdana" w:cs="Calibri"/>
          <w:b/>
          <w:bCs/>
          <w:color w:val="000000"/>
        </w:rPr>
        <w:t>Journal article: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color w:val="000000"/>
        </w:rPr>
        <w:t>Author Name, ‘Article Title’,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i/>
          <w:iCs/>
          <w:color w:val="000000"/>
        </w:rPr>
        <w:t>Journal Title</w:t>
      </w:r>
      <w:r w:rsidRPr="0082284C">
        <w:rPr>
          <w:rFonts w:ascii="Verdana" w:hAnsi="Verdana" w:cs="Calibri"/>
          <w:color w:val="000000"/>
        </w:rPr>
        <w:t xml:space="preserve">, Volume </w:t>
      </w:r>
      <w:r>
        <w:rPr>
          <w:rFonts w:ascii="Verdana" w:hAnsi="Verdana" w:cs="Calibri"/>
          <w:color w:val="000000"/>
        </w:rPr>
        <w:t>X</w:t>
      </w:r>
      <w:r w:rsidRPr="0082284C">
        <w:rPr>
          <w:rFonts w:ascii="Verdana" w:hAnsi="Verdana" w:cs="Calibri"/>
          <w:color w:val="000000"/>
        </w:rPr>
        <w:t xml:space="preserve">, Issue </w:t>
      </w:r>
      <w:r>
        <w:rPr>
          <w:rFonts w:ascii="Verdana" w:hAnsi="Verdana" w:cs="Calibri"/>
          <w:color w:val="000000"/>
        </w:rPr>
        <w:t>X</w:t>
      </w:r>
      <w:r w:rsidRPr="0082284C">
        <w:rPr>
          <w:rFonts w:ascii="Verdana" w:hAnsi="Verdana" w:cs="Calibri"/>
          <w:color w:val="000000"/>
        </w:rPr>
        <w:t xml:space="preserve">, </w:t>
      </w:r>
      <w:r>
        <w:rPr>
          <w:rFonts w:ascii="Verdana" w:hAnsi="Verdana" w:cs="Calibri"/>
          <w:color w:val="000000"/>
        </w:rPr>
        <w:t>January 2024</w:t>
      </w:r>
      <w:r w:rsidRPr="0082284C">
        <w:rPr>
          <w:rFonts w:ascii="Verdana" w:hAnsi="Verdana" w:cs="Calibri"/>
          <w:color w:val="000000"/>
        </w:rPr>
        <w:t xml:space="preserve">, </w:t>
      </w:r>
      <w:r>
        <w:rPr>
          <w:rFonts w:ascii="Verdana" w:hAnsi="Verdana" w:cs="Calibri"/>
          <w:color w:val="000000"/>
        </w:rPr>
        <w:t>pp.20-40</w:t>
      </w:r>
    </w:p>
    <w:p w14:paraId="1935B415" w14:textId="5DC27DED" w:rsidR="0082284C" w:rsidRPr="0082284C" w:rsidRDefault="0082284C" w:rsidP="0082284C">
      <w:pPr>
        <w:numPr>
          <w:ilvl w:val="0"/>
          <w:numId w:val="46"/>
        </w:numPr>
        <w:rPr>
          <w:rFonts w:ascii="Verdana" w:hAnsi="Verdana" w:cs="Calibri"/>
          <w:color w:val="000000"/>
        </w:rPr>
      </w:pPr>
      <w:r w:rsidRPr="0082284C">
        <w:rPr>
          <w:rFonts w:ascii="Verdana" w:hAnsi="Verdana" w:cs="Calibri"/>
          <w:b/>
          <w:bCs/>
          <w:color w:val="000000"/>
        </w:rPr>
        <w:t>Newspaper article:</w:t>
      </w:r>
      <w:r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color w:val="000000"/>
        </w:rPr>
        <w:t xml:space="preserve">Author Name, ‘Article Title’, </w:t>
      </w:r>
      <w:r w:rsidRPr="0082284C">
        <w:rPr>
          <w:rFonts w:ascii="Verdana" w:hAnsi="Verdana" w:cs="Calibri"/>
          <w:i/>
          <w:iCs/>
          <w:color w:val="000000"/>
        </w:rPr>
        <w:t>Newspaper Name</w:t>
      </w:r>
      <w:r w:rsidRPr="0082284C">
        <w:rPr>
          <w:rFonts w:ascii="Verdana" w:hAnsi="Verdana" w:cs="Calibri"/>
          <w:color w:val="000000"/>
        </w:rPr>
        <w:t xml:space="preserve">, </w:t>
      </w:r>
      <w:r>
        <w:rPr>
          <w:rFonts w:ascii="Verdana" w:hAnsi="Verdana" w:cs="Calibri"/>
          <w:color w:val="000000"/>
        </w:rPr>
        <w:t>1 January 2024</w:t>
      </w:r>
    </w:p>
    <w:p w14:paraId="3C4A3623" w14:textId="6C586D79" w:rsidR="0082284C" w:rsidRPr="0082284C" w:rsidRDefault="0082284C" w:rsidP="0082284C">
      <w:pPr>
        <w:numPr>
          <w:ilvl w:val="0"/>
          <w:numId w:val="46"/>
        </w:numPr>
        <w:rPr>
          <w:rFonts w:ascii="Verdana" w:hAnsi="Verdana" w:cs="Calibri"/>
          <w:color w:val="000000"/>
        </w:rPr>
      </w:pPr>
      <w:r w:rsidRPr="0082284C">
        <w:rPr>
          <w:rFonts w:ascii="Verdana" w:hAnsi="Verdana" w:cs="Calibri"/>
          <w:b/>
          <w:bCs/>
          <w:color w:val="000000"/>
        </w:rPr>
        <w:t>Blog:</w:t>
      </w:r>
      <w:r w:rsidRPr="0082284C">
        <w:rPr>
          <w:rStyle w:val="apple-converted-space"/>
          <w:rFonts w:ascii="Verdana" w:hAnsi="Verdana" w:cs="Calibri"/>
          <w:color w:val="000000"/>
        </w:rPr>
        <w:t xml:space="preserve"> </w:t>
      </w:r>
      <w:r w:rsidRPr="0082284C">
        <w:rPr>
          <w:rFonts w:ascii="Verdana" w:hAnsi="Verdana" w:cs="Calibri"/>
          <w:color w:val="000000"/>
        </w:rPr>
        <w:t xml:space="preserve">Author Name, ‘Blog Title’, Blog Name, </w:t>
      </w:r>
      <w:r w:rsidRPr="0082284C">
        <w:rPr>
          <w:rFonts w:ascii="Verdana" w:hAnsi="Verdana" w:cs="Calibri"/>
          <w:color w:val="000000"/>
        </w:rPr>
        <w:t>1 January 20</w:t>
      </w:r>
      <w:r>
        <w:rPr>
          <w:rFonts w:ascii="Verdana" w:hAnsi="Verdana" w:cs="Calibri"/>
          <w:color w:val="000000"/>
        </w:rPr>
        <w:t>24</w:t>
      </w:r>
    </w:p>
    <w:p w14:paraId="3F24A6EC" w14:textId="77777777" w:rsidR="0082284C" w:rsidRPr="0082284C" w:rsidRDefault="0082284C" w:rsidP="00A3687D">
      <w:pPr>
        <w:pStyle w:val="ListParagraph"/>
        <w:jc w:val="both"/>
        <w:rPr>
          <w:rFonts w:ascii="Verdana" w:hAnsi="Verdana"/>
        </w:rPr>
      </w:pPr>
    </w:p>
    <w:p w14:paraId="77163EAF" w14:textId="77777777" w:rsidR="004A0D1F" w:rsidRPr="0082284C" w:rsidRDefault="004A0D1F" w:rsidP="00FF0672">
      <w:pPr>
        <w:ind w:left="142" w:hanging="578"/>
        <w:jc w:val="both"/>
        <w:rPr>
          <w:rFonts w:ascii="Verdana" w:hAnsi="Verdana"/>
        </w:rPr>
      </w:pPr>
    </w:p>
    <w:p w14:paraId="3891C7CE" w14:textId="714368E7" w:rsidR="004A2607" w:rsidRPr="00CF5C43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B95179">
        <w:rPr>
          <w:rFonts w:ascii="Verdana" w:hAnsi="Verdana"/>
          <w:highlight w:val="yellow"/>
        </w:rPr>
        <w:t>Where an endnote is marked in the text, there should be a</w:t>
      </w:r>
      <w:r w:rsidR="00B95179" w:rsidRPr="00B95179">
        <w:rPr>
          <w:rFonts w:ascii="Verdana" w:hAnsi="Verdana"/>
          <w:highlight w:val="yellow"/>
        </w:rPr>
        <w:t>n</w:t>
      </w:r>
      <w:r w:rsidRPr="00B95179">
        <w:rPr>
          <w:rFonts w:ascii="Verdana" w:hAnsi="Verdana"/>
          <w:highlight w:val="yellow"/>
        </w:rPr>
        <w:t xml:space="preserve"> </w:t>
      </w:r>
      <w:r w:rsidR="009C2532" w:rsidRPr="00B95179">
        <w:rPr>
          <w:rFonts w:ascii="Verdana" w:hAnsi="Verdana"/>
          <w:highlight w:val="yellow"/>
        </w:rPr>
        <w:t>Arabic</w:t>
      </w:r>
      <w:r w:rsidRPr="00B95179">
        <w:rPr>
          <w:rFonts w:ascii="Verdana" w:hAnsi="Verdana"/>
          <w:highlight w:val="yellow"/>
        </w:rPr>
        <w:t xml:space="preserve"> numeral </w:t>
      </w:r>
      <w:r w:rsidR="001C2C59" w:rsidRPr="00B95179">
        <w:rPr>
          <w:rFonts w:ascii="Verdana" w:hAnsi="Verdana"/>
          <w:highlight w:val="yellow"/>
        </w:rPr>
        <w:t xml:space="preserve">(1,2, 3 not </w:t>
      </w:r>
      <w:proofErr w:type="spellStart"/>
      <w:r w:rsidR="001C2C59" w:rsidRPr="00B95179">
        <w:rPr>
          <w:rFonts w:ascii="Verdana" w:hAnsi="Verdana"/>
          <w:highlight w:val="yellow"/>
        </w:rPr>
        <w:t>i</w:t>
      </w:r>
      <w:proofErr w:type="spellEnd"/>
      <w:r w:rsidR="001C2C59" w:rsidRPr="00B95179">
        <w:rPr>
          <w:rFonts w:ascii="Verdana" w:hAnsi="Verdana"/>
          <w:highlight w:val="yellow"/>
        </w:rPr>
        <w:t xml:space="preserve">, ii and iii) </w:t>
      </w:r>
      <w:r w:rsidRPr="00B95179">
        <w:rPr>
          <w:rFonts w:ascii="Verdana" w:hAnsi="Verdana"/>
          <w:highlight w:val="yellow"/>
        </w:rPr>
        <w:t xml:space="preserve">in superscript </w:t>
      </w:r>
      <w:r w:rsidR="00B95179" w:rsidRPr="00B95179">
        <w:rPr>
          <w:rFonts w:ascii="Verdana" w:hAnsi="Verdana"/>
          <w:highlight w:val="yellow"/>
        </w:rPr>
        <w:t xml:space="preserve">and it should appear at the end of the sentence, </w:t>
      </w:r>
      <w:r w:rsidRPr="00B95179">
        <w:rPr>
          <w:rFonts w:ascii="Verdana" w:hAnsi="Verdana"/>
          <w:highlight w:val="yellow"/>
        </w:rPr>
        <w:t>after the full stop.</w:t>
      </w:r>
      <w:r w:rsidRPr="00CF5C43">
        <w:rPr>
          <w:rFonts w:ascii="Verdana" w:hAnsi="Verdana"/>
        </w:rPr>
        <w:t xml:space="preserve"> </w:t>
      </w:r>
      <w:r w:rsidR="00552493" w:rsidRPr="00CF5C43">
        <w:rPr>
          <w:rFonts w:ascii="Verdana" w:hAnsi="Verdana"/>
        </w:rPr>
        <w:t xml:space="preserve">There should be no more than one endnote referred to at the end of a single sentence, though the accompanying reference can include multiple sources. </w:t>
      </w:r>
      <w:r w:rsidR="00552493" w:rsidRPr="00CF5C43">
        <w:rPr>
          <w:rFonts w:ascii="Verdana" w:hAnsi="Verdana"/>
          <w:highlight w:val="yellow"/>
        </w:rPr>
        <w:t xml:space="preserve">One of the </w:t>
      </w:r>
      <w:r w:rsidRPr="00CF5C43">
        <w:rPr>
          <w:rFonts w:ascii="Verdana" w:hAnsi="Verdana"/>
          <w:highlight w:val="yellow"/>
        </w:rPr>
        <w:t xml:space="preserve">most common </w:t>
      </w:r>
      <w:proofErr w:type="gramStart"/>
      <w:r w:rsidRPr="00CF5C43">
        <w:rPr>
          <w:rFonts w:ascii="Verdana" w:hAnsi="Verdana"/>
          <w:highlight w:val="yellow"/>
        </w:rPr>
        <w:t>error</w:t>
      </w:r>
      <w:proofErr w:type="gramEnd"/>
      <w:r w:rsidRPr="00CF5C43">
        <w:rPr>
          <w:rFonts w:ascii="Verdana" w:hAnsi="Verdana"/>
          <w:highlight w:val="yellow"/>
        </w:rPr>
        <w:t xml:space="preserve"> in drafts submitted to HEPI is strangely-placed references that appear, for example, in the middle of sentences or just before full stops.</w:t>
      </w:r>
      <w:r w:rsidRPr="00CF5C43">
        <w:rPr>
          <w:rFonts w:ascii="Verdana" w:hAnsi="Verdana"/>
        </w:rPr>
        <w:t xml:space="preserve"> When unsure, look at a recent HEPI publication.</w:t>
      </w:r>
    </w:p>
    <w:p w14:paraId="0F9C37FF" w14:textId="77777777" w:rsidR="004A0D1F" w:rsidRPr="00CF5C43" w:rsidRDefault="004A0D1F" w:rsidP="00FF0672">
      <w:pPr>
        <w:ind w:left="142" w:hanging="578"/>
        <w:jc w:val="both"/>
        <w:rPr>
          <w:rFonts w:ascii="Verdana" w:hAnsi="Verdana"/>
        </w:rPr>
      </w:pPr>
    </w:p>
    <w:p w14:paraId="4BAB05D9" w14:textId="036602F1" w:rsidR="004A2607" w:rsidRPr="00CF5C43" w:rsidRDefault="0024698D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  <w:highlight w:val="yellow"/>
        </w:rPr>
        <w:t>Please</w:t>
      </w:r>
      <w:r w:rsidR="004A2607" w:rsidRPr="00CF5C43">
        <w:rPr>
          <w:rFonts w:ascii="Verdana" w:hAnsi="Verdana"/>
          <w:highlight w:val="yellow"/>
        </w:rPr>
        <w:t xml:space="preserve"> use </w:t>
      </w:r>
      <w:r w:rsidR="00CF5C43" w:rsidRPr="00CF5C43">
        <w:rPr>
          <w:rFonts w:ascii="Verdana" w:hAnsi="Verdana"/>
          <w:highlight w:val="yellow"/>
        </w:rPr>
        <w:t>12</w:t>
      </w:r>
      <w:r w:rsidR="004A2607" w:rsidRPr="00CF5C43">
        <w:rPr>
          <w:rFonts w:ascii="Verdana" w:hAnsi="Verdana"/>
          <w:highlight w:val="yellow"/>
        </w:rPr>
        <w:t xml:space="preserve">-point Verdana for the main text and </w:t>
      </w:r>
      <w:r w:rsidR="00CF5C43" w:rsidRPr="00CF5C43">
        <w:rPr>
          <w:rFonts w:ascii="Verdana" w:hAnsi="Verdana"/>
          <w:highlight w:val="yellow"/>
        </w:rPr>
        <w:t>10</w:t>
      </w:r>
      <w:r w:rsidR="004A2607" w:rsidRPr="00CF5C43">
        <w:rPr>
          <w:rFonts w:ascii="Verdana" w:hAnsi="Verdana"/>
          <w:highlight w:val="yellow"/>
        </w:rPr>
        <w:t>-point Verdana for endnotes.</w:t>
      </w:r>
      <w:r w:rsidR="004A2607" w:rsidRPr="00CF5C43">
        <w:rPr>
          <w:rFonts w:ascii="Verdana" w:hAnsi="Verdana"/>
        </w:rPr>
        <w:t xml:space="preserve"> </w:t>
      </w:r>
      <w:r w:rsidR="00CF5C43" w:rsidRPr="00CF5C43">
        <w:rPr>
          <w:rFonts w:ascii="Verdana" w:hAnsi="Verdana"/>
        </w:rPr>
        <w:t xml:space="preserve">In part, this is to avoid serif fonts, which are the ones with swirly bits, which can be harder to read on screen and tend to be difficult for people with dyslexia. </w:t>
      </w:r>
      <w:r w:rsidR="00233305" w:rsidRPr="00CF5C43">
        <w:rPr>
          <w:rFonts w:ascii="Verdana" w:hAnsi="Verdana"/>
        </w:rPr>
        <w:t xml:space="preserve">If you do not have access to Verdana, use Calibri. This note is in </w:t>
      </w:r>
      <w:r w:rsidR="00CF5C43" w:rsidRPr="00CF5C43">
        <w:rPr>
          <w:rFonts w:ascii="Verdana" w:hAnsi="Verdana"/>
        </w:rPr>
        <w:t>12</w:t>
      </w:r>
      <w:r w:rsidR="00233305" w:rsidRPr="00CF5C43">
        <w:rPr>
          <w:rFonts w:ascii="Verdana" w:hAnsi="Verdana"/>
        </w:rPr>
        <w:t xml:space="preserve">-point Verdana. It </w:t>
      </w:r>
      <w:r w:rsidR="004A2607" w:rsidRPr="00CF5C43">
        <w:rPr>
          <w:rFonts w:ascii="Verdana" w:hAnsi="Verdana"/>
        </w:rPr>
        <w:t xml:space="preserve">may seem </w:t>
      </w:r>
      <w:proofErr w:type="gramStart"/>
      <w:r w:rsidR="004A2607" w:rsidRPr="00CF5C43">
        <w:rPr>
          <w:rFonts w:ascii="Verdana" w:hAnsi="Verdana"/>
        </w:rPr>
        <w:t>large</w:t>
      </w:r>
      <w:proofErr w:type="gramEnd"/>
      <w:r w:rsidR="004A2607" w:rsidRPr="00CF5C43">
        <w:rPr>
          <w:rFonts w:ascii="Verdana" w:hAnsi="Verdana"/>
        </w:rPr>
        <w:t xml:space="preserve"> but </w:t>
      </w:r>
      <w:r w:rsidR="00233305" w:rsidRPr="00CF5C43">
        <w:rPr>
          <w:rFonts w:ascii="Verdana" w:hAnsi="Verdana"/>
        </w:rPr>
        <w:t>this</w:t>
      </w:r>
      <w:r w:rsidR="004A2607" w:rsidRPr="00CF5C43">
        <w:rPr>
          <w:rFonts w:ascii="Verdana" w:hAnsi="Verdana"/>
        </w:rPr>
        <w:t xml:space="preserve"> </w:t>
      </w:r>
      <w:r w:rsidR="00B95179">
        <w:rPr>
          <w:rFonts w:ascii="Verdana" w:hAnsi="Verdana"/>
        </w:rPr>
        <w:t>aids</w:t>
      </w:r>
      <w:r w:rsidR="00233305" w:rsidRPr="00CF5C43">
        <w:rPr>
          <w:rFonts w:ascii="Verdana" w:hAnsi="Verdana"/>
        </w:rPr>
        <w:t xml:space="preserve"> </w:t>
      </w:r>
      <w:r w:rsidR="004A2607" w:rsidRPr="00CF5C43">
        <w:rPr>
          <w:rFonts w:ascii="Verdana" w:hAnsi="Verdana"/>
        </w:rPr>
        <w:t>the editing process</w:t>
      </w:r>
      <w:r w:rsidR="00233305" w:rsidRPr="00CF5C43">
        <w:rPr>
          <w:rFonts w:ascii="Verdana" w:hAnsi="Verdana"/>
        </w:rPr>
        <w:t xml:space="preserve"> – for example, it allows </w:t>
      </w:r>
      <w:r w:rsidR="001C2C59" w:rsidRPr="00CF5C43">
        <w:rPr>
          <w:rFonts w:ascii="Verdana" w:hAnsi="Verdana"/>
        </w:rPr>
        <w:t>room</w:t>
      </w:r>
      <w:r w:rsidR="00233305" w:rsidRPr="00CF5C43">
        <w:rPr>
          <w:rFonts w:ascii="Verdana" w:hAnsi="Verdana"/>
        </w:rPr>
        <w:t xml:space="preserve"> for handwritten comments</w:t>
      </w:r>
      <w:r w:rsidR="004A2607" w:rsidRPr="00CF5C43">
        <w:rPr>
          <w:rFonts w:ascii="Verdana" w:hAnsi="Verdana"/>
        </w:rPr>
        <w:t xml:space="preserve">. </w:t>
      </w:r>
    </w:p>
    <w:p w14:paraId="5D69043E" w14:textId="77777777" w:rsidR="004A0D1F" w:rsidRPr="00CF5C43" w:rsidRDefault="004A0D1F" w:rsidP="00FF0672">
      <w:pPr>
        <w:ind w:left="142" w:hanging="578"/>
        <w:jc w:val="both"/>
        <w:rPr>
          <w:rFonts w:ascii="Verdana" w:hAnsi="Verdana" w:cstheme="minorHAnsi"/>
        </w:rPr>
      </w:pPr>
    </w:p>
    <w:p w14:paraId="7B0C31C4" w14:textId="5DF9B126" w:rsidR="004A2607" w:rsidRDefault="004A2607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 w:rsidRPr="00CF5C43">
        <w:rPr>
          <w:rFonts w:ascii="Verdana" w:hAnsi="Verdana"/>
        </w:rPr>
        <w:t>Bibliographies are not necessary because we include sufficient details of the relevant source material in the endnotes.</w:t>
      </w:r>
    </w:p>
    <w:p w14:paraId="6364EAC8" w14:textId="77777777" w:rsidR="006462E1" w:rsidRPr="006462E1" w:rsidRDefault="006462E1" w:rsidP="006462E1">
      <w:pPr>
        <w:pStyle w:val="ListParagraph"/>
        <w:rPr>
          <w:rFonts w:ascii="Verdana" w:hAnsi="Verdana"/>
        </w:rPr>
      </w:pPr>
    </w:p>
    <w:p w14:paraId="4F0DE708" w14:textId="29F6A41F" w:rsidR="006462E1" w:rsidRPr="00CF5C43" w:rsidRDefault="006462E1" w:rsidP="00FF0672">
      <w:pPr>
        <w:pStyle w:val="ListParagraph"/>
        <w:numPr>
          <w:ilvl w:val="0"/>
          <w:numId w:val="5"/>
        </w:numPr>
        <w:ind w:hanging="578"/>
        <w:jc w:val="both"/>
        <w:rPr>
          <w:rFonts w:ascii="Verdana" w:hAnsi="Verdana"/>
        </w:rPr>
      </w:pPr>
      <w:r>
        <w:rPr>
          <w:rFonts w:ascii="Verdana" w:hAnsi="Verdana"/>
        </w:rPr>
        <w:t>Thank you for taking the time and trouble to consider writing for HEPI.</w:t>
      </w:r>
    </w:p>
    <w:p w14:paraId="42FC2C32" w14:textId="3F526BEA" w:rsidR="00985C86" w:rsidRPr="00CF5C43" w:rsidRDefault="00985C86" w:rsidP="00532089">
      <w:pPr>
        <w:jc w:val="both"/>
        <w:rPr>
          <w:rFonts w:ascii="Verdana" w:hAnsi="Verdana"/>
        </w:rPr>
      </w:pPr>
    </w:p>
    <w:p w14:paraId="5802B757" w14:textId="77777777" w:rsidR="002E5CC5" w:rsidRPr="00CF5C43" w:rsidRDefault="002E5CC5" w:rsidP="00532089">
      <w:pPr>
        <w:jc w:val="both"/>
        <w:rPr>
          <w:rFonts w:ascii="Verdana" w:hAnsi="Verdana"/>
        </w:rPr>
      </w:pPr>
    </w:p>
    <w:p w14:paraId="79CB0F60" w14:textId="77777777" w:rsidR="004A2607" w:rsidRPr="00CF5C43" w:rsidRDefault="004A2607" w:rsidP="004A2607">
      <w:pPr>
        <w:jc w:val="both"/>
        <w:rPr>
          <w:rFonts w:ascii="Verdana" w:hAnsi="Verdana"/>
          <w:b/>
        </w:rPr>
      </w:pPr>
      <w:r w:rsidRPr="00CF5C43">
        <w:rPr>
          <w:rFonts w:ascii="Verdana" w:hAnsi="Verdana"/>
          <w:b/>
        </w:rPr>
        <w:t>Nick Hillman</w:t>
      </w:r>
    </w:p>
    <w:p w14:paraId="085B8379" w14:textId="0D769E09" w:rsidR="00432E1B" w:rsidRPr="00CF5C43" w:rsidRDefault="00142966" w:rsidP="00896A24">
      <w:pPr>
        <w:jc w:val="both"/>
        <w:rPr>
          <w:rFonts w:ascii="Verdana" w:hAnsi="Verdana"/>
          <w:b/>
        </w:rPr>
        <w:sectPr w:rsidR="00432E1B" w:rsidRPr="00CF5C43" w:rsidSect="002908A9">
          <w:headerReference w:type="default" r:id="rId8"/>
          <w:footerReference w:type="default" r:id="rId9"/>
          <w:endnotePr>
            <w:numFmt w:val="decimal"/>
          </w:endnotePr>
          <w:type w:val="continuous"/>
          <w:pgSz w:w="11900" w:h="16840" w:code="1"/>
          <w:pgMar w:top="2308" w:right="1270" w:bottom="1729" w:left="1270" w:header="567" w:footer="284" w:gutter="0"/>
          <w:cols w:space="708"/>
          <w:docGrid w:linePitch="360"/>
        </w:sectPr>
      </w:pPr>
      <w:r>
        <w:rPr>
          <w:rFonts w:ascii="Verdana" w:hAnsi="Verdana"/>
          <w:b/>
        </w:rPr>
        <w:t xml:space="preserve">February </w:t>
      </w:r>
      <w:r w:rsidR="00220ECC" w:rsidRPr="00CF5C43">
        <w:rPr>
          <w:rFonts w:ascii="Verdana" w:hAnsi="Verdana"/>
          <w:b/>
        </w:rPr>
        <w:t>20</w:t>
      </w:r>
      <w:r w:rsidR="00D6113B" w:rsidRPr="00CF5C43">
        <w:rPr>
          <w:rFonts w:ascii="Verdana" w:hAnsi="Verdana"/>
          <w:b/>
        </w:rPr>
        <w:t>2</w:t>
      </w:r>
      <w:r>
        <w:rPr>
          <w:rFonts w:ascii="Verdana" w:hAnsi="Verdana"/>
          <w:b/>
        </w:rPr>
        <w:t>4</w:t>
      </w:r>
    </w:p>
    <w:p w14:paraId="278D4871" w14:textId="77777777" w:rsidR="004C7381" w:rsidRPr="00CF5C43" w:rsidRDefault="004C7381" w:rsidP="00896A24">
      <w:pPr>
        <w:jc w:val="both"/>
        <w:rPr>
          <w:rFonts w:ascii="Verdana" w:hAnsi="Verdana" w:cs="Arial"/>
        </w:rPr>
      </w:pPr>
    </w:p>
    <w:sectPr w:rsidR="004C7381" w:rsidRPr="00CF5C43" w:rsidSect="00881113">
      <w:headerReference w:type="default" r:id="rId10"/>
      <w:pgSz w:w="12240" w:h="15840" w:code="1"/>
      <w:pgMar w:top="1304" w:right="1041" w:bottom="181" w:left="130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D9D2" w14:textId="77777777" w:rsidR="001C773B" w:rsidRDefault="001C773B">
      <w:r>
        <w:separator/>
      </w:r>
    </w:p>
  </w:endnote>
  <w:endnote w:type="continuationSeparator" w:id="0">
    <w:p w14:paraId="4154A526" w14:textId="77777777" w:rsidR="001C773B" w:rsidRDefault="001C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1FDC3" w14:textId="77777777" w:rsidR="006C47C2" w:rsidRPr="006C47C2" w:rsidRDefault="006C47C2" w:rsidP="006C47C2">
    <w:pPr>
      <w:pStyle w:val="Footer"/>
      <w:jc w:val="center"/>
      <w:rPr>
        <w:rFonts w:ascii="Verdana" w:hAnsi="Verdana"/>
        <w:color w:val="333399"/>
        <w:sz w:val="20"/>
        <w:szCs w:val="20"/>
      </w:rPr>
    </w:pPr>
  </w:p>
  <w:p w14:paraId="66D48122" w14:textId="77777777" w:rsidR="006C47C2" w:rsidRPr="006C47C2" w:rsidRDefault="006C47C2" w:rsidP="006C47C2">
    <w:pPr>
      <w:tabs>
        <w:tab w:val="center" w:pos="4680"/>
        <w:tab w:val="right" w:pos="9360"/>
      </w:tabs>
      <w:jc w:val="center"/>
      <w:rPr>
        <w:rFonts w:ascii="Verdana" w:eastAsia="DengXian" w:hAnsi="Verdana" w:cs="Arial"/>
        <w:color w:val="333399"/>
        <w:sz w:val="20"/>
        <w:szCs w:val="20"/>
        <w:lang w:eastAsia="zh-CN"/>
      </w:rPr>
    </w:pPr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99 Banbury </w:t>
    </w:r>
    <w:proofErr w:type="gramStart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>Road  Oxford</w:t>
    </w:r>
    <w:proofErr w:type="gramEnd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  OX2 6JX</w:t>
    </w:r>
  </w:p>
  <w:p w14:paraId="016AF4CF" w14:textId="1342C905" w:rsidR="006C47C2" w:rsidRPr="006C47C2" w:rsidRDefault="006C47C2" w:rsidP="006C47C2">
    <w:pPr>
      <w:tabs>
        <w:tab w:val="center" w:pos="4680"/>
        <w:tab w:val="right" w:pos="9360"/>
      </w:tabs>
      <w:jc w:val="center"/>
      <w:rPr>
        <w:rFonts w:ascii="Verdana" w:eastAsia="DengXian" w:hAnsi="Verdana" w:cs="Arial"/>
        <w:color w:val="333399"/>
        <w:sz w:val="20"/>
        <w:szCs w:val="20"/>
        <w:lang w:eastAsia="zh-CN"/>
      </w:rPr>
    </w:pPr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admin@hepi.ac.uk   www.hepi.ac.uk </w:t>
    </w:r>
  </w:p>
  <w:p w14:paraId="7F3E5B8C" w14:textId="55B8E633" w:rsidR="006C47C2" w:rsidRPr="006C47C2" w:rsidRDefault="006C47C2" w:rsidP="006C47C2">
    <w:pPr>
      <w:tabs>
        <w:tab w:val="center" w:pos="4680"/>
        <w:tab w:val="right" w:pos="9360"/>
      </w:tabs>
      <w:jc w:val="center"/>
      <w:rPr>
        <w:rFonts w:ascii="Verdana" w:eastAsia="DengXian" w:hAnsi="Verdana" w:cs="Arial"/>
        <w:color w:val="333399"/>
        <w:sz w:val="20"/>
        <w:szCs w:val="20"/>
        <w:lang w:eastAsia="zh-CN"/>
      </w:rPr>
    </w:pPr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Company No. </w:t>
    </w:r>
    <w:proofErr w:type="gramStart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>4503712  Charity</w:t>
    </w:r>
    <w:proofErr w:type="gramEnd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 No. 1099645  VAT No. 844791395</w:t>
    </w:r>
  </w:p>
  <w:p w14:paraId="164B0C77" w14:textId="77777777" w:rsidR="006C47C2" w:rsidRPr="006C47C2" w:rsidRDefault="006C47C2" w:rsidP="006C47C2">
    <w:pPr>
      <w:tabs>
        <w:tab w:val="center" w:pos="4680"/>
        <w:tab w:val="right" w:pos="9360"/>
      </w:tabs>
      <w:jc w:val="center"/>
      <w:rPr>
        <w:rFonts w:ascii="Verdana" w:eastAsia="DengXian" w:hAnsi="Verdana" w:cs="Arial"/>
        <w:color w:val="333399"/>
        <w:sz w:val="20"/>
        <w:szCs w:val="20"/>
        <w:lang w:eastAsia="zh-CN"/>
      </w:rPr>
    </w:pPr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>Twitter: @Hepi_News</w:t>
    </w:r>
  </w:p>
  <w:p w14:paraId="5829E0F5" w14:textId="77777777" w:rsidR="006C47C2" w:rsidRPr="006C47C2" w:rsidRDefault="006C47C2" w:rsidP="006C47C2">
    <w:pPr>
      <w:tabs>
        <w:tab w:val="center" w:pos="4680"/>
        <w:tab w:val="right" w:pos="9360"/>
      </w:tabs>
      <w:jc w:val="center"/>
      <w:rPr>
        <w:rFonts w:ascii="Verdana" w:eastAsia="DengXian" w:hAnsi="Verdana" w:cs="Arial"/>
        <w:sz w:val="20"/>
        <w:szCs w:val="20"/>
        <w:lang w:eastAsia="zh-CN"/>
      </w:rPr>
    </w:pPr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Chair: Professor Sally </w:t>
    </w:r>
    <w:proofErr w:type="spellStart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>Mapstone</w:t>
    </w:r>
    <w:proofErr w:type="spellEnd"/>
    <w:r w:rsidRPr="006C47C2">
      <w:rPr>
        <w:rFonts w:ascii="Verdana" w:eastAsia="DengXian" w:hAnsi="Verdana" w:cs="Arial"/>
        <w:color w:val="333399"/>
        <w:sz w:val="20"/>
        <w:szCs w:val="20"/>
        <w:lang w:eastAsia="zh-CN"/>
      </w:rPr>
      <w:t xml:space="preserve">    Director: Nick Hillman</w:t>
    </w:r>
  </w:p>
  <w:p w14:paraId="4FC819DD" w14:textId="1758B891" w:rsidR="00E35396" w:rsidRPr="006C47C2" w:rsidRDefault="00E35396" w:rsidP="006C4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9C63D" w14:textId="77777777" w:rsidR="001C773B" w:rsidRDefault="001C773B">
      <w:r>
        <w:separator/>
      </w:r>
    </w:p>
  </w:footnote>
  <w:footnote w:type="continuationSeparator" w:id="0">
    <w:p w14:paraId="10A17E3B" w14:textId="77777777" w:rsidR="001C773B" w:rsidRDefault="001C7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6E09" w14:textId="4BEC295C" w:rsidR="00E35396" w:rsidRPr="00415058" w:rsidRDefault="00E35396" w:rsidP="003D5601">
    <w:pPr>
      <w:pStyle w:val="Header"/>
      <w:jc w:val="right"/>
      <w:rPr>
        <w:color w:val="333399"/>
      </w:rPr>
    </w:pPr>
    <w:r>
      <w:rPr>
        <w:b/>
        <w:bCs/>
        <w:noProof/>
        <w:lang w:val="en-US"/>
      </w:rPr>
      <w:drawing>
        <wp:inline distT="0" distB="0" distL="0" distR="0" wp14:anchorId="2B624F3F" wp14:editId="7586FBED">
          <wp:extent cx="1812925" cy="1041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FF1D3" w14:textId="77777777" w:rsidR="00E35396" w:rsidRDefault="00E35396" w:rsidP="00A051E8">
    <w:pPr>
      <w:pStyle w:val="Header"/>
      <w:jc w:val="center"/>
      <w:rPr>
        <w:b/>
        <w:bCs/>
      </w:rPr>
    </w:pPr>
  </w:p>
  <w:p w14:paraId="53FD202A" w14:textId="77777777" w:rsidR="00E35396" w:rsidRPr="00415058" w:rsidRDefault="00E35396" w:rsidP="00A051E8">
    <w:pPr>
      <w:pStyle w:val="Header"/>
      <w:jc w:val="center"/>
      <w:rPr>
        <w:color w:val="333399"/>
      </w:rPr>
    </w:pPr>
    <w:r>
      <w:rPr>
        <w:b/>
        <w:bCs/>
        <w:noProof/>
        <w:lang w:val="en-US"/>
      </w:rPr>
      <w:drawing>
        <wp:inline distT="0" distB="0" distL="0" distR="0" wp14:anchorId="567B9D58" wp14:editId="5F5028AF">
          <wp:extent cx="1812925" cy="1041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210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1774F0"/>
    <w:multiLevelType w:val="hybridMultilevel"/>
    <w:tmpl w:val="CCBCF3E0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C70F95"/>
    <w:multiLevelType w:val="hybridMultilevel"/>
    <w:tmpl w:val="01265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93B49"/>
    <w:multiLevelType w:val="hybridMultilevel"/>
    <w:tmpl w:val="39FCF756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CFE0CF7"/>
    <w:multiLevelType w:val="multilevel"/>
    <w:tmpl w:val="D13A4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6DF"/>
    <w:multiLevelType w:val="hybridMultilevel"/>
    <w:tmpl w:val="EE306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0EFDA">
      <w:start w:val="1"/>
      <w:numFmt w:val="lowerRoman"/>
      <w:lvlText w:val="%2."/>
      <w:lvlJc w:val="right"/>
      <w:pPr>
        <w:ind w:left="144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8B9"/>
    <w:multiLevelType w:val="hybridMultilevel"/>
    <w:tmpl w:val="6040E6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40EC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8604FF2"/>
    <w:multiLevelType w:val="hybridMultilevel"/>
    <w:tmpl w:val="5860E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10C75"/>
    <w:multiLevelType w:val="hybridMultilevel"/>
    <w:tmpl w:val="3D262C5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1CCE44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E3054B3"/>
    <w:multiLevelType w:val="multilevel"/>
    <w:tmpl w:val="A636FC7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2775CC"/>
    <w:multiLevelType w:val="hybridMultilevel"/>
    <w:tmpl w:val="A62EB0B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C551D"/>
    <w:multiLevelType w:val="multilevel"/>
    <w:tmpl w:val="FC8C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23D13"/>
    <w:multiLevelType w:val="multilevel"/>
    <w:tmpl w:val="601205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56B37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B342671"/>
    <w:multiLevelType w:val="hybridMultilevel"/>
    <w:tmpl w:val="EBC44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D9DC5254">
      <w:start w:val="1"/>
      <w:numFmt w:val="bullet"/>
      <w:lvlText w:val="-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02E4B"/>
    <w:multiLevelType w:val="hybridMultilevel"/>
    <w:tmpl w:val="6F9ACF10"/>
    <w:lvl w:ilvl="0" w:tplc="21C875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A2223C"/>
    <w:multiLevelType w:val="hybridMultilevel"/>
    <w:tmpl w:val="32DCAD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3550C4A"/>
    <w:multiLevelType w:val="hybridMultilevel"/>
    <w:tmpl w:val="5BB8F812"/>
    <w:lvl w:ilvl="0" w:tplc="623AA3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315A7"/>
    <w:multiLevelType w:val="multilevel"/>
    <w:tmpl w:val="F01E5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16F4E"/>
    <w:multiLevelType w:val="multilevel"/>
    <w:tmpl w:val="A1AE1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53191B"/>
    <w:multiLevelType w:val="hybridMultilevel"/>
    <w:tmpl w:val="9C88BA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4DC5DB3"/>
    <w:multiLevelType w:val="hybridMultilevel"/>
    <w:tmpl w:val="B0B4947C"/>
    <w:lvl w:ilvl="0" w:tplc="BE58D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72903"/>
    <w:multiLevelType w:val="hybridMultilevel"/>
    <w:tmpl w:val="4A868614"/>
    <w:lvl w:ilvl="0" w:tplc="998898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44E2D"/>
    <w:multiLevelType w:val="hybridMultilevel"/>
    <w:tmpl w:val="A636FC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B0F4137"/>
    <w:multiLevelType w:val="hybridMultilevel"/>
    <w:tmpl w:val="3D36D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BED193A"/>
    <w:multiLevelType w:val="multilevel"/>
    <w:tmpl w:val="0A7C71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B462B"/>
    <w:multiLevelType w:val="hybridMultilevel"/>
    <w:tmpl w:val="434878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FFD65A0"/>
    <w:multiLevelType w:val="multilevel"/>
    <w:tmpl w:val="6F9AC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3A2D88"/>
    <w:multiLevelType w:val="hybridMultilevel"/>
    <w:tmpl w:val="125211D8"/>
    <w:lvl w:ilvl="0" w:tplc="CEEE0E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8B4AA9"/>
    <w:multiLevelType w:val="multilevel"/>
    <w:tmpl w:val="3D262C54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551A1AA1"/>
    <w:multiLevelType w:val="hybridMultilevel"/>
    <w:tmpl w:val="8BAA975E"/>
    <w:lvl w:ilvl="0" w:tplc="8B4C8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C15FB6"/>
    <w:multiLevelType w:val="hybridMultilevel"/>
    <w:tmpl w:val="2820C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874035"/>
    <w:multiLevelType w:val="hybridMultilevel"/>
    <w:tmpl w:val="C2C4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EDB44CF"/>
    <w:multiLevelType w:val="hybridMultilevel"/>
    <w:tmpl w:val="E7CAB6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0AB53C8"/>
    <w:multiLevelType w:val="multilevel"/>
    <w:tmpl w:val="746A8CDE"/>
    <w:name w:val="FreethClsList"/>
    <w:lvl w:ilvl="0">
      <w:start w:val="1"/>
      <w:numFmt w:val="decimal"/>
      <w:pStyle w:val="Clause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pStyle w:val="Clause11"/>
      <w:lvlText w:val="%1.%2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decimal"/>
      <w:pStyle w:val="Clause111"/>
      <w:lvlText w:val="%1.%2.%3."/>
      <w:lvlJc w:val="left"/>
      <w:pPr>
        <w:tabs>
          <w:tab w:val="num" w:pos="2552"/>
        </w:tabs>
        <w:ind w:left="2552" w:hanging="1134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pStyle w:val="Clause1111"/>
      <w:lvlText w:val="%1.%2.%3.%4."/>
      <w:lvlJc w:val="left"/>
      <w:pPr>
        <w:tabs>
          <w:tab w:val="num" w:pos="3969"/>
        </w:tabs>
        <w:ind w:left="3969" w:hanging="1417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pStyle w:val="Clause11111"/>
      <w:lvlText w:val="%1.%2.%3.%4.%5."/>
      <w:lvlJc w:val="left"/>
      <w:pPr>
        <w:tabs>
          <w:tab w:val="num" w:pos="5670"/>
        </w:tabs>
        <w:ind w:left="5670" w:hanging="1701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664944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B864A6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D46780B"/>
    <w:multiLevelType w:val="multilevel"/>
    <w:tmpl w:val="67F6C8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906F14"/>
    <w:multiLevelType w:val="hybridMultilevel"/>
    <w:tmpl w:val="67F6C8CC"/>
    <w:lvl w:ilvl="0" w:tplc="3DBCBC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8745B5"/>
    <w:multiLevelType w:val="hybridMultilevel"/>
    <w:tmpl w:val="D378469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73C187F"/>
    <w:multiLevelType w:val="hybridMultilevel"/>
    <w:tmpl w:val="FC8C1E34"/>
    <w:lvl w:ilvl="0" w:tplc="DEE24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093C28"/>
    <w:multiLevelType w:val="hybridMultilevel"/>
    <w:tmpl w:val="F6C8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66B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B76313E"/>
    <w:multiLevelType w:val="hybridMultilevel"/>
    <w:tmpl w:val="9E40AC50"/>
    <w:lvl w:ilvl="0" w:tplc="04090001">
      <w:start w:val="1"/>
      <w:numFmt w:val="bullet"/>
      <w:lvlText w:val=""/>
      <w:lvlJc w:val="left"/>
      <w:pPr>
        <w:tabs>
          <w:tab w:val="num" w:pos="4065"/>
        </w:tabs>
        <w:ind w:left="4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785"/>
        </w:tabs>
        <w:ind w:left="4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505"/>
        </w:tabs>
        <w:ind w:left="5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225"/>
        </w:tabs>
        <w:ind w:left="6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945"/>
        </w:tabs>
        <w:ind w:left="6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665"/>
        </w:tabs>
        <w:ind w:left="7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385"/>
        </w:tabs>
        <w:ind w:left="8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105"/>
        </w:tabs>
        <w:ind w:left="9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825"/>
        </w:tabs>
        <w:ind w:left="9825" w:hanging="360"/>
      </w:pPr>
      <w:rPr>
        <w:rFonts w:ascii="Wingdings" w:hAnsi="Wingdings" w:hint="default"/>
      </w:rPr>
    </w:lvl>
  </w:abstractNum>
  <w:num w:numId="1" w16cid:durableId="605889258">
    <w:abstractNumId w:val="45"/>
  </w:num>
  <w:num w:numId="2" w16cid:durableId="1284113092">
    <w:abstractNumId w:val="33"/>
  </w:num>
  <w:num w:numId="3" w16cid:durableId="1923948154">
    <w:abstractNumId w:val="36"/>
  </w:num>
  <w:num w:numId="4" w16cid:durableId="2088961721">
    <w:abstractNumId w:val="8"/>
  </w:num>
  <w:num w:numId="5" w16cid:durableId="1274090054">
    <w:abstractNumId w:val="2"/>
  </w:num>
  <w:num w:numId="6" w16cid:durableId="1186867834">
    <w:abstractNumId w:val="25"/>
  </w:num>
  <w:num w:numId="7" w16cid:durableId="1942302379">
    <w:abstractNumId w:val="22"/>
  </w:num>
  <w:num w:numId="8" w16cid:durableId="1736664332">
    <w:abstractNumId w:val="34"/>
  </w:num>
  <w:num w:numId="9" w16cid:durableId="518203783">
    <w:abstractNumId w:val="28"/>
  </w:num>
  <w:num w:numId="10" w16cid:durableId="1546331643">
    <w:abstractNumId w:val="6"/>
  </w:num>
  <w:num w:numId="11" w16cid:durableId="1815944676">
    <w:abstractNumId w:val="18"/>
  </w:num>
  <w:num w:numId="12" w16cid:durableId="1029137096">
    <w:abstractNumId w:val="35"/>
  </w:num>
  <w:num w:numId="13" w16cid:durableId="852496862">
    <w:abstractNumId w:val="1"/>
  </w:num>
  <w:num w:numId="14" w16cid:durableId="532576403">
    <w:abstractNumId w:val="20"/>
  </w:num>
  <w:num w:numId="15" w16cid:durableId="1483621940">
    <w:abstractNumId w:val="32"/>
  </w:num>
  <w:num w:numId="16" w16cid:durableId="841891524">
    <w:abstractNumId w:val="10"/>
  </w:num>
  <w:num w:numId="17" w16cid:durableId="329871881">
    <w:abstractNumId w:val="19"/>
  </w:num>
  <w:num w:numId="18" w16cid:durableId="419326803">
    <w:abstractNumId w:val="7"/>
  </w:num>
  <w:num w:numId="19" w16cid:durableId="649483347">
    <w:abstractNumId w:val="24"/>
  </w:num>
  <w:num w:numId="20" w16cid:durableId="2057049854">
    <w:abstractNumId w:val="37"/>
  </w:num>
  <w:num w:numId="21" w16cid:durableId="1485318243">
    <w:abstractNumId w:val="23"/>
  </w:num>
  <w:num w:numId="22" w16cid:durableId="559249845">
    <w:abstractNumId w:val="17"/>
  </w:num>
  <w:num w:numId="23" w16cid:durableId="1513082">
    <w:abstractNumId w:val="0"/>
  </w:num>
  <w:num w:numId="24" w16cid:durableId="1148588961">
    <w:abstractNumId w:val="29"/>
  </w:num>
  <w:num w:numId="25" w16cid:durableId="2026710334">
    <w:abstractNumId w:val="38"/>
  </w:num>
  <w:num w:numId="26" w16cid:durableId="1048069439">
    <w:abstractNumId w:val="40"/>
  </w:num>
  <w:num w:numId="27" w16cid:durableId="1059208961">
    <w:abstractNumId w:val="44"/>
  </w:num>
  <w:num w:numId="28" w16cid:durableId="1288663916">
    <w:abstractNumId w:val="39"/>
  </w:num>
  <w:num w:numId="29" w16cid:durableId="1036276210">
    <w:abstractNumId w:val="27"/>
  </w:num>
  <w:num w:numId="30" w16cid:durableId="448814782">
    <w:abstractNumId w:val="42"/>
  </w:num>
  <w:num w:numId="31" w16cid:durableId="534386049">
    <w:abstractNumId w:val="13"/>
  </w:num>
  <w:num w:numId="32" w16cid:durableId="749619319">
    <w:abstractNumId w:val="3"/>
  </w:num>
  <w:num w:numId="33" w16cid:durableId="1946689255">
    <w:abstractNumId w:val="9"/>
  </w:num>
  <w:num w:numId="34" w16cid:durableId="1038119934">
    <w:abstractNumId w:val="31"/>
  </w:num>
  <w:num w:numId="35" w16cid:durableId="328754683">
    <w:abstractNumId w:val="15"/>
  </w:num>
  <w:num w:numId="36" w16cid:durableId="1801462202">
    <w:abstractNumId w:val="30"/>
  </w:num>
  <w:num w:numId="37" w16cid:durableId="1075973011">
    <w:abstractNumId w:val="21"/>
  </w:num>
  <w:num w:numId="38" w16cid:durableId="1076634721">
    <w:abstractNumId w:val="43"/>
  </w:num>
  <w:num w:numId="39" w16cid:durableId="532034068">
    <w:abstractNumId w:val="11"/>
  </w:num>
  <w:num w:numId="40" w16cid:durableId="1154227040">
    <w:abstractNumId w:val="12"/>
  </w:num>
  <w:num w:numId="41" w16cid:durableId="1895654179">
    <w:abstractNumId w:val="41"/>
  </w:num>
  <w:num w:numId="42" w16cid:durableId="37168383">
    <w:abstractNumId w:val="16"/>
  </w:num>
  <w:num w:numId="43" w16cid:durableId="1179127177">
    <w:abstractNumId w:val="4"/>
  </w:num>
  <w:num w:numId="44" w16cid:durableId="149685293">
    <w:abstractNumId w:val="5"/>
  </w:num>
  <w:num w:numId="45" w16cid:durableId="1909996773">
    <w:abstractNumId w:val="26"/>
  </w:num>
  <w:num w:numId="46" w16cid:durableId="17106879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7D"/>
    <w:rsid w:val="00001E07"/>
    <w:rsid w:val="000117D2"/>
    <w:rsid w:val="00015C4F"/>
    <w:rsid w:val="00017436"/>
    <w:rsid w:val="000316B4"/>
    <w:rsid w:val="00032CF1"/>
    <w:rsid w:val="00033007"/>
    <w:rsid w:val="00042711"/>
    <w:rsid w:val="000430A3"/>
    <w:rsid w:val="0005591E"/>
    <w:rsid w:val="0005657C"/>
    <w:rsid w:val="00070D22"/>
    <w:rsid w:val="000764A0"/>
    <w:rsid w:val="00083891"/>
    <w:rsid w:val="000961F5"/>
    <w:rsid w:val="000A3610"/>
    <w:rsid w:val="000A3657"/>
    <w:rsid w:val="000A4A38"/>
    <w:rsid w:val="000A6C53"/>
    <w:rsid w:val="000B507D"/>
    <w:rsid w:val="000B5F97"/>
    <w:rsid w:val="000C1D58"/>
    <w:rsid w:val="000D0C87"/>
    <w:rsid w:val="000F542F"/>
    <w:rsid w:val="001031C7"/>
    <w:rsid w:val="00142966"/>
    <w:rsid w:val="0016354F"/>
    <w:rsid w:val="0016519E"/>
    <w:rsid w:val="00165FA8"/>
    <w:rsid w:val="00192433"/>
    <w:rsid w:val="001970BF"/>
    <w:rsid w:val="001B266D"/>
    <w:rsid w:val="001C2C59"/>
    <w:rsid w:val="001C3E1D"/>
    <w:rsid w:val="001C773B"/>
    <w:rsid w:val="001D520F"/>
    <w:rsid w:val="00213E82"/>
    <w:rsid w:val="00216772"/>
    <w:rsid w:val="00220ECC"/>
    <w:rsid w:val="00233305"/>
    <w:rsid w:val="0024698D"/>
    <w:rsid w:val="0025650D"/>
    <w:rsid w:val="00285957"/>
    <w:rsid w:val="002908A9"/>
    <w:rsid w:val="002A1E8F"/>
    <w:rsid w:val="002A2F1A"/>
    <w:rsid w:val="002A53B5"/>
    <w:rsid w:val="002A5705"/>
    <w:rsid w:val="002D1DED"/>
    <w:rsid w:val="002D7874"/>
    <w:rsid w:val="002E0A2F"/>
    <w:rsid w:val="002E38C5"/>
    <w:rsid w:val="002E52D1"/>
    <w:rsid w:val="002E59C3"/>
    <w:rsid w:val="002E5CC5"/>
    <w:rsid w:val="002F22B4"/>
    <w:rsid w:val="00302ACE"/>
    <w:rsid w:val="003035EA"/>
    <w:rsid w:val="0031768D"/>
    <w:rsid w:val="0032052F"/>
    <w:rsid w:val="0033063F"/>
    <w:rsid w:val="00343B69"/>
    <w:rsid w:val="003461EF"/>
    <w:rsid w:val="00346870"/>
    <w:rsid w:val="00350E83"/>
    <w:rsid w:val="00381702"/>
    <w:rsid w:val="003A5097"/>
    <w:rsid w:val="003A6152"/>
    <w:rsid w:val="003A6566"/>
    <w:rsid w:val="003B2B7F"/>
    <w:rsid w:val="003C32DC"/>
    <w:rsid w:val="003D235D"/>
    <w:rsid w:val="003D3432"/>
    <w:rsid w:val="003D5601"/>
    <w:rsid w:val="003E7066"/>
    <w:rsid w:val="003F1301"/>
    <w:rsid w:val="003F4C67"/>
    <w:rsid w:val="00401CB9"/>
    <w:rsid w:val="00413DF8"/>
    <w:rsid w:val="00415058"/>
    <w:rsid w:val="00432E1B"/>
    <w:rsid w:val="004332E2"/>
    <w:rsid w:val="00442103"/>
    <w:rsid w:val="00442315"/>
    <w:rsid w:val="00467573"/>
    <w:rsid w:val="004737C2"/>
    <w:rsid w:val="004825D7"/>
    <w:rsid w:val="004835C1"/>
    <w:rsid w:val="004859BE"/>
    <w:rsid w:val="004914C6"/>
    <w:rsid w:val="004A0D1F"/>
    <w:rsid w:val="004A2607"/>
    <w:rsid w:val="004B1E62"/>
    <w:rsid w:val="004C045C"/>
    <w:rsid w:val="004C0D4D"/>
    <w:rsid w:val="004C7381"/>
    <w:rsid w:val="004E0A61"/>
    <w:rsid w:val="00507CA6"/>
    <w:rsid w:val="0051016E"/>
    <w:rsid w:val="00520DD3"/>
    <w:rsid w:val="00521D3B"/>
    <w:rsid w:val="00522327"/>
    <w:rsid w:val="0053131F"/>
    <w:rsid w:val="00531AAC"/>
    <w:rsid w:val="00532089"/>
    <w:rsid w:val="005333AE"/>
    <w:rsid w:val="00540F57"/>
    <w:rsid w:val="005452FC"/>
    <w:rsid w:val="00552493"/>
    <w:rsid w:val="005556D0"/>
    <w:rsid w:val="005710F0"/>
    <w:rsid w:val="00582FC5"/>
    <w:rsid w:val="005846C8"/>
    <w:rsid w:val="00587C01"/>
    <w:rsid w:val="005903AF"/>
    <w:rsid w:val="00591DCD"/>
    <w:rsid w:val="005A3FBA"/>
    <w:rsid w:val="005C558A"/>
    <w:rsid w:val="005E084B"/>
    <w:rsid w:val="005E1B43"/>
    <w:rsid w:val="005F2B2F"/>
    <w:rsid w:val="00602B28"/>
    <w:rsid w:val="00604F9C"/>
    <w:rsid w:val="00631D45"/>
    <w:rsid w:val="00635770"/>
    <w:rsid w:val="00643B39"/>
    <w:rsid w:val="006462E1"/>
    <w:rsid w:val="00664678"/>
    <w:rsid w:val="00666123"/>
    <w:rsid w:val="006871D7"/>
    <w:rsid w:val="006A2997"/>
    <w:rsid w:val="006A717D"/>
    <w:rsid w:val="006C47C2"/>
    <w:rsid w:val="006C5B8C"/>
    <w:rsid w:val="006D35D5"/>
    <w:rsid w:val="006D5C9E"/>
    <w:rsid w:val="006F6471"/>
    <w:rsid w:val="006F7E97"/>
    <w:rsid w:val="007166F9"/>
    <w:rsid w:val="007214B1"/>
    <w:rsid w:val="007311B3"/>
    <w:rsid w:val="007333BF"/>
    <w:rsid w:val="00743A3F"/>
    <w:rsid w:val="007444CF"/>
    <w:rsid w:val="007471C0"/>
    <w:rsid w:val="00752946"/>
    <w:rsid w:val="00752F93"/>
    <w:rsid w:val="007531A2"/>
    <w:rsid w:val="00754A70"/>
    <w:rsid w:val="00761AD4"/>
    <w:rsid w:val="00782F09"/>
    <w:rsid w:val="00792B8F"/>
    <w:rsid w:val="007A0DC2"/>
    <w:rsid w:val="007A264E"/>
    <w:rsid w:val="007D10FC"/>
    <w:rsid w:val="007E63C2"/>
    <w:rsid w:val="007E7B65"/>
    <w:rsid w:val="007F609F"/>
    <w:rsid w:val="007F7188"/>
    <w:rsid w:val="008013D4"/>
    <w:rsid w:val="008017AA"/>
    <w:rsid w:val="008075CD"/>
    <w:rsid w:val="00807E55"/>
    <w:rsid w:val="008174C6"/>
    <w:rsid w:val="00820D01"/>
    <w:rsid w:val="0082284C"/>
    <w:rsid w:val="00825FDF"/>
    <w:rsid w:val="008349BB"/>
    <w:rsid w:val="00870BE1"/>
    <w:rsid w:val="00874B68"/>
    <w:rsid w:val="00881113"/>
    <w:rsid w:val="00896A24"/>
    <w:rsid w:val="008A6CBE"/>
    <w:rsid w:val="008B3281"/>
    <w:rsid w:val="008B6793"/>
    <w:rsid w:val="008C0081"/>
    <w:rsid w:val="008D45AF"/>
    <w:rsid w:val="008D7FE7"/>
    <w:rsid w:val="008E05AF"/>
    <w:rsid w:val="008E29E1"/>
    <w:rsid w:val="008E2D9D"/>
    <w:rsid w:val="00906D27"/>
    <w:rsid w:val="00924398"/>
    <w:rsid w:val="00933D65"/>
    <w:rsid w:val="0097174D"/>
    <w:rsid w:val="00976B42"/>
    <w:rsid w:val="009807BB"/>
    <w:rsid w:val="00985663"/>
    <w:rsid w:val="00985A67"/>
    <w:rsid w:val="00985C86"/>
    <w:rsid w:val="00991785"/>
    <w:rsid w:val="00991BD9"/>
    <w:rsid w:val="00996932"/>
    <w:rsid w:val="009A4616"/>
    <w:rsid w:val="009A749E"/>
    <w:rsid w:val="009A74CD"/>
    <w:rsid w:val="009B099C"/>
    <w:rsid w:val="009C2532"/>
    <w:rsid w:val="00A0304D"/>
    <w:rsid w:val="00A051E8"/>
    <w:rsid w:val="00A0766C"/>
    <w:rsid w:val="00A25515"/>
    <w:rsid w:val="00A32722"/>
    <w:rsid w:val="00A36724"/>
    <w:rsid w:val="00A3687D"/>
    <w:rsid w:val="00A5151D"/>
    <w:rsid w:val="00A57E11"/>
    <w:rsid w:val="00A70C95"/>
    <w:rsid w:val="00A8092E"/>
    <w:rsid w:val="00A8550E"/>
    <w:rsid w:val="00A97D25"/>
    <w:rsid w:val="00AC0305"/>
    <w:rsid w:val="00AF0E7D"/>
    <w:rsid w:val="00AF44F4"/>
    <w:rsid w:val="00B076F0"/>
    <w:rsid w:val="00B1011D"/>
    <w:rsid w:val="00B26607"/>
    <w:rsid w:val="00B33F6B"/>
    <w:rsid w:val="00B346D8"/>
    <w:rsid w:val="00B41171"/>
    <w:rsid w:val="00B503FB"/>
    <w:rsid w:val="00B50AA5"/>
    <w:rsid w:val="00B73E80"/>
    <w:rsid w:val="00B771A8"/>
    <w:rsid w:val="00B915EB"/>
    <w:rsid w:val="00B95179"/>
    <w:rsid w:val="00BB087D"/>
    <w:rsid w:val="00BC76E8"/>
    <w:rsid w:val="00BE35E3"/>
    <w:rsid w:val="00BE5D7B"/>
    <w:rsid w:val="00C058D7"/>
    <w:rsid w:val="00C15603"/>
    <w:rsid w:val="00C22796"/>
    <w:rsid w:val="00C23EBA"/>
    <w:rsid w:val="00C31F22"/>
    <w:rsid w:val="00C33CC0"/>
    <w:rsid w:val="00C34BB2"/>
    <w:rsid w:val="00C43013"/>
    <w:rsid w:val="00C554A5"/>
    <w:rsid w:val="00C84D2E"/>
    <w:rsid w:val="00C85478"/>
    <w:rsid w:val="00CE44E4"/>
    <w:rsid w:val="00CE5FA6"/>
    <w:rsid w:val="00CF5C43"/>
    <w:rsid w:val="00D21E61"/>
    <w:rsid w:val="00D2560F"/>
    <w:rsid w:val="00D34870"/>
    <w:rsid w:val="00D46C86"/>
    <w:rsid w:val="00D6113B"/>
    <w:rsid w:val="00D63F4F"/>
    <w:rsid w:val="00D90C82"/>
    <w:rsid w:val="00D92D24"/>
    <w:rsid w:val="00DC39B9"/>
    <w:rsid w:val="00DC39F6"/>
    <w:rsid w:val="00DC3CCF"/>
    <w:rsid w:val="00DC7BF0"/>
    <w:rsid w:val="00DC7C13"/>
    <w:rsid w:val="00DF3370"/>
    <w:rsid w:val="00E04369"/>
    <w:rsid w:val="00E344DD"/>
    <w:rsid w:val="00E35396"/>
    <w:rsid w:val="00E7109F"/>
    <w:rsid w:val="00E81F7D"/>
    <w:rsid w:val="00ED08CC"/>
    <w:rsid w:val="00EE1E66"/>
    <w:rsid w:val="00EF2D80"/>
    <w:rsid w:val="00EF6F43"/>
    <w:rsid w:val="00F1286A"/>
    <w:rsid w:val="00F213C3"/>
    <w:rsid w:val="00F2249B"/>
    <w:rsid w:val="00F2549B"/>
    <w:rsid w:val="00F30DE5"/>
    <w:rsid w:val="00F32E2A"/>
    <w:rsid w:val="00F36A21"/>
    <w:rsid w:val="00F449B2"/>
    <w:rsid w:val="00F501AB"/>
    <w:rsid w:val="00F60C61"/>
    <w:rsid w:val="00F63BE1"/>
    <w:rsid w:val="00F642A8"/>
    <w:rsid w:val="00F66796"/>
    <w:rsid w:val="00F73045"/>
    <w:rsid w:val="00F75010"/>
    <w:rsid w:val="00F818C5"/>
    <w:rsid w:val="00F834F0"/>
    <w:rsid w:val="00F9035E"/>
    <w:rsid w:val="00F9672D"/>
    <w:rsid w:val="00FA6FEB"/>
    <w:rsid w:val="00FC35F1"/>
    <w:rsid w:val="00FD121E"/>
    <w:rsid w:val="00FF0672"/>
    <w:rsid w:val="00FF1E85"/>
    <w:rsid w:val="00FF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7EC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9C2532"/>
    <w:rPr>
      <w:rFonts w:eastAsia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642A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6F7E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7E9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6F7E97"/>
    <w:rPr>
      <w:color w:val="0000FF"/>
      <w:u w:val="single"/>
    </w:rPr>
  </w:style>
  <w:style w:type="paragraph" w:styleId="BalloonText">
    <w:name w:val="Balloon Text"/>
    <w:basedOn w:val="Normal"/>
    <w:semiHidden/>
    <w:rsid w:val="00991B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37C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8092E"/>
    <w:rPr>
      <w:color w:val="800080" w:themeColor="followedHyperlink"/>
      <w:u w:val="single"/>
    </w:rPr>
  </w:style>
  <w:style w:type="paragraph" w:customStyle="1" w:styleId="Clause1">
    <w:name w:val="Clause 1."/>
    <w:basedOn w:val="Normal"/>
    <w:rsid w:val="001D520F"/>
    <w:pPr>
      <w:keepNext/>
      <w:numPr>
        <w:numId w:val="3"/>
      </w:numPr>
      <w:spacing w:before="560" w:line="360" w:lineRule="auto"/>
      <w:jc w:val="both"/>
    </w:pPr>
    <w:rPr>
      <w:rFonts w:ascii="Arial" w:hAnsi="Arial"/>
      <w:b/>
      <w:caps/>
      <w:sz w:val="22"/>
    </w:rPr>
  </w:style>
  <w:style w:type="paragraph" w:customStyle="1" w:styleId="Clause11">
    <w:name w:val="Clause 1.1."/>
    <w:basedOn w:val="Normal"/>
    <w:rsid w:val="001D520F"/>
    <w:pPr>
      <w:numPr>
        <w:ilvl w:val="1"/>
        <w:numId w:val="3"/>
      </w:numPr>
      <w:spacing w:line="360" w:lineRule="auto"/>
      <w:ind w:left="1412" w:hanging="850"/>
      <w:jc w:val="both"/>
    </w:pPr>
    <w:rPr>
      <w:rFonts w:ascii="Arial" w:hAnsi="Arial"/>
      <w:sz w:val="22"/>
    </w:rPr>
  </w:style>
  <w:style w:type="paragraph" w:customStyle="1" w:styleId="Clause111">
    <w:name w:val="Clause 1.1.1."/>
    <w:basedOn w:val="Normal"/>
    <w:rsid w:val="001D520F"/>
    <w:pPr>
      <w:numPr>
        <w:ilvl w:val="2"/>
        <w:numId w:val="3"/>
      </w:numPr>
      <w:spacing w:line="360" w:lineRule="auto"/>
      <w:jc w:val="both"/>
    </w:pPr>
    <w:rPr>
      <w:rFonts w:ascii="Arial" w:hAnsi="Arial"/>
      <w:sz w:val="22"/>
    </w:rPr>
  </w:style>
  <w:style w:type="paragraph" w:customStyle="1" w:styleId="Clause1111">
    <w:name w:val="Clause 1.1.1.1."/>
    <w:basedOn w:val="Normal"/>
    <w:rsid w:val="001D520F"/>
    <w:pPr>
      <w:numPr>
        <w:ilvl w:val="3"/>
        <w:numId w:val="3"/>
      </w:numPr>
      <w:spacing w:line="360" w:lineRule="auto"/>
      <w:jc w:val="both"/>
    </w:pPr>
    <w:rPr>
      <w:rFonts w:ascii="Arial" w:hAnsi="Arial"/>
      <w:sz w:val="22"/>
    </w:rPr>
  </w:style>
  <w:style w:type="paragraph" w:customStyle="1" w:styleId="Clause11111">
    <w:name w:val="Clause 1.1.1.1.1."/>
    <w:basedOn w:val="Normal"/>
    <w:rsid w:val="001D520F"/>
    <w:pPr>
      <w:numPr>
        <w:ilvl w:val="4"/>
        <w:numId w:val="3"/>
      </w:numPr>
      <w:spacing w:line="360" w:lineRule="auto"/>
      <w:jc w:val="both"/>
    </w:pPr>
    <w:rPr>
      <w:rFonts w:ascii="Arial" w:hAnsi="Arial"/>
      <w:sz w:val="22"/>
    </w:rPr>
  </w:style>
  <w:style w:type="paragraph" w:customStyle="1" w:styleId="Body1">
    <w:name w:val="Body 1"/>
    <w:basedOn w:val="Normal"/>
    <w:rsid w:val="001D520F"/>
    <w:pPr>
      <w:spacing w:line="360" w:lineRule="auto"/>
      <w:ind w:left="567"/>
      <w:jc w:val="both"/>
    </w:pPr>
    <w:rPr>
      <w:rFonts w:ascii="Arial" w:hAnsi="Arial"/>
      <w:sz w:val="22"/>
    </w:rPr>
  </w:style>
  <w:style w:type="paragraph" w:customStyle="1" w:styleId="NormalSpaced">
    <w:name w:val="NormalSpaced"/>
    <w:basedOn w:val="Normal"/>
    <w:next w:val="Normal"/>
    <w:rsid w:val="001D520F"/>
    <w:pPr>
      <w:spacing w:line="360" w:lineRule="auto"/>
      <w:jc w:val="both"/>
    </w:pPr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C7C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8A6CB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908A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908A9"/>
    <w:rPr>
      <w:lang w:val="en-GB"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2908A9"/>
    <w:rPr>
      <w:vertAlign w:val="superscript"/>
    </w:rPr>
  </w:style>
  <w:style w:type="character" w:styleId="Strong">
    <w:name w:val="Strong"/>
    <w:basedOn w:val="DefaultParagraphFont"/>
    <w:uiPriority w:val="22"/>
    <w:qFormat/>
    <w:rsid w:val="009C253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C47C2"/>
    <w:rPr>
      <w:rFonts w:eastAsia="Times New Roman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8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5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3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732">
          <w:marLeft w:val="0"/>
          <w:marRight w:val="281"/>
          <w:marTop w:val="4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6929">
              <w:marLeft w:val="-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9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3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heguardian.com/guardian-observer-style-guide-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3335</Words>
  <Characters>16511</Characters>
  <Application>Microsoft Office Word</Application>
  <DocSecurity>0</DocSecurity>
  <Lines>393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19740</CharactersWithSpaces>
  <SharedDoc>false</SharedDoc>
  <HLinks>
    <vt:vector size="18" baseType="variant">
      <vt:variant>
        <vt:i4>2818051</vt:i4>
      </vt:variant>
      <vt:variant>
        <vt:i4>0</vt:i4>
      </vt:variant>
      <vt:variant>
        <vt:i4>0</vt:i4>
      </vt:variant>
      <vt:variant>
        <vt:i4>5</vt:i4>
      </vt:variant>
      <vt:variant>
        <vt:lpwstr>mailto:n.hillman@hepi.ac.uk</vt:lpwstr>
      </vt:variant>
      <vt:variant>
        <vt:lpwstr/>
      </vt:variant>
      <vt:variant>
        <vt:i4>2359416</vt:i4>
      </vt:variant>
      <vt:variant>
        <vt:i4>3</vt:i4>
      </vt:variant>
      <vt:variant>
        <vt:i4>0</vt:i4>
      </vt:variant>
      <vt:variant>
        <vt:i4>5</vt:i4>
      </vt:variant>
      <vt:variant>
        <vt:lpwstr>http://www.hepi.ac.uk/</vt:lpwstr>
      </vt:variant>
      <vt:variant>
        <vt:lpwstr/>
      </vt:variant>
      <vt:variant>
        <vt:i4>4128840</vt:i4>
      </vt:variant>
      <vt:variant>
        <vt:i4>0</vt:i4>
      </vt:variant>
      <vt:variant>
        <vt:i4>0</vt:i4>
      </vt:variant>
      <vt:variant>
        <vt:i4>5</vt:i4>
      </vt:variant>
      <vt:variant>
        <vt:lpwstr>mailto:infor@hepi.ac.uk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Nick Hillman</cp:lastModifiedBy>
  <cp:revision>2</cp:revision>
  <cp:lastPrinted>2020-05-26T07:06:00Z</cp:lastPrinted>
  <dcterms:created xsi:type="dcterms:W3CDTF">2024-02-07T22:47:00Z</dcterms:created>
  <dcterms:modified xsi:type="dcterms:W3CDTF">2024-02-07T22:47:00Z</dcterms:modified>
</cp:coreProperties>
</file>